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0" w:line="276" w:lineRule="auto"/>
        <w:ind w:left="-142" w:right="0" w:firstLine="0.26771653543310237"/>
        <w:jc w:val="left"/>
        <w:rPr>
          <w:rFonts w:ascii="Arial" w:cs="Arial" w:eastAsia="Arial" w:hAnsi="Arial"/>
          <w:b w:val="0"/>
          <w:i w:val="0"/>
          <w:smallCaps w:val="0"/>
          <w:strike w:val="0"/>
          <w:color w:val="000000"/>
          <w:sz w:val="36"/>
          <w:szCs w:val="36"/>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Guidance: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This Schedule provides CCS and the Buyer with the option of using Credit Ratings and/or Financial Indicators for the purposes of the Financial Distress Provisions. Buyers may use any combination of these indicators to suit their own</w:t>
      </w:r>
      <w:r w:rsidDel="00000000" w:rsidR="00000000" w:rsidRPr="00000000">
        <w:rPr>
          <w:rFonts w:ascii="Arial" w:cs="Arial" w:eastAsia="Arial" w:hAnsi="Arial"/>
          <w:sz w:val="24"/>
          <w:szCs w:val="24"/>
          <w:highlight w:val="white"/>
          <w:rtl w:val="0"/>
        </w:rPr>
        <w:t xml:space="preserve"> r</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equirements subject to the detailed guidance below.</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definitions shall apply:</w:t>
      </w:r>
    </w:p>
    <w:p w:rsidR="00000000" w:rsidDel="00000000" w:rsidP="00000000" w:rsidRDefault="00000000" w:rsidRPr="00000000" w14:paraId="00000007">
      <w:pPr>
        <w:tabs>
          <w:tab w:val="left" w:leader="none" w:pos="1134"/>
        </w:tabs>
        <w:spacing w:after="120" w:before="120" w:lineRule="auto"/>
        <w:ind w:left="360" w:hanging="501.7322834645669"/>
        <w:jc w:val="left"/>
        <w:rPr>
          <w:rFonts w:ascii="Arial" w:cs="Arial" w:eastAsia="Arial" w:hAnsi="Arial"/>
          <w:sz w:val="24"/>
          <w:szCs w:val="24"/>
        </w:rPr>
      </w:pPr>
      <w:r w:rsidDel="00000000" w:rsidR="00000000" w:rsidRPr="00000000">
        <w:rPr>
          <w:rtl w:val="0"/>
        </w:rPr>
      </w:r>
    </w:p>
    <w:tbl>
      <w:tblPr>
        <w:tblStyle w:val="Table1"/>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05"/>
        <w:gridCol w:w="5250"/>
        <w:tblGridChange w:id="0">
          <w:tblGrid>
            <w:gridCol w:w="4005"/>
            <w:gridCol w:w="5250"/>
          </w:tblGrid>
        </w:tblGridChange>
      </w:tblGrid>
      <w:tr>
        <w:trPr>
          <w:cantSplit w:val="0"/>
          <w:trHeight w:val="1373.90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“Applicable Financial Indicators”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keepNext w:val="1"/>
              <w:spacing w:after="240" w:lineRule="auto"/>
              <w:ind w:hanging="141.73228346456688"/>
              <w:jc w:val="center"/>
              <w:rPr>
                <w:rFonts w:ascii="Arial" w:cs="Arial" w:eastAsia="Arial" w:hAnsi="Arial"/>
                <w:smallCaps w:val="1"/>
                <w:sz w:val="24"/>
                <w:szCs w:val="24"/>
              </w:rPr>
            </w:pPr>
            <w:r w:rsidDel="00000000" w:rsidR="00000000" w:rsidRPr="00000000">
              <w:rPr>
                <w:rFonts w:ascii="Arial" w:cs="Arial" w:eastAsia="Arial" w:hAnsi="Arial"/>
                <w:sz w:val="24"/>
                <w:szCs w:val="24"/>
                <w:rtl w:val="0"/>
              </w:rPr>
              <w:t xml:space="preserve"> means the financial indicators from Paragraph </w:t>
            </w:r>
            <w:r w:rsidDel="00000000" w:rsidR="00000000" w:rsidRPr="00000000">
              <w:rPr>
                <w:rFonts w:ascii="Arial" w:cs="Arial" w:eastAsia="Arial" w:hAnsi="Arial"/>
                <w:smallCaps w:val="1"/>
                <w:sz w:val="24"/>
                <w:szCs w:val="24"/>
                <w:rtl w:val="0"/>
              </w:rPr>
              <w:t xml:space="preserve">5.1 </w:t>
            </w:r>
            <w:r w:rsidDel="00000000" w:rsidR="00000000" w:rsidRPr="00000000">
              <w:rPr>
                <w:rFonts w:ascii="Arial" w:cs="Arial" w:eastAsia="Arial" w:hAnsi="Arial"/>
                <w:sz w:val="24"/>
                <w:szCs w:val="24"/>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means the Supplier’s board of directors;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“Board Confirmation”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means written confirmation from the Board in accordance with Paragraph 8 of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“Cabinet Office Markets and Suppliers Team”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means the UK Government’s team responsible for managing the relationship between government and its Strategic Suppliers, or any replacement or successor body carrying out the same function;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“Credit Rating Threshold”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the minimum credit rating level for each entity in the FDE Group as set out in Annex 1 to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“FDE Group”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tabs>
                <w:tab w:val="left" w:leader="none" w:pos="1134"/>
              </w:tabs>
              <w:spacing w:after="120" w:before="120" w:lineRule="auto"/>
              <w:ind w:left="644" w:hanging="785.7322834645669"/>
              <w:jc w:val="cente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means the</w:t>
            </w:r>
            <w:r w:rsidDel="00000000" w:rsidR="00000000" w:rsidRPr="00000000">
              <w:rPr>
                <w:rFonts w:ascii="Arial" w:cs="Arial" w:eastAsia="Arial" w:hAnsi="Arial"/>
                <w:sz w:val="24"/>
                <w:szCs w:val="24"/>
                <w:highlight w:val="white"/>
                <w:rtl w:val="0"/>
              </w:rPr>
              <w:t xml:space="preserve"> Supplier, Key Sub-contractors, the Guarantor and the Monitored Suppliers;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Distress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Any of the events listed in Paragraph 3.1 of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Distress Remediation Plan”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tabs>
                <w:tab w:val="left" w:leader="none" w:pos="1134"/>
              </w:tabs>
              <w:spacing w:after="120" w:before="120" w:lineRule="auto"/>
              <w:ind w:left="644" w:hanging="785.7322834645669"/>
              <w:jc w:val="center"/>
              <w:rPr>
                <w:rFonts w:ascii="Arial" w:cs="Arial" w:eastAsia="Arial" w:hAnsi="Arial"/>
                <w:b w:val="1"/>
                <w:sz w:val="24"/>
                <w:szCs w:val="24"/>
              </w:rPr>
            </w:pPr>
            <w:bookmarkStart w:colFirst="0" w:colLast="0" w:name="_heading=h.3dy6vkm" w:id="0"/>
            <w:bookmarkEnd w:id="0"/>
            <w:r w:rsidDel="00000000" w:rsidR="00000000" w:rsidRPr="00000000">
              <w:rPr>
                <w:rFonts w:ascii="Arial" w:cs="Arial" w:eastAsia="Arial" w:hAnsi="Arial"/>
                <w:b w:val="1"/>
                <w:sz w:val="24"/>
                <w:szCs w:val="24"/>
                <w:rtl w:val="0"/>
              </w:rPr>
              <w:t xml:space="preserve">“Financial Indicators”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Target Thresholds”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means the target thresholds for each of the Financial Indicators set out at paragraph 5.1 of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tabs>
                <w:tab w:val="left" w:leader="none" w:pos="1134"/>
              </w:tabs>
              <w:spacing w:after="120" w:before="120" w:lineRule="auto"/>
              <w:ind w:left="566.9291338582675" w:hanging="708.66141732283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“Monitored Suppliers”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entities specified at paragraph 5.2 of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“Rating Agencies”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rating agencies listed in Annex 1 of this Schedule;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tabs>
                <w:tab w:val="left" w:leader="none" w:pos="1134"/>
              </w:tabs>
              <w:spacing w:after="120" w:before="120" w:lineRule="auto"/>
              <w:ind w:left="644" w:hanging="785.732283464566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Supplier”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tabs>
                <w:tab w:val="left" w:leader="none" w:pos="1134"/>
              </w:tabs>
              <w:spacing w:after="120" w:before="120" w:lineRule="auto"/>
              <w:ind w:left="644" w:hanging="785.732283464566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suppliers to the government listed at </w:t>
            </w:r>
            <w:hyperlink r:id="rId7">
              <w:r w:rsidDel="00000000" w:rsidR="00000000" w:rsidRPr="00000000">
                <w:rPr>
                  <w:rFonts w:ascii="Arial" w:cs="Arial" w:eastAsia="Arial" w:hAnsi="Arial"/>
                  <w:sz w:val="24"/>
                  <w:szCs w:val="24"/>
                  <w:rtl w:val="0"/>
                </w:rPr>
                <w:t xml:space="preserve">https://www.gov.uk/government/publications/strategic-suppliers</w:t>
              </w:r>
            </w:hyperlink>
            <w:r w:rsidDel="00000000" w:rsidR="00000000" w:rsidRPr="00000000">
              <w:rPr>
                <w:rFonts w:ascii="Arial" w:cs="Arial" w:eastAsia="Arial" w:hAnsi="Arial"/>
                <w:sz w:val="24"/>
                <w:szCs w:val="24"/>
                <w:rtl w:val="0"/>
              </w:rPr>
              <w:t xml:space="preserve">.</w:t>
            </w:r>
          </w:p>
        </w:tc>
      </w:tr>
    </w:tbl>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of this Schedule shall survive: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Warranties and duty to notify</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entity in the FDE Group with the Rating Agencies;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report submitted by the Supplier pursuant to paragraph 2.3.2 shall:</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single report with separate sections for each of the FDE Group entities;</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key financial and other supporting information (including any accounts data that has been relied on) as separate annexes;</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events</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Financial Distress Events: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an FDE Group entity dropping below the applicable Credit Rating Threshold;</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committing a material breach of covenant to its lenders;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3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an FDE Group entity of any financial indebtedness;</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an FDE Group entity becoming due as a result of an event of default;</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an FDE Group entity; or</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6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Calibri" w:cs="Calibri" w:eastAsia="Calibri" w:hAnsi="Calibri"/>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Consequences of Financial Distress Events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Monitored Supplier, the Guarantor and/or any relevant Key Sub-contractor shall):</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Remediation Plan by the Relevant Authority, the Supplier shall:</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fortnightly):</w:t>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000000" w:rsidDel="00000000" w:rsidP="00000000" w:rsidRDefault="00000000" w:rsidRPr="00000000" w14:paraId="000000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5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Category Guidance: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Financial Indicators for your agreement will be agreed with CCS Commercial Finance as part of your agreement design process, this may include additional Financial Indicators to those currently shown below.  Remember to drop in the correct figures into the table below from your finalised CCS Tiering Tool, which will be from the ‘high risk’ column unless otherwise directed by Commercial Finance colleagues – please delete this text once complete.]</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highlight w:val="yellow"/>
          <w:rtl w:val="0"/>
        </w:rPr>
        <w:t xml:space="preserve">: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980"/>
        <w:gridCol w:w="1710"/>
        <w:gridCol w:w="3075"/>
        <w:tblGridChange w:id="0">
          <w:tblGrid>
            <w:gridCol w:w="2250"/>
            <w:gridCol w:w="1980"/>
            <w:gridCol w:w="1710"/>
            <w:gridCol w:w="3075"/>
          </w:tblGrid>
        </w:tblGridChange>
      </w:tblGrid>
      <w:tr>
        <w:trPr>
          <w:cantSplit w:val="0"/>
          <w:tblHeader w:val="0"/>
        </w:trPr>
        <w:tc>
          <w:tcPr>
            <w:shd w:fill="d9d9d9" w:val="clea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Financial Indicator</w:t>
            </w:r>
          </w:p>
        </w:tc>
        <w:tc>
          <w:tcPr>
            <w:shd w:fill="d9d9d9" w:val="cle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Calculation</w:t>
            </w:r>
            <w:r w:rsidDel="00000000" w:rsidR="00000000" w:rsidRPr="00000000">
              <w:rPr>
                <w:rFonts w:ascii="Arial" w:cs="Arial" w:eastAsia="Arial" w:hAnsi="Arial"/>
                <w:b w:val="1"/>
                <w:i w:val="0"/>
                <w:smallCaps w:val="0"/>
                <w:strike w:val="0"/>
                <w:color w:val="000000"/>
                <w:sz w:val="24"/>
                <w:szCs w:val="24"/>
                <w:u w:val="none"/>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Financial Target Threshold:</w:t>
            </w:r>
          </w:p>
        </w:tc>
        <w:tc>
          <w:tcPr>
            <w:shd w:fill="d9d9d9" w:val="clea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bookmarkStart w:colFirst="0" w:colLast="0" w:name="_heading=h.1ci93xb" w:id="1"/>
            <w:bookmarkEnd w:id="1"/>
            <w:r w:rsidDel="00000000" w:rsidR="00000000" w:rsidRPr="00000000">
              <w:rPr>
                <w:rFonts w:ascii="Arial" w:cs="Arial" w:eastAsia="Arial" w:hAnsi="Arial"/>
                <w:b w:val="1"/>
                <w:i w:val="0"/>
                <w:smallCaps w:val="0"/>
                <w:strike w:val="0"/>
                <w:color w:val="000000"/>
                <w:sz w:val="24"/>
                <w:szCs w:val="24"/>
                <w:u w:val="none"/>
                <w:vertAlign w:val="baseline"/>
                <w:rtl w:val="0"/>
              </w:rPr>
              <w:t xml:space="preserve">Monitoring and Reporting Frequency [if different from the default position set out in Paragraph 2.3.2)]</w:t>
            </w:r>
          </w:p>
        </w:tc>
      </w:tr>
      <w:tr>
        <w:trPr>
          <w:cantSplit w:val="0"/>
          <w:tblHeader w:val="0"/>
        </w:trPr>
        <w:tc>
          <w:tcP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Operating Margin</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tc>
        <w:tc>
          <w:tcP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Operating Margin = Operating Profit / Revenue</w:t>
            </w:r>
          </w:p>
        </w:tc>
        <w:tc>
          <w:tcP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&gt; </w:t>
            </w:r>
            <w:r w:rsidDel="00000000" w:rsidR="00000000" w:rsidRPr="00000000">
              <w:rPr>
                <w:rFonts w:ascii="Arial" w:cs="Arial" w:eastAsia="Arial" w:hAnsi="Arial"/>
                <w:i w:val="1"/>
                <w:sz w:val="24"/>
                <w:szCs w:val="24"/>
                <w:highlight w:val="white"/>
                <w:rtl w:val="0"/>
              </w:rPr>
              <w:t xml:space="preserve">4</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p>
        </w:tc>
        <w:tc>
          <w:tcP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Tested and reported </w:t>
            </w:r>
            <w:r w:rsidDel="00000000" w:rsidR="00000000" w:rsidRPr="00000000">
              <w:rPr>
                <w:rFonts w:ascii="Arial" w:cs="Arial" w:eastAsia="Arial" w:hAnsi="Arial"/>
                <w:i w:val="1"/>
                <w:sz w:val="24"/>
                <w:szCs w:val="24"/>
                <w:highlight w:val="white"/>
                <w:rtl w:val="0"/>
              </w:rPr>
              <w:t xml:space="preserve">[</w:t>
            </w:r>
            <w:r w:rsidDel="00000000" w:rsidR="00000000" w:rsidRPr="00000000">
              <w:rPr>
                <w:rFonts w:ascii="Arial" w:cs="Arial" w:eastAsia="Arial" w:hAnsi="Arial"/>
                <w:i w:val="1"/>
                <w:sz w:val="24"/>
                <w:szCs w:val="24"/>
                <w:highlight w:val="yellow"/>
                <w:rtl w:val="0"/>
              </w:rPr>
              <w:t xml:space="preserve">yearly / half yearly]</w:t>
            </w:r>
            <w:r w:rsidDel="00000000" w:rsidR="00000000" w:rsidRPr="00000000">
              <w:rPr>
                <w:rFonts w:ascii="Arial" w:cs="Arial" w:eastAsia="Arial" w:hAnsi="Arial"/>
                <w:i w:val="1"/>
                <w:sz w:val="24"/>
                <w:szCs w:val="24"/>
                <w:highlight w:val="white"/>
                <w:rtl w:val="0"/>
              </w:rPr>
              <w:t xml:space="preserve"> 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120 / 90</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yearly / half year end</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p>
        </w:tc>
      </w:tr>
      <w:tr>
        <w:trPr>
          <w:cantSplit w:val="0"/>
          <w:trHeight w:val="3596.71875" w:hRule="atLeast"/>
          <w:tblHeader w:val="0"/>
        </w:trPr>
        <w:tc>
          <w:tcP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Net Debt to EBITDA Ratio</w:t>
            </w:r>
          </w:p>
        </w:tc>
        <w:tc>
          <w:tcP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Net Debt to EBITDA ratio = Net Debt / EBITDA</w:t>
            </w:r>
          </w:p>
        </w:tc>
        <w:tc>
          <w:tcP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i w:val="1"/>
                <w:color w:val="7030a0"/>
                <w:sz w:val="24"/>
                <w:szCs w:val="24"/>
                <w:highlight w:val="white"/>
                <w:rtl w:val="0"/>
              </w:rPr>
              <w:t xml:space="preserve"> </w:t>
            </w:r>
            <w:r w:rsidDel="00000000" w:rsidR="00000000" w:rsidRPr="00000000">
              <w:rPr>
                <w:rFonts w:ascii="Arial" w:cs="Arial" w:eastAsia="Arial" w:hAnsi="Arial"/>
                <w:i w:val="1"/>
                <w:sz w:val="24"/>
                <w:szCs w:val="24"/>
                <w:highlight w:val="white"/>
                <w:rtl w:val="0"/>
              </w:rPr>
              <w:t xml:space="preserve">&lt;2.5</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times</w:t>
            </w:r>
          </w:p>
        </w:tc>
        <w:tc>
          <w:tcP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sz w:val="24"/>
                <w:szCs w:val="24"/>
                <w:highlight w:val="white"/>
                <w:u w:val="none"/>
                <w:vertAlign w:val="baseline"/>
              </w:rPr>
            </w:pP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Tested and reported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in arrears within </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90</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days of each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based upon </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Free Cash Flow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EBITDA]</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for the 12 months ending on, and Net Debt at, the relevant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3</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Net Debt + Net Pension Deficit to EBITDA ratio</w:t>
            </w:r>
          </w:p>
        </w:tc>
        <w:tc>
          <w:tcP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Net Debt + Net Pension Deficit to EBITDA Ratio = (Net Debt + Net Pension Deficit) / EBITDA</w:t>
            </w:r>
          </w:p>
        </w:tc>
        <w:tc>
          <w:tcP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&lt; </w:t>
            </w:r>
            <w:r w:rsidDel="00000000" w:rsidR="00000000" w:rsidRPr="00000000">
              <w:rPr>
                <w:rFonts w:ascii="Arial" w:cs="Arial" w:eastAsia="Arial" w:hAnsi="Arial"/>
                <w:i w:val="1"/>
                <w:sz w:val="24"/>
                <w:szCs w:val="24"/>
                <w:highlight w:val="white"/>
                <w:rtl w:val="0"/>
              </w:rPr>
              <w:t xml:space="preserve">4</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times</w:t>
            </w:r>
          </w:p>
        </w:tc>
        <w:tc>
          <w:tcP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 half yearly</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90</w:t>
            </w:r>
            <w:r w:rsidDel="00000000" w:rsidR="00000000" w:rsidRPr="00000000">
              <w:rPr>
                <w:rFonts w:ascii="Arial" w:cs="Arial" w:eastAsia="Arial" w:hAnsi="Arial"/>
                <w:i w:val="1"/>
                <w:sz w:val="24"/>
                <w:szCs w:val="24"/>
                <w:highlight w:val="yellow"/>
                <w:rtl w:val="0"/>
              </w:rPr>
              <w:t xml:space="preserve">}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days of each accounting reference date based upon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Free Cash F</w:t>
            </w:r>
            <w:r w:rsidDel="00000000" w:rsidR="00000000" w:rsidRPr="00000000">
              <w:rPr>
                <w:rFonts w:ascii="Arial" w:cs="Arial" w:eastAsia="Arial" w:hAnsi="Arial"/>
                <w:i w:val="1"/>
                <w:sz w:val="24"/>
                <w:szCs w:val="24"/>
                <w:highlight w:val="yellow"/>
                <w:rtl w:val="0"/>
              </w:rPr>
              <w:t xml:space="preserve">low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EBITDA</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for the 12 months ending on, and the Net Debt and Net Pension Deficit at, the relevant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ccounting reference date / half year end</w:t>
            </w:r>
            <w:r w:rsidDel="00000000" w:rsidR="00000000" w:rsidRPr="00000000">
              <w:rPr>
                <w:rFonts w:ascii="Arial" w:cs="Arial" w:eastAsia="Arial" w:hAnsi="Arial"/>
                <w:i w:val="1"/>
                <w:sz w:val="24"/>
                <w:szCs w:val="24"/>
                <w:highlight w:val="whit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4</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Net Interest Paid Cover</w:t>
            </w:r>
          </w:p>
        </w:tc>
        <w:tc>
          <w:tcP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Net Interest Paid Cover = Earnings Before Interest and Tax / Net Interest Paid</w:t>
            </w:r>
          </w:p>
        </w:tc>
        <w:tc>
          <w:tcP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&gt;</w:t>
            </w:r>
            <w:r w:rsidDel="00000000" w:rsidR="00000000" w:rsidRPr="00000000">
              <w:rPr>
                <w:rFonts w:ascii="Arial" w:cs="Arial" w:eastAsia="Arial" w:hAnsi="Arial"/>
                <w:i w:val="1"/>
                <w:sz w:val="24"/>
                <w:szCs w:val="24"/>
                <w:highlight w:val="white"/>
                <w:rtl w:val="0"/>
              </w:rPr>
              <w:t xml:space="preserve"> 4.5</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times</w:t>
            </w:r>
          </w:p>
        </w:tc>
        <w:tc>
          <w:tcP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sz w:val="24"/>
                <w:szCs w:val="24"/>
                <w:highlight w:val="white"/>
                <w:u w:val="none"/>
                <w:vertAlign w:val="baseline"/>
              </w:rPr>
            </w:pP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Tested and reported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in arrears within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days of each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based upon figures for the 12 months ending on the relevant [a</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p>
        </w:tc>
      </w:tr>
      <w:tr>
        <w:trPr>
          <w:cantSplit w:val="0"/>
          <w:tblHeader w:val="0"/>
        </w:trPr>
        <w:tc>
          <w:tcP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5</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Acid Ratio</w:t>
            </w:r>
          </w:p>
        </w:tc>
        <w:tc>
          <w:tcP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[Acid Ratio = (Current Assets – Inventories) / Current Liabilities]</w:t>
            </w:r>
          </w:p>
        </w:tc>
        <w:tc>
          <w:tcP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&gt; </w:t>
            </w:r>
            <w:r w:rsidDel="00000000" w:rsidR="00000000" w:rsidRPr="00000000">
              <w:rPr>
                <w:rFonts w:ascii="Arial" w:cs="Arial" w:eastAsia="Arial" w:hAnsi="Arial"/>
                <w:i w:val="1"/>
                <w:sz w:val="24"/>
                <w:szCs w:val="24"/>
                <w:highlight w:val="white"/>
                <w:rtl w:val="0"/>
              </w:rPr>
              <w:t xml:space="preserve">1</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times</w:t>
            </w:r>
          </w:p>
        </w:tc>
        <w:tc>
          <w:tcP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sz w:val="24"/>
                <w:szCs w:val="24"/>
                <w:highlight w:val="white"/>
                <w:u w:val="none"/>
                <w:vertAlign w:val="baseline"/>
              </w:rPr>
            </w:pP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Tested and reported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in arrears within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days of each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based upon figures at the relevant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p>
        </w:tc>
      </w:tr>
      <w:tr>
        <w:trPr>
          <w:cantSplit w:val="0"/>
          <w:tblHeader w:val="0"/>
        </w:trPr>
        <w:tc>
          <w:tcP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6</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N</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et Asset </w:t>
            </w:r>
            <w:r w:rsidDel="00000000" w:rsidR="00000000" w:rsidRPr="00000000">
              <w:rPr>
                <w:rFonts w:ascii="Arial" w:cs="Arial" w:eastAsia="Arial" w:hAnsi="Arial"/>
                <w:b w:val="1"/>
                <w:sz w:val="24"/>
                <w:szCs w:val="24"/>
                <w:highlight w:val="white"/>
                <w:rtl w:val="0"/>
              </w:rPr>
              <w:t xml:space="preserve">Value</w:t>
            </w:r>
            <w:r w:rsidDel="00000000" w:rsidR="00000000" w:rsidRPr="00000000">
              <w:rPr>
                <w:rtl w:val="0"/>
              </w:rPr>
            </w:r>
          </w:p>
        </w:tc>
        <w:tc>
          <w:tcP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[Net Asset Value = Net Assets]</w:t>
            </w:r>
          </w:p>
        </w:tc>
        <w:tc>
          <w:tcP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&gt; £0</w:t>
            </w:r>
          </w:p>
        </w:tc>
        <w:tc>
          <w:tcP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sz w:val="24"/>
                <w:szCs w:val="24"/>
                <w:highlight w:val="white"/>
                <w:u w:val="none"/>
                <w:vertAlign w:val="baseline"/>
              </w:rPr>
            </w:pP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Tested and reported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in arrears within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days of each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 based upon figures at the relevant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p>
        </w:tc>
      </w:tr>
      <w:tr>
        <w:trPr>
          <w:cantSplit w:val="0"/>
          <w:tblHeader w:val="0"/>
        </w:trPr>
        <w:tc>
          <w:tcP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7</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Group Exposure Ratio</w:t>
            </w:r>
          </w:p>
        </w:tc>
        <w:tc>
          <w:tcP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[Group Exposure / Gross Assets]</w:t>
            </w:r>
          </w:p>
        </w:tc>
        <w:tc>
          <w:tcP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&lt; </w:t>
            </w:r>
            <w:r w:rsidDel="00000000" w:rsidR="00000000" w:rsidRPr="00000000">
              <w:rPr>
                <w:rFonts w:ascii="Arial" w:cs="Arial" w:eastAsia="Arial" w:hAnsi="Arial"/>
                <w:i w:val="1"/>
                <w:sz w:val="24"/>
                <w:szCs w:val="24"/>
                <w:highlight w:val="white"/>
                <w:rtl w:val="0"/>
              </w:rPr>
              <w:t xml:space="preserve">25</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p>
        </w:tc>
        <w:tc>
          <w:tcP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sz w:val="24"/>
                <w:szCs w:val="24"/>
                <w:highlight w:val="white"/>
                <w:u w:val="none"/>
                <w:vertAlign w:val="baseline"/>
              </w:rPr>
            </w:pP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Suppliers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76.53543307086622"/>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firstLine="0"/>
        <w:jc w:val="left"/>
        <w:rPr>
          <w:rFonts w:ascii="Arial" w:cs="Arial" w:eastAsia="Arial" w:hAnsi="Arial"/>
          <w:sz w:val="24"/>
          <w:szCs w:val="24"/>
          <w:highlight w:val="yellow"/>
        </w:rPr>
      </w:pP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3"/>
        <w:gridCol w:w="4223"/>
        <w:tblGridChange w:id="0">
          <w:tblGrid>
            <w:gridCol w:w="4073"/>
            <w:gridCol w:w="4223"/>
          </w:tblGrid>
        </w:tblGridChange>
      </w:tblGrid>
      <w:tr>
        <w:trPr>
          <w:cantSplit w:val="0"/>
          <w:tblHeader w:val="0"/>
        </w:trPr>
        <w:tc>
          <w:tcPr>
            <w:shd w:fill="d9d9d9"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w:t>
            </w:r>
          </w:p>
        </w:tc>
        <w:tc>
          <w:tcPr>
            <w:shd w:fill="d9d9d9"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Financial Indicators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2 e.g Group Member, Sub-contractor, Relevant Parent Company etc.]</w:t>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p>
        </w:tc>
      </w:tr>
      <w:tr>
        <w:trPr>
          <w:cantSplit w:val="0"/>
          <w:tblHeader w:val="0"/>
        </w:trPr>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rights</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be entitled to terminate the Contract if:</w:t>
      </w:r>
    </w:p>
    <w:p w:rsidR="00000000" w:rsidDel="00000000" w:rsidP="00000000" w:rsidRDefault="00000000" w:rsidRPr="00000000" w14:paraId="000000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2.3.3;</w:t>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A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Primacy of Credit Ratings</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A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If the Contract has been specified as a Critical Service Contract under Paragraph 1.1 of Call-Off Schedule 24 (Corporate Resolution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spacing w:after="200" w:line="276" w:lineRule="auto"/>
        <w:jc w:val="left"/>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 Rating Agencies and their standard Rating System</w:t>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[Rating Agency 1]</w:t>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[Rating Agency 2]</w:t>
      </w:r>
    </w:p>
    <w:p w:rsidR="00000000" w:rsidDel="00000000" w:rsidP="00000000" w:rsidRDefault="00000000" w:rsidRPr="00000000" w14:paraId="000000B2">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2bn6wsx"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2</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Ratings and Credit Rating Thresholds</w:t>
      </w:r>
      <w:r w:rsidDel="00000000" w:rsidR="00000000" w:rsidRPr="00000000">
        <w:rPr>
          <w:rtl w:val="0"/>
        </w:rPr>
      </w:r>
    </w:p>
    <w:tbl>
      <w:tblPr>
        <w:tblStyle w:val="Table4"/>
        <w:tblW w:w="6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B4">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B5">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B6">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B7">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rating]</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B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BA">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BB">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3: Calculation methodology for Financial Indicators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smallCaps w:val="0"/>
          <w:strike w:val="0"/>
          <w:color w:val="000000"/>
          <w:sz w:val="24"/>
          <w:szCs w:val="24"/>
          <w:u w:val="none"/>
          <w:shd w:fill="auto" w:val="clear"/>
          <w:vertAlign w:val="baseline"/>
        </w:rPr>
      </w:pPr>
      <w:bookmarkStart w:colFirst="0" w:colLast="0" w:name="_heading=h.qsh70q" w:id="4"/>
      <w:bookmarkEnd w:id="4"/>
      <w:r w:rsidDel="00000000" w:rsidR="00000000" w:rsidRPr="00000000">
        <w:rPr>
          <w:rFonts w:ascii="Arial" w:cs="Arial" w:eastAsia="Arial" w:hAnsi="Arial"/>
          <w:b w:val="1"/>
          <w:smallCaps w:val="0"/>
          <w:strike w:val="0"/>
          <w:color w:val="000000"/>
          <w:sz w:val="24"/>
          <w:szCs w:val="24"/>
          <w:highlight w:val="yellow"/>
          <w:u w:val="none"/>
          <w:vertAlign w:val="baseline"/>
          <w:rtl w:val="0"/>
        </w:rPr>
        <w:t xml:space="preserve">[Guidance: </w:t>
      </w:r>
      <w:r w:rsidDel="00000000" w:rsidR="00000000" w:rsidRPr="00000000">
        <w:rPr>
          <w:rFonts w:ascii="Arial" w:cs="Arial" w:eastAsia="Arial" w:hAnsi="Arial"/>
          <w:smallCaps w:val="0"/>
          <w:strike w:val="0"/>
          <w:color w:val="000000"/>
          <w:sz w:val="24"/>
          <w:szCs w:val="24"/>
          <w:highlight w:val="yellow"/>
          <w:u w:val="none"/>
          <w:vertAlign w:val="baseline"/>
          <w:rtl w:val="0"/>
        </w:rPr>
        <w:t xml:space="preserve">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General methodology</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Terminology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Foreign currency conversion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Treatment of non-underlying items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Indicators should be based on the figures in the financial statements before adjusting for non-underlying items.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Methodology</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Methodology</w:t>
            </w:r>
          </w:p>
        </w:tc>
      </w:tr>
      <w:tr>
        <w:trPr>
          <w:cantSplit w:val="0"/>
          <w:tblHeader w:val="0"/>
        </w:trPr>
        <w:tc>
          <w:tcP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Margin</w:t>
            </w:r>
          </w:p>
        </w:tc>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Figures for Operating Profit and Revenue should exclude the entity’s share of the results of any joint ventures or Associates.</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Free Cash Flow to Net Debt Ratio</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to EBITDA Ratio</w:t>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Free Cash Flow</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Net Cash Flow from Operating Activities – Capital Expenditure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Capital Expenditure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Purchase of property, plant &amp; equipment + purchase of intangible assets</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Cash Flow from Operating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should be stated after deduction of interest and tax paid.</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Capital expenditure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1pxezwc" w:id="6"/>
            <w:bookmarkEnd w:id="6"/>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 Net  Pension Deficit to EBITDA ratio</w:t>
            </w:r>
          </w:p>
        </w:tc>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Pension Deficit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Retirement Benefit Obligations – Retirement Benefit Assets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non-designated hedges). Borrowings should also include balances owed to other group members.</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Pension Deficit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 Net Pension Deficit’ is negative, the relevant Financial Target Threshold should be treated as having been met.</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Interest Paid Cover</w:t>
            </w:r>
          </w:p>
        </w:tc>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Earnings Before Interest and Tax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Interest Paid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Interest paid – Interest received</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received and interest paid should be shown on the face of the Cash Flow statement.</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Acid Ratio</w:t>
            </w:r>
          </w:p>
        </w:tc>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Asset value</w:t>
            </w:r>
          </w:p>
        </w:tc>
        <w:tc>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Group Exposure Ratio</w:t>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 Exposure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Balances owed by Group Undertakings + Contingent liabilities assumed in support of Group Undertakings</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Gross Assets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Fixed Assets + Current Assets</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Group Exposure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Gross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Fixed assets and Current assets are shown on the face of the Balance Sheet</w:t>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2p2csry" w:id="8"/>
      <w:bookmarkEnd w:id="8"/>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Annex 4: Board Confirmation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Name: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Reference Number:</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acknowledge the requirements set out at paragraph 8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Distress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previous Board Confirmation and the Effective Date or is subsisting; or</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behalf of the Board of Directors: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w:t>
        <w:tab/>
        <w:tab/>
        <w:t xml:space="preser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tab/>
        <w:tab/>
        <w:t xml:space="preser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38">
      <w:pPr>
        <w:spacing w:after="200" w:line="276" w:lineRule="auto"/>
        <w:jc w:val="left"/>
        <w:rPr>
          <w:rFonts w:ascii="Arial" w:cs="Arial" w:eastAsia="Arial" w:hAnsi="Arial"/>
          <w:sz w:val="24"/>
          <w:szCs w:val="24"/>
        </w:rPr>
      </w:pPr>
      <w:bookmarkStart w:colFirst="0" w:colLast="0" w:name="_heading=h.4i7ojhp" w:id="10"/>
      <w:bookmarkEnd w:id="10"/>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rsid w:val="00A96D9C"/>
    <w:pPr>
      <w:keepNext w:val="1"/>
      <w:keepLines w:val="1"/>
      <w:spacing w:after="120" w:before="480"/>
      <w:outlineLvl w:val="0"/>
    </w:pPr>
    <w:rPr>
      <w:b w:val="1"/>
      <w:sz w:val="48"/>
      <w:szCs w:val="48"/>
      <w:lang w:eastAsia="en-GB"/>
    </w:rPr>
  </w:style>
  <w:style w:type="paragraph" w:styleId="Heading2">
    <w:name w:val="heading 2"/>
    <w:basedOn w:val="Normal"/>
    <w:next w:val="Normal"/>
    <w:link w:val="Heading2Char"/>
    <w:rsid w:val="00A96D9C"/>
    <w:pPr>
      <w:keepNext w:val="1"/>
      <w:keepLines w:val="1"/>
      <w:spacing w:after="80" w:before="360"/>
      <w:outlineLvl w:val="1"/>
    </w:pPr>
    <w:rPr>
      <w:b w:val="1"/>
      <w:sz w:val="36"/>
      <w:szCs w:val="36"/>
      <w:lang w:eastAsia="en-GB"/>
    </w:rPr>
  </w:style>
  <w:style w:type="paragraph" w:styleId="Heading3">
    <w:name w:val="heading 3"/>
    <w:basedOn w:val="Normal"/>
    <w:next w:val="Normal"/>
    <w:link w:val="Heading3Char"/>
    <w:rsid w:val="00A96D9C"/>
    <w:pPr>
      <w:keepNext w:val="1"/>
      <w:keepLines w:val="1"/>
      <w:spacing w:after="80" w:before="280"/>
      <w:outlineLvl w:val="2"/>
    </w:pPr>
    <w:rPr>
      <w:b w:val="1"/>
      <w:sz w:val="28"/>
      <w:szCs w:val="28"/>
      <w:lang w:eastAsia="en-GB"/>
    </w:rPr>
  </w:style>
  <w:style w:type="paragraph" w:styleId="Heading4">
    <w:name w:val="heading 4"/>
    <w:basedOn w:val="Normal"/>
    <w:next w:val="Normal"/>
    <w:link w:val="Heading4Char"/>
    <w:rsid w:val="00A96D9C"/>
    <w:pPr>
      <w:keepNext w:val="1"/>
      <w:keepLines w:val="1"/>
      <w:spacing w:after="40" w:before="240"/>
      <w:outlineLvl w:val="3"/>
    </w:pPr>
    <w:rPr>
      <w:b w:val="1"/>
      <w:sz w:val="24"/>
      <w:szCs w:val="24"/>
      <w:lang w:eastAsia="en-GB"/>
    </w:rPr>
  </w:style>
  <w:style w:type="paragraph" w:styleId="Heading5">
    <w:name w:val="heading 5"/>
    <w:basedOn w:val="Normal"/>
    <w:next w:val="Normal"/>
    <w:link w:val="Heading5Char"/>
    <w:rsid w:val="00A96D9C"/>
    <w:pPr>
      <w:keepNext w:val="1"/>
      <w:keepLines w:val="1"/>
      <w:spacing w:after="40" w:before="220"/>
      <w:outlineLvl w:val="4"/>
    </w:pPr>
    <w:rPr>
      <w:b w:val="1"/>
      <w:lang w:eastAsia="en-GB"/>
    </w:rPr>
  </w:style>
  <w:style w:type="paragraph" w:styleId="Heading6">
    <w:name w:val="heading 6"/>
    <w:basedOn w:val="Normal"/>
    <w:next w:val="Normal"/>
    <w:link w:val="Heading6Char"/>
    <w:rsid w:val="00A96D9C"/>
    <w:pPr>
      <w:keepNext w:val="1"/>
      <w:keepLines w:val="1"/>
      <w:spacing w:after="40" w:before="200"/>
      <w:outlineLvl w:val="5"/>
    </w:pPr>
    <w:rPr>
      <w:b w:val="1"/>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tdBodyText" w:customStyle="1">
    <w:name w:val="Std Body Text"/>
    <w:basedOn w:val="Normal"/>
    <w:qFormat w:val="1"/>
    <w:rsid w:val="00106E9B"/>
    <w:pPr>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4"/>
      </w:numPr>
      <w:overflowPunct w:val="1"/>
      <w:autoSpaceDE w:val="1"/>
      <w:autoSpaceDN w:val="1"/>
      <w:adjustRightInd w:val="1"/>
      <w:spacing w:after="300" w:before="100"/>
      <w:jc w:val="center"/>
      <w:textAlignment w:val="auto"/>
    </w:pPr>
    <w:rPr>
      <w:rFonts w:ascii="Arial Bold" w:cs="Times New Roman" w:hAnsi="Arial Bold"/>
      <w:b w:val="1"/>
      <w:caps w:val="1"/>
      <w:sz w:val="24"/>
      <w:szCs w:val="24"/>
      <w:lang w:eastAsia="en-GB"/>
    </w:rPr>
  </w:style>
  <w:style w:type="paragraph" w:styleId="AppendixText1" w:customStyle="1">
    <w:name w:val="Appendix Text 1"/>
    <w:basedOn w:val="Normal"/>
    <w:next w:val="StdBodyText1"/>
    <w:rsid w:val="006B02AC"/>
    <w:pPr>
      <w:numPr>
        <w:numId w:val="5"/>
      </w:num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paragraph" w:styleId="AppendixText2" w:customStyle="1">
    <w:name w:val="Appendix Text 2"/>
    <w:basedOn w:val="AppendixText1"/>
    <w:next w:val="Normal"/>
    <w:rsid w:val="006B02AC"/>
    <w:pPr>
      <w:numPr>
        <w:ilvl w:val="1"/>
      </w:numPr>
    </w:pPr>
    <w:rPr>
      <w:b w:val="0"/>
    </w:rPr>
  </w:style>
  <w:style w:type="paragraph" w:styleId="AppendixText3" w:customStyle="1">
    <w:name w:val="Appendix Text 3"/>
    <w:basedOn w:val="Normal"/>
    <w:next w:val="Normal"/>
    <w:rsid w:val="006B02AC"/>
    <w:pPr>
      <w:numPr>
        <w:ilvl w:val="2"/>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4" w:customStyle="1">
    <w:name w:val="Appendix Text 4"/>
    <w:basedOn w:val="Normal"/>
    <w:next w:val="Normal"/>
    <w:rsid w:val="006B02AC"/>
    <w:pPr>
      <w:numPr>
        <w:ilvl w:val="3"/>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5" w:customStyle="1">
    <w:name w:val="Appendix Text 5"/>
    <w:basedOn w:val="Normal"/>
    <w:next w:val="Normal"/>
    <w:rsid w:val="006B02AC"/>
    <w:pPr>
      <w:numPr>
        <w:ilvl w:val="4"/>
        <w:numId w:val="5"/>
      </w:numPr>
      <w:tabs>
        <w:tab w:val="left" w:pos="720"/>
        <w:tab w:val="left" w:pos="252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pPr>
      <w:numPr>
        <w:numId w:val="7"/>
      </w:numPr>
    </w:pPr>
  </w:style>
  <w:style w:type="numbering" w:styleId="Scheduleheading" w:customStyle="1">
    <w:name w:val="Schedule heading"/>
    <w:uiPriority w:val="99"/>
    <w:rsid w:val="0034142A"/>
    <w:pPr>
      <w:numPr>
        <w:numId w:val="8"/>
      </w:numPr>
    </w:pPr>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ascii="Arial" w:cs="Times New Roman" w:hAnsi="Arial"/>
      <w:sz w:val="24"/>
      <w:szCs w:val="24"/>
      <w:lang w:eastAsia="en-GB"/>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paragraph" w:styleId="Title">
    <w:name w:val="Title"/>
    <w:basedOn w:val="Normal"/>
    <w:next w:val="Normal"/>
    <w:link w:val="TitleChar"/>
    <w:rsid w:val="00A96D9C"/>
    <w:pPr>
      <w:keepNext w:val="1"/>
      <w:keepLines w:val="1"/>
      <w:spacing w:after="120" w:before="480"/>
    </w:pPr>
    <w:rPr>
      <w:b w:val="1"/>
      <w:sz w:val="72"/>
      <w:szCs w:val="72"/>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paragraph" w:styleId="Subtitle">
    <w:name w:val="Subtitle"/>
    <w:basedOn w:val="Normal"/>
    <w:next w:val="Normal"/>
    <w:link w:val="SubtitleChar"/>
    <w:rsid w:val="00A96D9C"/>
    <w:pPr>
      <w:keepNext w:val="1"/>
      <w:keepLines w:val="1"/>
      <w:spacing w:after="80" w:before="360"/>
    </w:pPr>
    <w:rPr>
      <w:rFonts w:ascii="Georgia" w:cs="Georgia" w:eastAsia="Georgia" w:hAnsi="Georgia"/>
      <w:i w:val="1"/>
      <w:color w:val="666666"/>
      <w:sz w:val="48"/>
      <w:szCs w:val="48"/>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wgBNlI9/Gt5R6Dld6k28jv/Bg==">CgMxLjAyCWguM2R5NnZrbTIJaC4xY2k5M3hiMgloLjN3aHdtbDQyCWguMmJuNndzeDIIaC5xc2g3MHEyCWguM2FzNHBvajIJaC4xcHhlendjMgloLjQ5eDJpazUyCWguMnAyY3NyeTIJaC4xNDduMnpyMgloLjRpN29qaHA4AHIhMXBIR3EwNDRoOF9sQmh6NktpM1BaM1dMOENJZE5XczM4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2023-02-05T22:26:00Z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