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4C952" w14:textId="77777777" w:rsidR="007E0595" w:rsidRDefault="007E0595">
      <w:pPr>
        <w:widowControl w:val="0"/>
        <w:pBdr>
          <w:top w:val="nil"/>
          <w:left w:val="nil"/>
          <w:bottom w:val="nil"/>
          <w:right w:val="nil"/>
          <w:between w:val="nil"/>
        </w:pBdr>
        <w:spacing w:after="0"/>
      </w:pPr>
    </w:p>
    <w:p w14:paraId="011C0710" w14:textId="77777777" w:rsidR="007E0595" w:rsidRDefault="00FA7C31">
      <w:pPr>
        <w:keepNext/>
        <w:pBdr>
          <w:top w:val="nil"/>
          <w:left w:val="nil"/>
          <w:bottom w:val="nil"/>
          <w:right w:val="nil"/>
          <w:between w:val="nil"/>
        </w:pBdr>
        <w:spacing w:after="240"/>
        <w:rPr>
          <w:rFonts w:ascii="Arial" w:eastAsia="Arial" w:hAnsi="Arial" w:cs="Arial"/>
          <w:b/>
          <w:bCs/>
          <w:color w:val="000000"/>
          <w:sz w:val="36"/>
          <w:szCs w:val="36"/>
        </w:rPr>
      </w:pPr>
      <w:r>
        <w:rPr>
          <w:rFonts w:ascii="Arial" w:eastAsia="Arial" w:hAnsi="Arial" w:cs="Arial"/>
          <w:b/>
          <w:bCs/>
          <w:color w:val="000000"/>
          <w:sz w:val="36"/>
          <w:szCs w:val="36"/>
        </w:rPr>
        <w:t>Call-Off Schedule 14 (Performance Levels)</w:t>
      </w:r>
    </w:p>
    <w:p w14:paraId="2B47B41A" w14:textId="77777777" w:rsidR="007E0595" w:rsidRDefault="00FA7C31">
      <w:pPr>
        <w:numPr>
          <w:ilvl w:val="0"/>
          <w:numId w:val="2"/>
        </w:numPr>
        <w:pBdr>
          <w:top w:val="nil"/>
          <w:left w:val="nil"/>
          <w:bottom w:val="nil"/>
          <w:right w:val="nil"/>
          <w:between w:val="nil"/>
        </w:pBdr>
        <w:tabs>
          <w:tab w:val="left" w:pos="142"/>
        </w:tabs>
        <w:spacing w:before="240" w:after="120"/>
      </w:pPr>
      <w:r>
        <w:rPr>
          <w:rFonts w:ascii="Arial" w:eastAsia="Arial" w:hAnsi="Arial" w:cs="Arial"/>
          <w:b/>
          <w:bCs/>
          <w:color w:val="000000"/>
          <w:sz w:val="24"/>
          <w:szCs w:val="24"/>
        </w:rPr>
        <w:t>Definitions</w:t>
      </w:r>
    </w:p>
    <w:p w14:paraId="78D50144"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In this Schedule, the following words shall have the following meanings and they shall supplement Joint Schedule 1 (</w:t>
      </w:r>
      <w:r>
        <w:rPr>
          <w:rFonts w:ascii="Arial" w:eastAsia="Arial" w:hAnsi="Arial" w:cs="Arial"/>
          <w:i/>
          <w:iCs/>
          <w:color w:val="000000"/>
          <w:sz w:val="24"/>
          <w:szCs w:val="24"/>
        </w:rPr>
        <w:t>Definitions</w:t>
      </w:r>
      <w:r>
        <w:rPr>
          <w:rFonts w:ascii="Arial" w:eastAsia="Arial" w:hAnsi="Arial" w:cs="Arial"/>
          <w:color w:val="000000"/>
          <w:sz w:val="24"/>
          <w:szCs w:val="24"/>
        </w:rPr>
        <w:t>):</w:t>
      </w:r>
    </w:p>
    <w:tbl>
      <w:tblPr>
        <w:tblStyle w:val="a1"/>
        <w:tblW w:w="8363"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5953"/>
      </w:tblGrid>
      <w:tr w:rsidR="007E0595" w14:paraId="7CF6A61E" w14:textId="77777777">
        <w:tc>
          <w:tcPr>
            <w:tcW w:w="2410" w:type="dxa"/>
            <w:vAlign w:val="center"/>
          </w:tcPr>
          <w:p w14:paraId="1E9E7F69"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bookmarkStart w:id="0" w:name="_heading=h.2et92p0" w:colFirst="0" w:colLast="0"/>
            <w:bookmarkEnd w:id="0"/>
            <w:r>
              <w:rPr>
                <w:rFonts w:ascii="Arial" w:eastAsia="Arial" w:hAnsi="Arial" w:cs="Arial"/>
                <w:b/>
                <w:bCs/>
                <w:color w:val="000000"/>
                <w:sz w:val="24"/>
                <w:szCs w:val="24"/>
              </w:rPr>
              <w:t>"At Risk %"</w:t>
            </w:r>
          </w:p>
        </w:tc>
        <w:tc>
          <w:tcPr>
            <w:tcW w:w="5953" w:type="dxa"/>
            <w:vAlign w:val="center"/>
          </w:tcPr>
          <w:p w14:paraId="418A9804" w14:textId="77777777" w:rsidR="007E0595" w:rsidRDefault="00FA7C31">
            <w:pPr>
              <w:pBdr>
                <w:top w:val="nil"/>
                <w:left w:val="nil"/>
                <w:bottom w:val="nil"/>
                <w:right w:val="nil"/>
                <w:between w:val="nil"/>
              </w:pBdr>
              <w:tabs>
                <w:tab w:val="left" w:pos="-9"/>
                <w:tab w:val="left" w:pos="-179"/>
              </w:tabs>
              <w:spacing w:after="120" w:line="276" w:lineRule="auto"/>
              <w:ind w:left="207"/>
              <w:rPr>
                <w:rFonts w:ascii="Arial" w:eastAsia="Arial" w:hAnsi="Arial" w:cs="Arial"/>
                <w:color w:val="000000"/>
                <w:sz w:val="24"/>
                <w:szCs w:val="24"/>
              </w:rPr>
            </w:pPr>
            <w:r>
              <w:rPr>
                <w:rFonts w:ascii="Arial" w:eastAsia="Arial" w:hAnsi="Arial" w:cs="Arial"/>
                <w:color w:val="000000"/>
                <w:sz w:val="24"/>
                <w:szCs w:val="24"/>
              </w:rPr>
              <w:t>means the percentage figure identified as such in the Order Form;</w:t>
            </w:r>
          </w:p>
        </w:tc>
      </w:tr>
      <w:tr w:rsidR="007E0595" w14:paraId="4C136DF2" w14:textId="77777777">
        <w:tc>
          <w:tcPr>
            <w:tcW w:w="2410" w:type="dxa"/>
            <w:vAlign w:val="center"/>
          </w:tcPr>
          <w:p w14:paraId="1D4FD6D8"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t>"At Risk Amount"</w:t>
            </w:r>
          </w:p>
        </w:tc>
        <w:tc>
          <w:tcPr>
            <w:tcW w:w="5953" w:type="dxa"/>
            <w:vAlign w:val="center"/>
          </w:tcPr>
          <w:p w14:paraId="1AF1DF62" w14:textId="77777777" w:rsidR="007E0595" w:rsidRDefault="00FA7C31">
            <w:pPr>
              <w:pBdr>
                <w:top w:val="nil"/>
                <w:left w:val="nil"/>
                <w:bottom w:val="nil"/>
                <w:right w:val="nil"/>
                <w:between w:val="nil"/>
              </w:pBdr>
              <w:tabs>
                <w:tab w:val="left" w:pos="-9"/>
                <w:tab w:val="left" w:pos="-179"/>
              </w:tabs>
              <w:spacing w:after="120" w:line="276" w:lineRule="auto"/>
              <w:ind w:left="207"/>
              <w:rPr>
                <w:rFonts w:ascii="Arial" w:eastAsia="Arial" w:hAnsi="Arial" w:cs="Arial"/>
                <w:color w:val="000000"/>
                <w:sz w:val="24"/>
                <w:szCs w:val="24"/>
              </w:rPr>
            </w:pPr>
            <w:r>
              <w:rPr>
                <w:rFonts w:ascii="Arial" w:eastAsia="Arial" w:hAnsi="Arial" w:cs="Arial"/>
                <w:color w:val="000000"/>
                <w:sz w:val="24"/>
                <w:szCs w:val="24"/>
              </w:rPr>
              <w:t>means in respect of a Service Period, the amount calculated in accordance with Paragraph 3.1 of Part A of this Schedule;</w:t>
            </w:r>
          </w:p>
        </w:tc>
      </w:tr>
      <w:tr w:rsidR="007E0595" w14:paraId="6716BF47" w14:textId="77777777">
        <w:tc>
          <w:tcPr>
            <w:tcW w:w="2410" w:type="dxa"/>
            <w:vAlign w:val="center"/>
          </w:tcPr>
          <w:p w14:paraId="206DB15C"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sz w:val="24"/>
                <w:szCs w:val="24"/>
              </w:rPr>
              <w:t>"Earn Back %"</w:t>
            </w:r>
          </w:p>
        </w:tc>
        <w:tc>
          <w:tcPr>
            <w:tcW w:w="5953" w:type="dxa"/>
            <w:vAlign w:val="center"/>
          </w:tcPr>
          <w:p w14:paraId="2B39E519"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sz w:val="24"/>
                <w:szCs w:val="24"/>
              </w:rPr>
              <w:t>means the percentage figure identified as such in the Order Form and which shall be used to determine the proportion of a KPI Credit which may be the subject of any Earn Back;</w:t>
            </w:r>
          </w:p>
        </w:tc>
      </w:tr>
      <w:tr w:rsidR="007E0595" w14:paraId="508F107E" w14:textId="77777777">
        <w:tc>
          <w:tcPr>
            <w:tcW w:w="2410" w:type="dxa"/>
            <w:vAlign w:val="center"/>
          </w:tcPr>
          <w:p w14:paraId="6EB506C5" w14:textId="77777777" w:rsidR="007E0595" w:rsidRDefault="00FA7C31">
            <w:pPr>
              <w:pBdr>
                <w:top w:val="nil"/>
                <w:left w:val="nil"/>
                <w:bottom w:val="nil"/>
                <w:right w:val="nil"/>
                <w:between w:val="nil"/>
              </w:pBdr>
              <w:spacing w:after="120" w:line="276" w:lineRule="auto"/>
              <w:ind w:left="-72"/>
              <w:rPr>
                <w:rFonts w:ascii="Arial" w:eastAsia="Arial" w:hAnsi="Arial" w:cs="Arial"/>
                <w:b/>
                <w:bCs/>
              </w:rPr>
            </w:pPr>
            <w:r>
              <w:rPr>
                <w:rFonts w:ascii="Arial" w:eastAsia="Arial" w:hAnsi="Arial" w:cs="Arial"/>
                <w:b/>
                <w:bCs/>
                <w:sz w:val="24"/>
                <w:szCs w:val="24"/>
              </w:rPr>
              <w:t>“Impacted Services”</w:t>
            </w:r>
          </w:p>
        </w:tc>
        <w:tc>
          <w:tcPr>
            <w:tcW w:w="5953" w:type="dxa"/>
            <w:vAlign w:val="center"/>
          </w:tcPr>
          <w:p w14:paraId="31D196B3"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sz w:val="24"/>
                <w:szCs w:val="24"/>
              </w:rPr>
            </w:pPr>
            <w:r>
              <w:rPr>
                <w:rFonts w:ascii="Arial" w:eastAsia="Arial" w:hAnsi="Arial" w:cs="Arial"/>
                <w:color w:val="000000"/>
                <w:sz w:val="24"/>
                <w:szCs w:val="24"/>
              </w:rPr>
              <w:t>means each and every one of the Services provided by the Supplier that has been affected as a result of a KPI Failure;</w:t>
            </w:r>
          </w:p>
        </w:tc>
      </w:tr>
      <w:tr w:rsidR="007E0595" w14:paraId="76823A8F" w14:textId="77777777">
        <w:tc>
          <w:tcPr>
            <w:tcW w:w="2410" w:type="dxa"/>
            <w:vAlign w:val="center"/>
          </w:tcPr>
          <w:p w14:paraId="1B7885D8" w14:textId="77777777" w:rsidR="007E0595" w:rsidRDefault="00FA7C31">
            <w:pPr>
              <w:pBdr>
                <w:top w:val="nil"/>
                <w:left w:val="nil"/>
                <w:bottom w:val="nil"/>
                <w:right w:val="nil"/>
                <w:between w:val="nil"/>
              </w:pBdr>
              <w:spacing w:after="120" w:line="276" w:lineRule="auto"/>
              <w:ind w:left="-72"/>
              <w:rPr>
                <w:rFonts w:ascii="Arial" w:eastAsia="Arial" w:hAnsi="Arial" w:cs="Arial"/>
                <w:b/>
                <w:bCs/>
                <w:sz w:val="24"/>
                <w:szCs w:val="24"/>
              </w:rPr>
            </w:pPr>
            <w:r>
              <w:rPr>
                <w:rFonts w:ascii="Arial" w:eastAsia="Arial" w:hAnsi="Arial" w:cs="Arial"/>
                <w:b/>
                <w:bCs/>
                <w:sz w:val="24"/>
                <w:szCs w:val="24"/>
              </w:rPr>
              <w:t>“KPI Holiday Period”</w:t>
            </w:r>
          </w:p>
        </w:tc>
        <w:tc>
          <w:tcPr>
            <w:tcW w:w="5953" w:type="dxa"/>
            <w:vAlign w:val="center"/>
          </w:tcPr>
          <w:p w14:paraId="79B381A9" w14:textId="77777777" w:rsidR="007E0595" w:rsidRDefault="00FA7C31">
            <w:pPr>
              <w:tabs>
                <w:tab w:val="left" w:pos="144"/>
              </w:tabs>
              <w:spacing w:after="120" w:line="276" w:lineRule="auto"/>
              <w:ind w:left="206"/>
              <w:jc w:val="both"/>
              <w:rPr>
                <w:rFonts w:ascii="Arial" w:eastAsia="Arial" w:hAnsi="Arial" w:cs="Arial"/>
                <w:color w:val="000000"/>
                <w:sz w:val="24"/>
                <w:szCs w:val="24"/>
              </w:rPr>
            </w:pPr>
            <w:r>
              <w:rPr>
                <w:rFonts w:ascii="Arial" w:eastAsia="Arial" w:hAnsi="Arial" w:cs="Arial"/>
                <w:sz w:val="24"/>
                <w:szCs w:val="24"/>
              </w:rPr>
              <w:t>means the period where KPIs shall continue to be reported by the Supplier but no KPI Credits shall be applied nor shall the Ratchet be applied at the end of the KPI Holiday Period;</w:t>
            </w:r>
          </w:p>
        </w:tc>
      </w:tr>
      <w:tr w:rsidR="007E0595" w14:paraId="4D734180" w14:textId="77777777">
        <w:tc>
          <w:tcPr>
            <w:tcW w:w="2410" w:type="dxa"/>
            <w:vAlign w:val="center"/>
          </w:tcPr>
          <w:p w14:paraId="7D0D7E0D"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t>"KPI Credits"</w:t>
            </w:r>
          </w:p>
        </w:tc>
        <w:tc>
          <w:tcPr>
            <w:tcW w:w="5953" w:type="dxa"/>
            <w:vAlign w:val="center"/>
          </w:tcPr>
          <w:p w14:paraId="09A9AD8A"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color w:val="000000"/>
                <w:sz w:val="24"/>
                <w:szCs w:val="24"/>
              </w:rPr>
              <w:t>any KPI Credits specified in the Annex to Part A of this Schedule being payable by the Supplier to the Buyer in respect of any failure by the Supplier to meet one or more KPIs;</w:t>
            </w:r>
          </w:p>
        </w:tc>
      </w:tr>
      <w:tr w:rsidR="007E0595" w14:paraId="2D38134E" w14:textId="77777777">
        <w:tc>
          <w:tcPr>
            <w:tcW w:w="2410" w:type="dxa"/>
            <w:vAlign w:val="center"/>
          </w:tcPr>
          <w:p w14:paraId="59A4B872"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t>"KPI Model"</w:t>
            </w:r>
          </w:p>
        </w:tc>
        <w:tc>
          <w:tcPr>
            <w:tcW w:w="5953" w:type="dxa"/>
            <w:vAlign w:val="center"/>
          </w:tcPr>
          <w:p w14:paraId="1F44CB4D"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sz w:val="24"/>
                <w:szCs w:val="24"/>
              </w:rPr>
              <w:t>means the model comprised in the Excel worksheet - KPI Model, and attached</w:t>
            </w:r>
            <w:r>
              <w:rPr>
                <w:rFonts w:ascii="Arial" w:eastAsia="Arial" w:hAnsi="Arial" w:cs="Arial"/>
                <w:color w:val="000000"/>
                <w:sz w:val="24"/>
                <w:szCs w:val="24"/>
              </w:rPr>
              <w:t xml:space="preserve"> in the Annex </w:t>
            </w:r>
            <w:r>
              <w:rPr>
                <w:rFonts w:ascii="Arial" w:eastAsia="Arial" w:hAnsi="Arial" w:cs="Arial"/>
                <w:sz w:val="24"/>
                <w:szCs w:val="24"/>
              </w:rPr>
              <w:t xml:space="preserve">A </w:t>
            </w:r>
            <w:r>
              <w:rPr>
                <w:rFonts w:ascii="Arial" w:eastAsia="Arial" w:hAnsi="Arial" w:cs="Arial"/>
                <w:color w:val="000000"/>
                <w:sz w:val="24"/>
                <w:szCs w:val="24"/>
              </w:rPr>
              <w:t>to Part</w:t>
            </w:r>
            <w:r>
              <w:rPr>
                <w:rFonts w:ascii="Arial" w:eastAsia="Arial" w:hAnsi="Arial" w:cs="Arial"/>
                <w:sz w:val="24"/>
                <w:szCs w:val="24"/>
              </w:rPr>
              <w:t> </w:t>
            </w:r>
            <w:r>
              <w:rPr>
                <w:rFonts w:ascii="Arial" w:eastAsia="Arial" w:hAnsi="Arial" w:cs="Arial"/>
                <w:color w:val="000000"/>
                <w:sz w:val="24"/>
                <w:szCs w:val="24"/>
              </w:rPr>
              <w:t xml:space="preserve">A of this Schedule to </w:t>
            </w:r>
            <w:r>
              <w:rPr>
                <w:rFonts w:ascii="Arial" w:eastAsia="Arial" w:hAnsi="Arial" w:cs="Arial"/>
                <w:sz w:val="24"/>
                <w:szCs w:val="24"/>
              </w:rPr>
              <w:t>be used for calculating any adjustments</w:t>
            </w:r>
            <w:r>
              <w:rPr>
                <w:rFonts w:ascii="Arial" w:eastAsia="Arial" w:hAnsi="Arial" w:cs="Arial"/>
                <w:color w:val="000000"/>
                <w:sz w:val="24"/>
                <w:szCs w:val="24"/>
              </w:rPr>
              <w:t xml:space="preserve"> to </w:t>
            </w:r>
            <w:r>
              <w:rPr>
                <w:rFonts w:ascii="Arial" w:eastAsia="Arial" w:hAnsi="Arial" w:cs="Arial"/>
                <w:sz w:val="24"/>
                <w:szCs w:val="24"/>
              </w:rPr>
              <w:t>the Charges as a result of the operation of the KPI regime in this Schedule</w:t>
            </w:r>
            <w:r>
              <w:rPr>
                <w:rFonts w:ascii="Arial" w:eastAsia="Arial" w:hAnsi="Arial" w:cs="Arial"/>
                <w:color w:val="000000"/>
                <w:sz w:val="24"/>
                <w:szCs w:val="24"/>
              </w:rPr>
              <w:t>;</w:t>
            </w:r>
          </w:p>
        </w:tc>
      </w:tr>
      <w:tr w:rsidR="007E0595" w14:paraId="5A338FB0" w14:textId="77777777">
        <w:tc>
          <w:tcPr>
            <w:tcW w:w="2410" w:type="dxa"/>
            <w:vAlign w:val="center"/>
          </w:tcPr>
          <w:p w14:paraId="5B495201"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sz w:val="24"/>
                <w:szCs w:val="24"/>
              </w:rPr>
              <w:t>"KPI At Risk Amount"</w:t>
            </w:r>
          </w:p>
        </w:tc>
        <w:tc>
          <w:tcPr>
            <w:tcW w:w="5953" w:type="dxa"/>
            <w:vAlign w:val="center"/>
          </w:tcPr>
          <w:p w14:paraId="26DBD2D2"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color w:val="000000"/>
                <w:sz w:val="24"/>
                <w:szCs w:val="24"/>
              </w:rPr>
              <w:t xml:space="preserve">means </w:t>
            </w:r>
            <w:r>
              <w:rPr>
                <w:rFonts w:ascii="Arial" w:eastAsia="Arial" w:hAnsi="Arial" w:cs="Arial"/>
                <w:sz w:val="24"/>
                <w:szCs w:val="24"/>
              </w:rPr>
              <w:t>in relation</w:t>
            </w:r>
            <w:r>
              <w:rPr>
                <w:rFonts w:ascii="Arial" w:eastAsia="Arial" w:hAnsi="Arial" w:cs="Arial"/>
                <w:color w:val="000000"/>
                <w:sz w:val="24"/>
                <w:szCs w:val="24"/>
              </w:rPr>
              <w:t xml:space="preserve"> to </w:t>
            </w:r>
            <w:r>
              <w:rPr>
                <w:rFonts w:ascii="Arial" w:eastAsia="Arial" w:hAnsi="Arial" w:cs="Arial"/>
                <w:sz w:val="24"/>
                <w:szCs w:val="24"/>
              </w:rPr>
              <w:t>a KPI</w:t>
            </w:r>
            <w:r>
              <w:rPr>
                <w:rFonts w:ascii="Arial" w:eastAsia="Arial" w:hAnsi="Arial" w:cs="Arial"/>
                <w:color w:val="000000"/>
                <w:sz w:val="24"/>
                <w:szCs w:val="24"/>
              </w:rPr>
              <w:t xml:space="preserve"> in respect of a Service </w:t>
            </w:r>
            <w:r>
              <w:rPr>
                <w:rFonts w:ascii="Arial" w:eastAsia="Arial" w:hAnsi="Arial" w:cs="Arial"/>
                <w:sz w:val="24"/>
                <w:szCs w:val="24"/>
              </w:rPr>
              <w:t xml:space="preserve">Period, the amount calculated in accordance with Paragraph 3.3 of Part A of this Schedule; </w:t>
            </w:r>
          </w:p>
        </w:tc>
      </w:tr>
      <w:tr w:rsidR="007E0595" w14:paraId="02E00E97" w14:textId="77777777">
        <w:tc>
          <w:tcPr>
            <w:tcW w:w="2410" w:type="dxa"/>
            <w:vAlign w:val="center"/>
          </w:tcPr>
          <w:p w14:paraId="071C4522" w14:textId="77777777" w:rsidR="007E0595" w:rsidRDefault="00FA7C31">
            <w:pPr>
              <w:pBdr>
                <w:top w:val="nil"/>
                <w:left w:val="nil"/>
                <w:bottom w:val="nil"/>
                <w:right w:val="nil"/>
                <w:between w:val="nil"/>
              </w:pBdr>
              <w:spacing w:after="120" w:line="276" w:lineRule="auto"/>
              <w:ind w:left="-108"/>
              <w:rPr>
                <w:rFonts w:ascii="Arial" w:eastAsia="Arial" w:hAnsi="Arial" w:cs="Arial"/>
                <w:b/>
                <w:bCs/>
                <w:sz w:val="24"/>
                <w:szCs w:val="24"/>
              </w:rPr>
            </w:pPr>
            <w:r>
              <w:rPr>
                <w:rFonts w:ascii="Arial" w:eastAsia="Arial" w:hAnsi="Arial" w:cs="Arial"/>
                <w:b/>
                <w:bCs/>
                <w:color w:val="000000"/>
                <w:sz w:val="24"/>
                <w:szCs w:val="24"/>
              </w:rPr>
              <w:t>"KPI Failure"</w:t>
            </w:r>
          </w:p>
        </w:tc>
        <w:tc>
          <w:tcPr>
            <w:tcW w:w="5953" w:type="dxa"/>
            <w:vAlign w:val="center"/>
          </w:tcPr>
          <w:p w14:paraId="6294D5EF"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color w:val="000000"/>
                <w:sz w:val="24"/>
                <w:szCs w:val="24"/>
              </w:rPr>
              <w:t>means a failure to meet the KPI Performance Measure in respect of a KPI;</w:t>
            </w:r>
          </w:p>
        </w:tc>
      </w:tr>
      <w:tr w:rsidR="007E0595" w14:paraId="5E22822C" w14:textId="77777777">
        <w:tc>
          <w:tcPr>
            <w:tcW w:w="2410" w:type="dxa"/>
            <w:vAlign w:val="center"/>
          </w:tcPr>
          <w:p w14:paraId="689C6562"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lastRenderedPageBreak/>
              <w:t>"KPI Performance Measure"</w:t>
            </w:r>
          </w:p>
          <w:p w14:paraId="52EA5916" w14:textId="77777777" w:rsidR="007E0595" w:rsidRDefault="007E0595">
            <w:pPr>
              <w:spacing w:line="276" w:lineRule="auto"/>
              <w:rPr>
                <w:rFonts w:ascii="Arial" w:eastAsia="Arial" w:hAnsi="Arial" w:cs="Arial"/>
                <w:sz w:val="24"/>
                <w:szCs w:val="24"/>
              </w:rPr>
            </w:pPr>
          </w:p>
        </w:tc>
        <w:tc>
          <w:tcPr>
            <w:tcW w:w="5953" w:type="dxa"/>
            <w:vAlign w:val="center"/>
          </w:tcPr>
          <w:p w14:paraId="036894D6"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sz w:val="24"/>
                <w:szCs w:val="24"/>
              </w:rPr>
              <w:t xml:space="preserve">means each of the Performance Measures in the columns headed Measure Requirement and Measure Achievement Calculation in the KPI Measures tab of the KPI Model; </w:t>
            </w:r>
          </w:p>
        </w:tc>
      </w:tr>
      <w:tr w:rsidR="007E0595" w14:paraId="2B3036B6" w14:textId="77777777">
        <w:tc>
          <w:tcPr>
            <w:tcW w:w="2410" w:type="dxa"/>
            <w:vAlign w:val="center"/>
          </w:tcPr>
          <w:p w14:paraId="6CE8C72B"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t>"Performance Monitoring Reports"</w:t>
            </w:r>
          </w:p>
        </w:tc>
        <w:tc>
          <w:tcPr>
            <w:tcW w:w="5953" w:type="dxa"/>
            <w:vAlign w:val="center"/>
          </w:tcPr>
          <w:p w14:paraId="392DC01F"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color w:val="000000"/>
                <w:sz w:val="24"/>
                <w:szCs w:val="24"/>
              </w:rPr>
              <w:t xml:space="preserve">shall have the meaning in Part B of this Schedule; </w:t>
            </w:r>
          </w:p>
        </w:tc>
      </w:tr>
      <w:tr w:rsidR="007E0595" w14:paraId="2875B07A" w14:textId="77777777">
        <w:tc>
          <w:tcPr>
            <w:tcW w:w="2410" w:type="dxa"/>
            <w:vAlign w:val="center"/>
          </w:tcPr>
          <w:p w14:paraId="73AFA899"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t>"Performance Review Meetings"</w:t>
            </w:r>
          </w:p>
        </w:tc>
        <w:tc>
          <w:tcPr>
            <w:tcW w:w="5953" w:type="dxa"/>
            <w:vAlign w:val="center"/>
          </w:tcPr>
          <w:p w14:paraId="34E3F689"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color w:val="000000"/>
                <w:sz w:val="24"/>
                <w:szCs w:val="24"/>
              </w:rPr>
              <w:t xml:space="preserve">shall have the meaning in Part B of this Schedule; </w:t>
            </w:r>
          </w:p>
        </w:tc>
      </w:tr>
      <w:tr w:rsidR="007E0595" w14:paraId="0745373D" w14:textId="77777777">
        <w:tc>
          <w:tcPr>
            <w:tcW w:w="2410" w:type="dxa"/>
            <w:vAlign w:val="center"/>
          </w:tcPr>
          <w:p w14:paraId="45FFEF78" w14:textId="77777777" w:rsidR="007E0595" w:rsidRDefault="00FA7C31">
            <w:pPr>
              <w:pBdr>
                <w:top w:val="nil"/>
                <w:left w:val="nil"/>
                <w:bottom w:val="nil"/>
                <w:right w:val="nil"/>
                <w:between w:val="nil"/>
              </w:pBdr>
              <w:spacing w:after="120" w:line="276" w:lineRule="auto"/>
              <w:ind w:left="-108"/>
              <w:rPr>
                <w:rFonts w:ascii="Arial" w:eastAsia="Arial" w:hAnsi="Arial" w:cs="Arial"/>
                <w:b/>
                <w:bCs/>
                <w:sz w:val="24"/>
                <w:szCs w:val="24"/>
              </w:rPr>
            </w:pPr>
            <w:r>
              <w:rPr>
                <w:rFonts w:ascii="Arial" w:eastAsia="Arial" w:hAnsi="Arial" w:cs="Arial"/>
                <w:b/>
                <w:bCs/>
                <w:sz w:val="24"/>
                <w:szCs w:val="24"/>
              </w:rPr>
              <w:t>“Prohibited Act”</w:t>
            </w:r>
          </w:p>
        </w:tc>
        <w:tc>
          <w:tcPr>
            <w:tcW w:w="5953" w:type="dxa"/>
            <w:vAlign w:val="center"/>
          </w:tcPr>
          <w:p w14:paraId="06929C73" w14:textId="77777777" w:rsidR="007E0595" w:rsidRDefault="00FA7C31">
            <w:pPr>
              <w:numPr>
                <w:ilvl w:val="0"/>
                <w:numId w:val="1"/>
              </w:numPr>
              <w:pBdr>
                <w:top w:val="nil"/>
                <w:left w:val="nil"/>
                <w:bottom w:val="nil"/>
                <w:right w:val="nil"/>
                <w:between w:val="nil"/>
              </w:pBdr>
              <w:tabs>
                <w:tab w:val="left" w:pos="-9"/>
                <w:tab w:val="left" w:pos="-179"/>
              </w:tabs>
              <w:spacing w:line="276" w:lineRule="auto"/>
              <w:rPr>
                <w:rFonts w:ascii="Arial" w:eastAsia="Arial" w:hAnsi="Arial" w:cs="Arial"/>
                <w:sz w:val="24"/>
                <w:szCs w:val="24"/>
              </w:rPr>
            </w:pPr>
            <w:r>
              <w:rPr>
                <w:rFonts w:ascii="Arial" w:eastAsia="Arial" w:hAnsi="Arial" w:cs="Arial"/>
                <w:sz w:val="24"/>
                <w:szCs w:val="24"/>
              </w:rPr>
              <w:t>to directly or indirectly offer, promise or give any person working for or engaged by a Buyer or any other public body a financial or other advantage to:</w:t>
            </w:r>
          </w:p>
          <w:p w14:paraId="418890B0" w14:textId="77777777" w:rsidR="007E0595" w:rsidRDefault="00FA7C31">
            <w:pPr>
              <w:numPr>
                <w:ilvl w:val="1"/>
                <w:numId w:val="1"/>
              </w:numPr>
              <w:pBdr>
                <w:top w:val="nil"/>
                <w:left w:val="nil"/>
                <w:bottom w:val="nil"/>
                <w:right w:val="nil"/>
                <w:between w:val="nil"/>
              </w:pBdr>
              <w:tabs>
                <w:tab w:val="left" w:pos="-9"/>
                <w:tab w:val="left" w:pos="-179"/>
              </w:tabs>
              <w:spacing w:line="276" w:lineRule="auto"/>
              <w:rPr>
                <w:rFonts w:ascii="Arial" w:eastAsia="Arial" w:hAnsi="Arial" w:cs="Arial"/>
                <w:sz w:val="24"/>
                <w:szCs w:val="24"/>
              </w:rPr>
            </w:pPr>
            <w:r>
              <w:rPr>
                <w:rFonts w:ascii="Arial" w:eastAsia="Arial" w:hAnsi="Arial" w:cs="Arial"/>
                <w:sz w:val="24"/>
                <w:szCs w:val="24"/>
              </w:rPr>
              <w:t>induce that person to perform improperly a relevant function or activity; or</w:t>
            </w:r>
          </w:p>
          <w:p w14:paraId="2F239085" w14:textId="77777777" w:rsidR="007E0595" w:rsidRDefault="00FA7C31">
            <w:pPr>
              <w:numPr>
                <w:ilvl w:val="1"/>
                <w:numId w:val="1"/>
              </w:numPr>
              <w:pBdr>
                <w:top w:val="nil"/>
                <w:left w:val="nil"/>
                <w:bottom w:val="nil"/>
                <w:right w:val="nil"/>
                <w:between w:val="nil"/>
              </w:pBdr>
              <w:tabs>
                <w:tab w:val="left" w:pos="-9"/>
                <w:tab w:val="left" w:pos="-179"/>
              </w:tabs>
              <w:spacing w:line="276" w:lineRule="auto"/>
              <w:rPr>
                <w:rFonts w:ascii="Arial" w:eastAsia="Arial" w:hAnsi="Arial" w:cs="Arial"/>
                <w:sz w:val="24"/>
                <w:szCs w:val="24"/>
              </w:rPr>
            </w:pPr>
            <w:r>
              <w:rPr>
                <w:rFonts w:ascii="Arial" w:eastAsia="Arial" w:hAnsi="Arial" w:cs="Arial"/>
                <w:sz w:val="24"/>
                <w:szCs w:val="24"/>
              </w:rPr>
              <w:t xml:space="preserve"> reward that person for improper performance of a relevant function or activity;</w:t>
            </w:r>
          </w:p>
          <w:p w14:paraId="026C1D54" w14:textId="77777777" w:rsidR="007E0595" w:rsidRDefault="00FA7C31">
            <w:pPr>
              <w:numPr>
                <w:ilvl w:val="0"/>
                <w:numId w:val="1"/>
              </w:numPr>
              <w:pBdr>
                <w:top w:val="nil"/>
                <w:left w:val="nil"/>
                <w:bottom w:val="nil"/>
                <w:right w:val="nil"/>
                <w:between w:val="nil"/>
              </w:pBdr>
              <w:tabs>
                <w:tab w:val="left" w:pos="-9"/>
                <w:tab w:val="left" w:pos="-179"/>
              </w:tabs>
              <w:spacing w:line="276" w:lineRule="auto"/>
              <w:rPr>
                <w:rFonts w:ascii="Arial" w:eastAsia="Arial" w:hAnsi="Arial" w:cs="Arial"/>
                <w:sz w:val="24"/>
                <w:szCs w:val="24"/>
              </w:rPr>
            </w:pPr>
            <w:r>
              <w:rPr>
                <w:rFonts w:ascii="Arial" w:eastAsia="Arial" w:hAnsi="Arial" w:cs="Arial"/>
                <w:sz w:val="24"/>
                <w:szCs w:val="24"/>
              </w:rPr>
              <w:t>to directly or indirectly request, agree to receive or accept any financial or other advantage as an inducement or a reward for improper performance of a relevant function or activity in connection with each Contract; or</w:t>
            </w:r>
          </w:p>
          <w:p w14:paraId="08ADDF49" w14:textId="77777777" w:rsidR="007E0595" w:rsidRDefault="00FA7C31">
            <w:pPr>
              <w:numPr>
                <w:ilvl w:val="0"/>
                <w:numId w:val="1"/>
              </w:numPr>
              <w:pBdr>
                <w:top w:val="nil"/>
                <w:left w:val="nil"/>
                <w:bottom w:val="nil"/>
                <w:right w:val="nil"/>
                <w:between w:val="nil"/>
              </w:pBdr>
              <w:tabs>
                <w:tab w:val="left" w:pos="-9"/>
                <w:tab w:val="left" w:pos="-179"/>
              </w:tabs>
              <w:spacing w:line="276" w:lineRule="auto"/>
              <w:rPr>
                <w:rFonts w:ascii="Arial" w:eastAsia="Arial" w:hAnsi="Arial" w:cs="Arial"/>
                <w:sz w:val="24"/>
                <w:szCs w:val="24"/>
              </w:rPr>
            </w:pPr>
            <w:r>
              <w:rPr>
                <w:rFonts w:ascii="Arial" w:eastAsia="Arial" w:hAnsi="Arial" w:cs="Arial"/>
                <w:sz w:val="24"/>
                <w:szCs w:val="24"/>
              </w:rPr>
              <w:t>committing any offence:</w:t>
            </w:r>
          </w:p>
          <w:p w14:paraId="115B96BE" w14:textId="77777777" w:rsidR="007E0595" w:rsidRDefault="00FA7C31">
            <w:pPr>
              <w:numPr>
                <w:ilvl w:val="1"/>
                <w:numId w:val="1"/>
              </w:numPr>
              <w:pBdr>
                <w:top w:val="nil"/>
                <w:left w:val="nil"/>
                <w:bottom w:val="nil"/>
                <w:right w:val="nil"/>
                <w:between w:val="nil"/>
              </w:pBdr>
              <w:tabs>
                <w:tab w:val="left" w:pos="-9"/>
                <w:tab w:val="left" w:pos="-179"/>
              </w:tabs>
              <w:spacing w:after="120" w:line="276" w:lineRule="auto"/>
              <w:rPr>
                <w:rFonts w:ascii="Arial" w:eastAsia="Arial" w:hAnsi="Arial" w:cs="Arial"/>
                <w:sz w:val="24"/>
                <w:szCs w:val="24"/>
              </w:rPr>
            </w:pPr>
            <w:r>
              <w:rPr>
                <w:rFonts w:ascii="Arial" w:eastAsia="Arial" w:hAnsi="Arial" w:cs="Arial"/>
                <w:sz w:val="24"/>
                <w:szCs w:val="24"/>
              </w:rPr>
              <w:t>under the Bribery Act 2010 (or any legislation repealed or revoked by such Act); or</w:t>
            </w:r>
          </w:p>
          <w:p w14:paraId="01B2A95F"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sz w:val="24"/>
                <w:szCs w:val="24"/>
              </w:rPr>
            </w:pPr>
            <w:r>
              <w:rPr>
                <w:rFonts w:ascii="Arial" w:eastAsia="Arial" w:hAnsi="Arial" w:cs="Arial"/>
                <w:sz w:val="24"/>
                <w:szCs w:val="24"/>
              </w:rPr>
              <w:t>ii) under legislation or common law concerning fraudulent acts; or</w:t>
            </w:r>
          </w:p>
          <w:p w14:paraId="3E184823"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sz w:val="24"/>
                <w:szCs w:val="24"/>
              </w:rPr>
            </w:pPr>
            <w:r>
              <w:rPr>
                <w:rFonts w:ascii="Arial" w:eastAsia="Arial" w:hAnsi="Arial" w:cs="Arial"/>
                <w:sz w:val="24"/>
                <w:szCs w:val="24"/>
              </w:rPr>
              <w:t>iii) defrauding, attempting to defraud or conspiring to defraud a Buyer or other public body; or</w:t>
            </w:r>
          </w:p>
          <w:p w14:paraId="449445C4"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sz w:val="24"/>
                <w:szCs w:val="24"/>
              </w:rPr>
            </w:pPr>
            <w:r>
              <w:rPr>
                <w:rFonts w:ascii="Arial" w:eastAsia="Arial" w:hAnsi="Arial" w:cs="Arial"/>
                <w:sz w:val="24"/>
                <w:szCs w:val="24"/>
              </w:rPr>
              <w:t>d) any activity, practice or conduct which would constitute one of the offences listed under (c) above if such activity, practice or conduct had been carried out in the UK;</w:t>
            </w:r>
          </w:p>
        </w:tc>
      </w:tr>
      <w:tr w:rsidR="007E0595" w14:paraId="6B9EA2EB" w14:textId="77777777">
        <w:tc>
          <w:tcPr>
            <w:tcW w:w="2410" w:type="dxa"/>
            <w:vAlign w:val="center"/>
          </w:tcPr>
          <w:p w14:paraId="0564DA22"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color w:val="000000"/>
                <w:sz w:val="24"/>
                <w:szCs w:val="24"/>
              </w:rPr>
              <w:t>"Ratchet"</w:t>
            </w:r>
          </w:p>
        </w:tc>
        <w:tc>
          <w:tcPr>
            <w:tcW w:w="5953" w:type="dxa"/>
            <w:vAlign w:val="center"/>
          </w:tcPr>
          <w:p w14:paraId="0910FBF5"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color w:val="000000"/>
                <w:sz w:val="24"/>
                <w:szCs w:val="24"/>
              </w:rPr>
              <w:t>shall have the meaning in Part A of this Schedule;</w:t>
            </w:r>
          </w:p>
        </w:tc>
      </w:tr>
      <w:tr w:rsidR="007E0595" w14:paraId="3C1ECC8D" w14:textId="77777777">
        <w:tc>
          <w:tcPr>
            <w:tcW w:w="2410" w:type="dxa"/>
            <w:vAlign w:val="center"/>
          </w:tcPr>
          <w:p w14:paraId="3FDD0510" w14:textId="77777777" w:rsidR="007E0595" w:rsidRDefault="00FA7C31">
            <w:pPr>
              <w:pBdr>
                <w:top w:val="nil"/>
                <w:left w:val="nil"/>
                <w:bottom w:val="nil"/>
                <w:right w:val="nil"/>
                <w:between w:val="nil"/>
              </w:pBdr>
              <w:spacing w:after="120" w:line="276" w:lineRule="auto"/>
              <w:ind w:left="-108"/>
              <w:rPr>
                <w:rFonts w:ascii="Arial" w:eastAsia="Arial" w:hAnsi="Arial" w:cs="Arial"/>
                <w:b/>
                <w:bCs/>
                <w:color w:val="000000"/>
                <w:sz w:val="24"/>
                <w:szCs w:val="24"/>
              </w:rPr>
            </w:pPr>
            <w:r>
              <w:rPr>
                <w:rFonts w:ascii="Arial" w:eastAsia="Arial" w:hAnsi="Arial" w:cs="Arial"/>
                <w:b/>
                <w:bCs/>
                <w:sz w:val="24"/>
                <w:szCs w:val="24"/>
              </w:rPr>
              <w:lastRenderedPageBreak/>
              <w:t>“Total KPI Credit”</w:t>
            </w:r>
          </w:p>
        </w:tc>
        <w:tc>
          <w:tcPr>
            <w:tcW w:w="5953" w:type="dxa"/>
            <w:vAlign w:val="center"/>
          </w:tcPr>
          <w:p w14:paraId="1D17FBAD" w14:textId="77777777" w:rsidR="007E0595" w:rsidRDefault="00FA7C31">
            <w:pPr>
              <w:pBdr>
                <w:top w:val="nil"/>
                <w:left w:val="nil"/>
                <w:bottom w:val="nil"/>
                <w:right w:val="nil"/>
                <w:between w:val="nil"/>
              </w:pBdr>
              <w:tabs>
                <w:tab w:val="left" w:pos="-9"/>
                <w:tab w:val="left" w:pos="-179"/>
              </w:tabs>
              <w:spacing w:after="120" w:line="276" w:lineRule="auto"/>
              <w:ind w:left="170"/>
              <w:rPr>
                <w:rFonts w:ascii="Arial" w:eastAsia="Arial" w:hAnsi="Arial" w:cs="Arial"/>
                <w:color w:val="000000"/>
                <w:sz w:val="24"/>
                <w:szCs w:val="24"/>
              </w:rPr>
            </w:pPr>
            <w:r>
              <w:rPr>
                <w:rFonts w:ascii="Arial" w:eastAsia="Arial" w:hAnsi="Arial" w:cs="Arial"/>
                <w:sz w:val="24"/>
                <w:szCs w:val="24"/>
              </w:rPr>
              <w:t>The total of all KPI Credits calculated in accordance with this Call-Off Schedule 14 (</w:t>
            </w:r>
            <w:r>
              <w:rPr>
                <w:rFonts w:ascii="Arial" w:eastAsia="Arial" w:hAnsi="Arial" w:cs="Arial"/>
                <w:i/>
                <w:iCs/>
                <w:sz w:val="24"/>
                <w:szCs w:val="24"/>
              </w:rPr>
              <w:t>Performance Indicators</w:t>
            </w:r>
            <w:r>
              <w:rPr>
                <w:rFonts w:ascii="Arial" w:eastAsia="Arial" w:hAnsi="Arial" w:cs="Arial"/>
                <w:sz w:val="24"/>
                <w:szCs w:val="24"/>
              </w:rPr>
              <w:t>) and is the amount invoiced in accordance with Call-Off Schedule 5 (</w:t>
            </w:r>
            <w:r>
              <w:rPr>
                <w:rFonts w:ascii="Arial" w:eastAsia="Arial" w:hAnsi="Arial" w:cs="Arial"/>
                <w:i/>
                <w:iCs/>
                <w:sz w:val="24"/>
                <w:szCs w:val="24"/>
              </w:rPr>
              <w:t>Pricing Details</w:t>
            </w:r>
            <w:r>
              <w:rPr>
                <w:rFonts w:ascii="Arial" w:eastAsia="Arial" w:hAnsi="Arial" w:cs="Arial"/>
                <w:sz w:val="24"/>
                <w:szCs w:val="24"/>
              </w:rPr>
              <w:t>).</w:t>
            </w:r>
          </w:p>
        </w:tc>
      </w:tr>
    </w:tbl>
    <w:p w14:paraId="049A199D" w14:textId="77777777" w:rsidR="007E0595" w:rsidRDefault="00FA7C31">
      <w:pPr>
        <w:numPr>
          <w:ilvl w:val="0"/>
          <w:numId w:val="2"/>
        </w:numPr>
        <w:pBdr>
          <w:top w:val="nil"/>
          <w:left w:val="nil"/>
          <w:bottom w:val="nil"/>
          <w:right w:val="nil"/>
          <w:between w:val="nil"/>
        </w:pBdr>
        <w:tabs>
          <w:tab w:val="left" w:pos="142"/>
        </w:tabs>
        <w:spacing w:before="240" w:after="120"/>
      </w:pPr>
      <w:r>
        <w:rPr>
          <w:rFonts w:ascii="Arial" w:eastAsia="Arial" w:hAnsi="Arial" w:cs="Arial"/>
          <w:b/>
          <w:bCs/>
          <w:color w:val="000000"/>
          <w:sz w:val="24"/>
          <w:szCs w:val="24"/>
        </w:rPr>
        <w:t>What happens if you don’t meet the KPIs</w:t>
      </w:r>
    </w:p>
    <w:p w14:paraId="26D54E17"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The Supplier shall at all times provide the Deliverables to meet or exceed the KPI Performance Measure for each KPI.</w:t>
      </w:r>
    </w:p>
    <w:p w14:paraId="602188B8"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The Supplier acknowledges that any KPI Failure shall entitle the Buyer to the rights set out in Part A of this Schedule including the right to any KPI Credits and that any KPI Credit is a price adjustment and not an estimate of the Loss that may be suffered by the Buyer as a result of the Supplier’s failure to meet any KPI Performance Measure.</w:t>
      </w:r>
    </w:p>
    <w:p w14:paraId="0186D5D0"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The Supplier shall send Performance Monitoring Reports to the Buyer detailing the level of service which was achieved in accordance with the provisions of Part B (</w:t>
      </w:r>
      <w:r>
        <w:rPr>
          <w:rFonts w:ascii="Arial" w:eastAsia="Arial" w:hAnsi="Arial" w:cs="Arial"/>
          <w:i/>
          <w:iCs/>
          <w:color w:val="000000"/>
          <w:sz w:val="24"/>
          <w:szCs w:val="24"/>
        </w:rPr>
        <w:t>Performance Monitoring</w:t>
      </w:r>
      <w:r>
        <w:rPr>
          <w:rFonts w:ascii="Arial" w:eastAsia="Arial" w:hAnsi="Arial" w:cs="Arial"/>
          <w:color w:val="000000"/>
          <w:sz w:val="24"/>
          <w:szCs w:val="24"/>
        </w:rPr>
        <w:t>) of this Schedule.</w:t>
      </w:r>
    </w:p>
    <w:p w14:paraId="2CC52D4F"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A KPI Credit shall be the Buyer’s exclusive financial remedy for a KPI Failure except where:</w:t>
      </w:r>
    </w:p>
    <w:p w14:paraId="2367F1A4" w14:textId="77777777" w:rsidR="007E0595" w:rsidRDefault="00FA7C31">
      <w:pPr>
        <w:numPr>
          <w:ilvl w:val="2"/>
          <w:numId w:val="2"/>
        </w:numPr>
        <w:pBdr>
          <w:top w:val="nil"/>
          <w:left w:val="nil"/>
          <w:bottom w:val="nil"/>
          <w:right w:val="nil"/>
          <w:between w:val="nil"/>
        </w:pBdr>
        <w:spacing w:before="120" w:after="120"/>
      </w:pPr>
      <w:bookmarkStart w:id="1" w:name="_heading=h.1t3h5sf" w:colFirst="0" w:colLast="0"/>
      <w:bookmarkEnd w:id="1"/>
      <w:r>
        <w:rPr>
          <w:rFonts w:ascii="Arial" w:eastAsia="Arial" w:hAnsi="Arial" w:cs="Arial"/>
          <w:color w:val="000000"/>
          <w:sz w:val="24"/>
          <w:szCs w:val="24"/>
        </w:rPr>
        <w:t>the KPI Failure:</w:t>
      </w:r>
    </w:p>
    <w:p w14:paraId="65ADD98F" w14:textId="77777777" w:rsidR="007E0595" w:rsidRDefault="00FA7C31">
      <w:pPr>
        <w:numPr>
          <w:ilvl w:val="3"/>
          <w:numId w:val="2"/>
        </w:numPr>
        <w:pBdr>
          <w:top w:val="nil"/>
          <w:left w:val="nil"/>
          <w:bottom w:val="nil"/>
          <w:right w:val="nil"/>
          <w:between w:val="nil"/>
        </w:pBdr>
        <w:spacing w:before="120"/>
      </w:pPr>
      <w:r>
        <w:rPr>
          <w:rFonts w:ascii="Arial" w:eastAsia="Arial" w:hAnsi="Arial" w:cs="Arial"/>
          <w:color w:val="000000"/>
          <w:sz w:val="24"/>
          <w:szCs w:val="24"/>
        </w:rPr>
        <w:t xml:space="preserve">has arisen due to a Prohibited Act or wilful Default by the Supplier; </w:t>
      </w:r>
    </w:p>
    <w:p w14:paraId="59803540" w14:textId="77777777" w:rsidR="007E0595" w:rsidRDefault="00FA7C31">
      <w:pPr>
        <w:numPr>
          <w:ilvl w:val="3"/>
          <w:numId w:val="2"/>
        </w:numPr>
        <w:pBdr>
          <w:top w:val="nil"/>
          <w:left w:val="nil"/>
          <w:bottom w:val="nil"/>
          <w:right w:val="nil"/>
          <w:between w:val="nil"/>
        </w:pBdr>
      </w:pPr>
      <w:r>
        <w:rPr>
          <w:rFonts w:ascii="Arial" w:eastAsia="Arial" w:hAnsi="Arial" w:cs="Arial"/>
          <w:color w:val="000000"/>
          <w:sz w:val="24"/>
          <w:szCs w:val="24"/>
        </w:rPr>
        <w:t>results in the corruption or loss of any Government Data; and/or</w:t>
      </w:r>
    </w:p>
    <w:p w14:paraId="2687C8CB" w14:textId="77777777" w:rsidR="007E0595" w:rsidRDefault="00FA7C31">
      <w:pPr>
        <w:numPr>
          <w:ilvl w:val="3"/>
          <w:numId w:val="2"/>
        </w:numPr>
        <w:pBdr>
          <w:top w:val="nil"/>
          <w:left w:val="nil"/>
          <w:bottom w:val="nil"/>
          <w:right w:val="nil"/>
          <w:between w:val="nil"/>
        </w:pBdr>
        <w:spacing w:before="120"/>
      </w:pPr>
      <w:bookmarkStart w:id="2" w:name="_heading=h.afupuc9c1k3" w:colFirst="0" w:colLast="0"/>
      <w:bookmarkEnd w:id="2"/>
      <w:r>
        <w:rPr>
          <w:rFonts w:ascii="Arial" w:eastAsia="Arial" w:hAnsi="Arial" w:cs="Arial"/>
          <w:color w:val="000000"/>
          <w:sz w:val="24"/>
          <w:szCs w:val="24"/>
        </w:rPr>
        <w:t>results in the Buyer being required to make a compensation payment to one or more third parties; and/or</w:t>
      </w:r>
    </w:p>
    <w:p w14:paraId="422EE6D7" w14:textId="77777777" w:rsidR="007E0595" w:rsidRDefault="00FA7C31">
      <w:pPr>
        <w:numPr>
          <w:ilvl w:val="2"/>
          <w:numId w:val="2"/>
        </w:numPr>
        <w:pBdr>
          <w:top w:val="nil"/>
          <w:left w:val="nil"/>
          <w:bottom w:val="nil"/>
          <w:right w:val="nil"/>
          <w:between w:val="nil"/>
        </w:pBdr>
        <w:spacing w:after="120"/>
        <w:jc w:val="both"/>
      </w:pPr>
      <w:r>
        <w:rPr>
          <w:rFonts w:ascii="Arial" w:eastAsia="Arial" w:hAnsi="Arial" w:cs="Arial"/>
          <w:sz w:val="24"/>
          <w:szCs w:val="24"/>
        </w:rPr>
        <w:t>a Persistent KPI Failure occurs and/or the Buyer is otherwise entitled to or does terminate this Contract pursuant to Clause 13.3 of the General Terms (</w:t>
      </w:r>
      <w:r>
        <w:rPr>
          <w:rFonts w:ascii="Arial" w:eastAsia="Arial" w:hAnsi="Arial" w:cs="Arial"/>
          <w:i/>
          <w:iCs/>
          <w:sz w:val="24"/>
          <w:szCs w:val="24"/>
        </w:rPr>
        <w:t>When GCA or the buyer can end a contract</w:t>
      </w:r>
      <w:r>
        <w:rPr>
          <w:rFonts w:ascii="Arial" w:eastAsia="Arial" w:hAnsi="Arial" w:cs="Arial"/>
          <w:sz w:val="24"/>
          <w:szCs w:val="24"/>
        </w:rPr>
        <w:t>).</w:t>
      </w:r>
    </w:p>
    <w:p w14:paraId="1C5AB0CE" w14:textId="77777777" w:rsidR="007E0595" w:rsidRDefault="00FA7C31">
      <w:pPr>
        <w:numPr>
          <w:ilvl w:val="1"/>
          <w:numId w:val="2"/>
        </w:numPr>
        <w:pBdr>
          <w:top w:val="nil"/>
          <w:left w:val="nil"/>
          <w:bottom w:val="nil"/>
          <w:right w:val="nil"/>
          <w:between w:val="nil"/>
        </w:pBdr>
        <w:spacing w:before="120" w:after="120"/>
      </w:pPr>
      <w:bookmarkStart w:id="3" w:name="_heading=h.gjdgxs" w:colFirst="0" w:colLast="0"/>
      <w:bookmarkEnd w:id="3"/>
      <w:r>
        <w:rPr>
          <w:rFonts w:ascii="Arial" w:eastAsia="Arial" w:hAnsi="Arial" w:cs="Arial"/>
          <w:color w:val="000000"/>
          <w:sz w:val="24"/>
          <w:szCs w:val="24"/>
        </w:rPr>
        <w:t>Not more than once in each Contract Year, the Buyer may, on giving the Supplier at least three (3) Months’ notice, change the weighting of KPI Performance Measure in respect of one or more KPIs and the Supplier shall not be entitled to object to, or increase the Charges as a result of such changes, provided that:</w:t>
      </w:r>
    </w:p>
    <w:p w14:paraId="5E3D9B7C" w14:textId="77777777" w:rsidR="007E0595" w:rsidRDefault="00FA7C31">
      <w:pPr>
        <w:numPr>
          <w:ilvl w:val="2"/>
          <w:numId w:val="2"/>
        </w:numPr>
        <w:pBdr>
          <w:top w:val="nil"/>
          <w:left w:val="nil"/>
          <w:bottom w:val="nil"/>
          <w:right w:val="nil"/>
          <w:between w:val="nil"/>
        </w:pBdr>
        <w:spacing w:before="120"/>
      </w:pPr>
      <w:r>
        <w:rPr>
          <w:rFonts w:ascii="Arial" w:eastAsia="Arial" w:hAnsi="Arial" w:cs="Arial"/>
          <w:color w:val="000000"/>
          <w:sz w:val="24"/>
          <w:szCs w:val="24"/>
        </w:rPr>
        <w:lastRenderedPageBreak/>
        <w:t xml:space="preserve">the total number of KPIs applicable at the Start Date does not change; </w:t>
      </w:r>
    </w:p>
    <w:p w14:paraId="7C82DD47" w14:textId="77777777" w:rsidR="007E0595" w:rsidRDefault="00FA7C31">
      <w:pPr>
        <w:numPr>
          <w:ilvl w:val="2"/>
          <w:numId w:val="2"/>
        </w:numPr>
        <w:pBdr>
          <w:top w:val="nil"/>
          <w:left w:val="nil"/>
          <w:bottom w:val="nil"/>
          <w:right w:val="nil"/>
          <w:between w:val="nil"/>
        </w:pBdr>
      </w:pPr>
      <w:r>
        <w:rPr>
          <w:rFonts w:ascii="Arial" w:eastAsia="Arial" w:hAnsi="Arial" w:cs="Arial"/>
          <w:color w:val="000000"/>
          <w:sz w:val="24"/>
          <w:szCs w:val="24"/>
        </w:rPr>
        <w:t>the principal purpose of the change is to reflect changes in the Buyer's business requirements and/or priorities or to reflect changing industry standards; and</w:t>
      </w:r>
    </w:p>
    <w:p w14:paraId="436FE8F3" w14:textId="77777777" w:rsidR="007E0595" w:rsidRDefault="00FA7C31">
      <w:pPr>
        <w:numPr>
          <w:ilvl w:val="2"/>
          <w:numId w:val="2"/>
        </w:numPr>
        <w:pBdr>
          <w:top w:val="nil"/>
          <w:left w:val="nil"/>
          <w:bottom w:val="nil"/>
          <w:right w:val="nil"/>
          <w:between w:val="nil"/>
        </w:pBdr>
      </w:pPr>
      <w:r>
        <w:rPr>
          <w:rFonts w:ascii="Arial" w:eastAsia="Arial" w:hAnsi="Arial" w:cs="Arial"/>
          <w:color w:val="000000"/>
          <w:sz w:val="24"/>
          <w:szCs w:val="24"/>
        </w:rPr>
        <w:t>there is no change to the At Risk Amount;</w:t>
      </w:r>
    </w:p>
    <w:p w14:paraId="37488B5E" w14:textId="77777777" w:rsidR="007E0595" w:rsidRDefault="00FA7C31">
      <w:pPr>
        <w:pBdr>
          <w:top w:val="nil"/>
          <w:left w:val="nil"/>
          <w:bottom w:val="nil"/>
          <w:right w:val="nil"/>
          <w:between w:val="nil"/>
        </w:pBdr>
        <w:spacing w:after="120"/>
        <w:ind w:left="1440"/>
        <w:rPr>
          <w:rFonts w:ascii="Arial" w:eastAsia="Arial" w:hAnsi="Arial" w:cs="Arial"/>
          <w:color w:val="000000"/>
          <w:sz w:val="24"/>
          <w:szCs w:val="24"/>
        </w:rPr>
      </w:pPr>
      <w:r>
        <w:rPr>
          <w:rFonts w:ascii="Arial" w:eastAsia="Arial" w:hAnsi="Arial" w:cs="Arial"/>
          <w:color w:val="000000"/>
          <w:sz w:val="24"/>
          <w:szCs w:val="24"/>
        </w:rPr>
        <w:t>there shall be no increase to the Charges as a result of such changes.</w:t>
      </w:r>
    </w:p>
    <w:p w14:paraId="75176DDC" w14:textId="77777777" w:rsidR="007E0595" w:rsidRDefault="00FA7C31">
      <w:pPr>
        <w:numPr>
          <w:ilvl w:val="1"/>
          <w:numId w:val="2"/>
        </w:numPr>
        <w:pBdr>
          <w:top w:val="nil"/>
          <w:left w:val="nil"/>
          <w:bottom w:val="nil"/>
          <w:right w:val="nil"/>
          <w:between w:val="nil"/>
        </w:pBdr>
        <w:spacing w:before="120" w:after="120"/>
        <w:jc w:val="both"/>
      </w:pPr>
      <w:r>
        <w:rPr>
          <w:rFonts w:ascii="Arial" w:eastAsia="Arial" w:hAnsi="Arial" w:cs="Arial"/>
          <w:color w:val="000000"/>
          <w:sz w:val="24"/>
          <w:szCs w:val="24"/>
        </w:rPr>
        <w:t xml:space="preserve">Where the Buyer makes any changes to </w:t>
      </w:r>
      <w:r>
        <w:rPr>
          <w:rFonts w:ascii="Arial" w:eastAsia="Arial" w:hAnsi="Arial" w:cs="Arial"/>
          <w:sz w:val="24"/>
          <w:szCs w:val="24"/>
        </w:rPr>
        <w:t>the KPI Performance Measures,</w:t>
      </w:r>
      <w:r>
        <w:rPr>
          <w:rFonts w:ascii="Arial" w:eastAsia="Arial" w:hAnsi="Arial" w:cs="Arial"/>
          <w:color w:val="000000"/>
          <w:sz w:val="24"/>
          <w:szCs w:val="24"/>
        </w:rPr>
        <w:t xml:space="preserve"> other than those in paragraph 2.5 above, the variation process in clause 27 of the General Terms</w:t>
      </w:r>
      <w:r>
        <w:rPr>
          <w:rFonts w:ascii="Arial" w:eastAsia="Arial" w:hAnsi="Arial" w:cs="Arial"/>
          <w:i/>
          <w:iCs/>
          <w:color w:val="000000"/>
          <w:sz w:val="24"/>
          <w:szCs w:val="24"/>
        </w:rPr>
        <w:t xml:space="preserve"> (Changing the contract) </w:t>
      </w:r>
      <w:r>
        <w:rPr>
          <w:rFonts w:ascii="Arial" w:eastAsia="Arial" w:hAnsi="Arial" w:cs="Arial"/>
          <w:color w:val="000000"/>
          <w:sz w:val="24"/>
          <w:szCs w:val="24"/>
        </w:rPr>
        <w:t>will apply.</w:t>
      </w:r>
    </w:p>
    <w:p w14:paraId="1EDE9386" w14:textId="77777777" w:rsidR="007E0595" w:rsidRDefault="00FA7C31">
      <w:pPr>
        <w:numPr>
          <w:ilvl w:val="0"/>
          <w:numId w:val="2"/>
        </w:numPr>
        <w:pBdr>
          <w:top w:val="nil"/>
          <w:left w:val="nil"/>
          <w:bottom w:val="nil"/>
          <w:right w:val="nil"/>
          <w:between w:val="nil"/>
        </w:pBdr>
        <w:tabs>
          <w:tab w:val="left" w:pos="142"/>
        </w:tabs>
        <w:spacing w:before="240" w:after="120"/>
      </w:pPr>
      <w:r>
        <w:rPr>
          <w:rFonts w:ascii="Arial" w:eastAsia="Arial" w:hAnsi="Arial" w:cs="Arial"/>
          <w:b/>
          <w:bCs/>
          <w:sz w:val="24"/>
          <w:szCs w:val="24"/>
        </w:rPr>
        <w:t>Persistent</w:t>
      </w:r>
      <w:r>
        <w:rPr>
          <w:rFonts w:ascii="Arial" w:eastAsia="Arial" w:hAnsi="Arial" w:cs="Arial"/>
          <w:b/>
          <w:bCs/>
          <w:color w:val="000000"/>
          <w:sz w:val="24"/>
          <w:szCs w:val="24"/>
        </w:rPr>
        <w:t xml:space="preserve"> KPI Failure</w:t>
      </w:r>
    </w:p>
    <w:p w14:paraId="5BCE463B" w14:textId="77777777" w:rsidR="007E0595" w:rsidRDefault="00FA7C31">
      <w:pPr>
        <w:pBdr>
          <w:top w:val="nil"/>
          <w:left w:val="nil"/>
          <w:bottom w:val="nil"/>
          <w:right w:val="nil"/>
          <w:between w:val="nil"/>
        </w:pBdr>
        <w:spacing w:before="120" w:after="120"/>
        <w:ind w:left="936" w:hanging="576"/>
        <w:rPr>
          <w:rFonts w:ascii="Arial" w:eastAsia="Arial" w:hAnsi="Arial" w:cs="Arial"/>
          <w:color w:val="000000"/>
          <w:sz w:val="24"/>
          <w:szCs w:val="24"/>
        </w:rPr>
      </w:pPr>
      <w:r>
        <w:rPr>
          <w:rFonts w:ascii="Arial" w:eastAsia="Arial" w:hAnsi="Arial" w:cs="Arial"/>
          <w:color w:val="000000"/>
          <w:sz w:val="24"/>
          <w:szCs w:val="24"/>
        </w:rPr>
        <w:t xml:space="preserve">On the occurrence of a </w:t>
      </w:r>
      <w:r>
        <w:rPr>
          <w:rFonts w:ascii="Arial" w:eastAsia="Arial" w:hAnsi="Arial" w:cs="Arial"/>
          <w:sz w:val="24"/>
          <w:szCs w:val="24"/>
        </w:rPr>
        <w:t>Persistent</w:t>
      </w:r>
      <w:r>
        <w:rPr>
          <w:rFonts w:ascii="Arial" w:eastAsia="Arial" w:hAnsi="Arial" w:cs="Arial"/>
          <w:color w:val="000000"/>
          <w:sz w:val="24"/>
          <w:szCs w:val="24"/>
        </w:rPr>
        <w:t xml:space="preserve"> KPI Failure:</w:t>
      </w:r>
    </w:p>
    <w:p w14:paraId="13693B60"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any KPI Credits are not applicable against KPIs for Service Periods where that KPI is a Persistent KPI Failure; and</w:t>
      </w:r>
    </w:p>
    <w:p w14:paraId="4717819B"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the Buyer shall be entitled to withhold and retain as compensation a sum equal to any Charges relating to the Persistent KPI Failure which would otherwise have been due to the Supplier in respect of that Service Period ("</w:t>
      </w:r>
      <w:r>
        <w:rPr>
          <w:rFonts w:ascii="Arial" w:eastAsia="Arial" w:hAnsi="Arial" w:cs="Arial"/>
          <w:b/>
          <w:bCs/>
          <w:color w:val="000000"/>
          <w:sz w:val="24"/>
          <w:szCs w:val="24"/>
        </w:rPr>
        <w:t>Compensation for Persistent KPI Failure</w:t>
      </w:r>
      <w:r>
        <w:rPr>
          <w:rFonts w:ascii="Arial" w:eastAsia="Arial" w:hAnsi="Arial" w:cs="Arial"/>
          <w:color w:val="000000"/>
          <w:sz w:val="24"/>
          <w:szCs w:val="24"/>
        </w:rPr>
        <w:t>"),</w:t>
      </w:r>
    </w:p>
    <w:p w14:paraId="6BD3E5D5" w14:textId="77777777" w:rsidR="007E0595" w:rsidRDefault="00FA7C31">
      <w:pPr>
        <w:pBdr>
          <w:top w:val="nil"/>
          <w:left w:val="nil"/>
          <w:bottom w:val="nil"/>
          <w:right w:val="nil"/>
          <w:between w:val="nil"/>
        </w:pBdr>
        <w:spacing w:before="120" w:after="120"/>
        <w:ind w:left="1440"/>
        <w:rPr>
          <w:rFonts w:ascii="Arial" w:eastAsia="Arial" w:hAnsi="Arial" w:cs="Arial"/>
          <w:color w:val="000000"/>
          <w:sz w:val="24"/>
          <w:szCs w:val="24"/>
        </w:rPr>
      </w:pPr>
      <w:r>
        <w:rPr>
          <w:rFonts w:ascii="Arial" w:eastAsia="Arial" w:hAnsi="Arial" w:cs="Arial"/>
          <w:color w:val="000000"/>
          <w:sz w:val="24"/>
          <w:szCs w:val="24"/>
        </w:rPr>
        <w:t>provided that the operation of this paragraph 3 shall be without prejudice to the right of the Buyer to terminate this Contract and/or to claim damages from the Supplier for Material Default.</w:t>
      </w:r>
    </w:p>
    <w:p w14:paraId="3B250401" w14:textId="77777777" w:rsidR="007E0595" w:rsidRDefault="00FA7C31">
      <w:pPr>
        <w:numPr>
          <w:ilvl w:val="1"/>
          <w:numId w:val="2"/>
        </w:numPr>
        <w:pBdr>
          <w:top w:val="nil"/>
          <w:left w:val="nil"/>
          <w:bottom w:val="nil"/>
          <w:right w:val="nil"/>
          <w:between w:val="nil"/>
        </w:pBdr>
        <w:spacing w:before="120" w:after="120"/>
      </w:pPr>
      <w:r>
        <w:rPr>
          <w:rFonts w:ascii="Arial" w:eastAsia="Arial" w:hAnsi="Arial" w:cs="Arial"/>
          <w:color w:val="000000"/>
          <w:sz w:val="24"/>
          <w:szCs w:val="24"/>
        </w:rPr>
        <w:t xml:space="preserve">The Buyer is only entitled to withhold sums equal to any Charges pursuant to clause 3.2 in relation to KPIs that relate to the Impacted Services. Sums equal to the Charges may only be withheld from the date a KPI is determined to be a Persistent KPI Failure. </w:t>
      </w:r>
    </w:p>
    <w:p w14:paraId="16177C4C" w14:textId="77777777" w:rsidR="007E0595" w:rsidRDefault="00FA7C31">
      <w:pPr>
        <w:rPr>
          <w:rFonts w:ascii="Arial" w:eastAsia="Arial" w:hAnsi="Arial" w:cs="Arial"/>
          <w:color w:val="000000"/>
          <w:sz w:val="24"/>
          <w:szCs w:val="24"/>
        </w:rPr>
      </w:pPr>
      <w:r>
        <w:br w:type="page"/>
      </w:r>
    </w:p>
    <w:p w14:paraId="1E083299" w14:textId="77777777" w:rsidR="007E0595" w:rsidRDefault="00FA7C31">
      <w:pPr>
        <w:keepNext/>
        <w:pBdr>
          <w:top w:val="nil"/>
          <w:left w:val="nil"/>
          <w:bottom w:val="nil"/>
          <w:right w:val="nil"/>
          <w:between w:val="nil"/>
        </w:pBdr>
        <w:spacing w:after="240"/>
        <w:rPr>
          <w:rFonts w:ascii="Arial" w:eastAsia="Arial" w:hAnsi="Arial" w:cs="Arial"/>
          <w:b/>
          <w:bCs/>
          <w:color w:val="000000"/>
          <w:sz w:val="36"/>
          <w:szCs w:val="36"/>
        </w:rPr>
      </w:pPr>
      <w:bookmarkStart w:id="4" w:name="_heading=h.1fob9te" w:colFirst="0" w:colLast="0"/>
      <w:bookmarkEnd w:id="4"/>
      <w:r>
        <w:rPr>
          <w:rFonts w:ascii="Arial" w:eastAsia="Arial" w:hAnsi="Arial" w:cs="Arial"/>
          <w:b/>
          <w:bCs/>
          <w:color w:val="000000"/>
          <w:sz w:val="36"/>
          <w:szCs w:val="36"/>
        </w:rPr>
        <w:lastRenderedPageBreak/>
        <w:t xml:space="preserve">Part A: KPIs and KPI Credits </w:t>
      </w:r>
    </w:p>
    <w:p w14:paraId="3B89D9E5" w14:textId="77777777" w:rsidR="007E0595" w:rsidRDefault="00FA7C31">
      <w:pPr>
        <w:numPr>
          <w:ilvl w:val="0"/>
          <w:numId w:val="4"/>
        </w:numPr>
        <w:pBdr>
          <w:top w:val="nil"/>
          <w:left w:val="nil"/>
          <w:bottom w:val="nil"/>
          <w:right w:val="nil"/>
          <w:between w:val="nil"/>
        </w:pBdr>
        <w:tabs>
          <w:tab w:val="left" w:pos="142"/>
        </w:tabs>
        <w:spacing w:before="240" w:after="120"/>
      </w:pPr>
      <w:r>
        <w:rPr>
          <w:rFonts w:ascii="Arial" w:eastAsia="Arial" w:hAnsi="Arial" w:cs="Arial"/>
          <w:b/>
          <w:bCs/>
          <w:color w:val="000000"/>
          <w:sz w:val="24"/>
          <w:szCs w:val="24"/>
        </w:rPr>
        <w:t>KPIs</w:t>
      </w:r>
    </w:p>
    <w:p w14:paraId="3278F684" w14:textId="77777777" w:rsidR="007E0595" w:rsidRDefault="00FA7C31">
      <w:pPr>
        <w:pBdr>
          <w:top w:val="nil"/>
          <w:left w:val="nil"/>
          <w:bottom w:val="nil"/>
          <w:right w:val="nil"/>
          <w:between w:val="nil"/>
        </w:pBdr>
        <w:spacing w:before="120" w:after="120"/>
        <w:ind w:left="720" w:hanging="576"/>
        <w:rPr>
          <w:rFonts w:ascii="Arial" w:eastAsia="Arial" w:hAnsi="Arial" w:cs="Arial"/>
          <w:color w:val="000000"/>
          <w:sz w:val="24"/>
          <w:szCs w:val="24"/>
        </w:rPr>
      </w:pPr>
      <w:r>
        <w:rPr>
          <w:rFonts w:ascii="Arial" w:eastAsia="Arial" w:hAnsi="Arial" w:cs="Arial"/>
          <w:color w:val="000000"/>
          <w:sz w:val="24"/>
          <w:szCs w:val="24"/>
        </w:rPr>
        <w:t>If the level of performance of the Supplier:</w:t>
      </w:r>
    </w:p>
    <w:p w14:paraId="6595F500" w14:textId="77777777" w:rsidR="007E0595" w:rsidRDefault="00FA7C31">
      <w:pPr>
        <w:numPr>
          <w:ilvl w:val="1"/>
          <w:numId w:val="4"/>
        </w:numPr>
        <w:pBdr>
          <w:top w:val="nil"/>
          <w:left w:val="nil"/>
          <w:bottom w:val="nil"/>
          <w:right w:val="nil"/>
          <w:between w:val="nil"/>
        </w:pBdr>
        <w:spacing w:before="120" w:after="120"/>
      </w:pPr>
      <w:r>
        <w:rPr>
          <w:rFonts w:ascii="Arial" w:eastAsia="Arial" w:hAnsi="Arial" w:cs="Arial"/>
          <w:color w:val="000000"/>
          <w:sz w:val="24"/>
          <w:szCs w:val="24"/>
        </w:rPr>
        <w:t>is likely to or fails to meet any KPI Performance Measure; or</w:t>
      </w:r>
    </w:p>
    <w:p w14:paraId="44E4F30A" w14:textId="77777777" w:rsidR="007E0595" w:rsidRDefault="00FA7C31">
      <w:pPr>
        <w:numPr>
          <w:ilvl w:val="1"/>
          <w:numId w:val="4"/>
        </w:numPr>
        <w:pBdr>
          <w:top w:val="nil"/>
          <w:left w:val="nil"/>
          <w:bottom w:val="nil"/>
          <w:right w:val="nil"/>
          <w:between w:val="nil"/>
        </w:pBdr>
        <w:spacing w:before="120" w:after="120"/>
      </w:pPr>
      <w:r>
        <w:rPr>
          <w:rFonts w:ascii="Arial" w:eastAsia="Arial" w:hAnsi="Arial" w:cs="Arial"/>
          <w:color w:val="000000"/>
          <w:sz w:val="24"/>
          <w:szCs w:val="24"/>
        </w:rPr>
        <w:t xml:space="preserve">is likely to cause or causes </w:t>
      </w:r>
      <w:r>
        <w:rPr>
          <w:rFonts w:ascii="Arial" w:eastAsia="Arial" w:hAnsi="Arial" w:cs="Arial"/>
          <w:sz w:val="24"/>
          <w:szCs w:val="24"/>
        </w:rPr>
        <w:t>a Persistent KPI Failure to</w:t>
      </w:r>
      <w:r>
        <w:rPr>
          <w:rFonts w:ascii="Arial" w:eastAsia="Arial" w:hAnsi="Arial" w:cs="Arial"/>
          <w:color w:val="000000"/>
          <w:sz w:val="24"/>
          <w:szCs w:val="24"/>
        </w:rPr>
        <w:t xml:space="preserve"> occur, </w:t>
      </w:r>
    </w:p>
    <w:p w14:paraId="1E4CB202" w14:textId="77777777" w:rsidR="007E0595" w:rsidRDefault="00FA7C31">
      <w:pPr>
        <w:pBdr>
          <w:top w:val="nil"/>
          <w:left w:val="nil"/>
          <w:bottom w:val="nil"/>
          <w:right w:val="nil"/>
          <w:between w:val="nil"/>
        </w:pBdr>
        <w:spacing w:before="120" w:after="120"/>
        <w:rPr>
          <w:rFonts w:ascii="Arial" w:eastAsia="Arial" w:hAnsi="Arial" w:cs="Arial"/>
          <w:color w:val="000000"/>
          <w:sz w:val="24"/>
          <w:szCs w:val="24"/>
        </w:rPr>
      </w:pPr>
      <w:r>
        <w:rPr>
          <w:rFonts w:ascii="Arial" w:eastAsia="Arial" w:hAnsi="Arial" w:cs="Arial"/>
          <w:color w:val="000000"/>
          <w:sz w:val="24"/>
          <w:szCs w:val="24"/>
        </w:rPr>
        <w:t>the Supplier shall immediately notify the Buyer in writing and the Buyer, in its absolute discretion and without limiting any other of its rights, may:</w:t>
      </w:r>
    </w:p>
    <w:p w14:paraId="7F55B55D" w14:textId="77777777" w:rsidR="007E0595" w:rsidRDefault="00FA7C31">
      <w:pPr>
        <w:numPr>
          <w:ilvl w:val="2"/>
          <w:numId w:val="5"/>
        </w:numPr>
        <w:pBdr>
          <w:top w:val="nil"/>
          <w:left w:val="nil"/>
          <w:bottom w:val="nil"/>
          <w:right w:val="nil"/>
          <w:between w:val="nil"/>
        </w:pBdr>
        <w:spacing w:before="120" w:after="120"/>
      </w:pPr>
      <w:r>
        <w:rPr>
          <w:rFonts w:ascii="Arial" w:eastAsia="Arial" w:hAnsi="Arial" w:cs="Arial"/>
          <w:color w:val="000000"/>
          <w:sz w:val="24"/>
          <w:szCs w:val="24"/>
        </w:rPr>
        <w:t xml:space="preserve">require the Supplier to immediately take all preventative and/or remedial action that is reasonable to mitigate the impact on the Buyer and to rectify or prevent a KPI Failure or Persistent KPI Failure from taking place or recurring; </w:t>
      </w:r>
    </w:p>
    <w:p w14:paraId="161BAB4C" w14:textId="77777777" w:rsidR="007E0595" w:rsidRDefault="00FA7C31">
      <w:pPr>
        <w:numPr>
          <w:ilvl w:val="2"/>
          <w:numId w:val="5"/>
        </w:numPr>
        <w:pBdr>
          <w:top w:val="nil"/>
          <w:left w:val="nil"/>
          <w:bottom w:val="nil"/>
          <w:right w:val="nil"/>
          <w:between w:val="nil"/>
        </w:pBdr>
        <w:spacing w:before="120" w:after="120"/>
      </w:pPr>
      <w:r>
        <w:rPr>
          <w:rFonts w:ascii="Arial" w:eastAsia="Arial" w:hAnsi="Arial" w:cs="Arial"/>
          <w:color w:val="000000"/>
          <w:sz w:val="24"/>
          <w:szCs w:val="24"/>
        </w:rPr>
        <w:t xml:space="preserve">instruct the Supplier to comply with the Rectification Plan Process; </w:t>
      </w:r>
    </w:p>
    <w:p w14:paraId="3E87357C" w14:textId="77777777" w:rsidR="007E0595" w:rsidRDefault="00FA7C31">
      <w:pPr>
        <w:numPr>
          <w:ilvl w:val="2"/>
          <w:numId w:val="5"/>
        </w:numPr>
        <w:pBdr>
          <w:top w:val="nil"/>
          <w:left w:val="nil"/>
          <w:bottom w:val="nil"/>
          <w:right w:val="nil"/>
          <w:between w:val="nil"/>
        </w:pBdr>
        <w:spacing w:before="120" w:after="120"/>
      </w:pPr>
      <w:r>
        <w:rPr>
          <w:rFonts w:ascii="Arial" w:eastAsia="Arial" w:hAnsi="Arial" w:cs="Arial"/>
          <w:color w:val="000000"/>
          <w:sz w:val="24"/>
          <w:szCs w:val="24"/>
        </w:rPr>
        <w:t>if a KPI Failure has occurred, deduct the applicable KPI Credits payable by the Supplier to the Buyer; and/or</w:t>
      </w:r>
    </w:p>
    <w:p w14:paraId="641BBCB2" w14:textId="77777777" w:rsidR="007E0595" w:rsidRDefault="00FA7C31">
      <w:pPr>
        <w:numPr>
          <w:ilvl w:val="2"/>
          <w:numId w:val="5"/>
        </w:numPr>
        <w:pBdr>
          <w:top w:val="nil"/>
          <w:left w:val="nil"/>
          <w:bottom w:val="nil"/>
          <w:right w:val="nil"/>
          <w:between w:val="nil"/>
        </w:pBdr>
        <w:spacing w:before="120" w:after="120"/>
      </w:pPr>
      <w:r>
        <w:rPr>
          <w:rFonts w:ascii="Arial" w:eastAsia="Arial" w:hAnsi="Arial" w:cs="Arial"/>
          <w:color w:val="000000"/>
          <w:sz w:val="24"/>
          <w:szCs w:val="24"/>
        </w:rPr>
        <w:t>if a Persistent KPI Failure has occurred, exercise its right to Compensation for Persistent KPI Failure (including the right to terminate for Material Default).</w:t>
      </w:r>
    </w:p>
    <w:p w14:paraId="1722F306" w14:textId="77777777" w:rsidR="007E0595" w:rsidRDefault="00FA7C31">
      <w:pPr>
        <w:numPr>
          <w:ilvl w:val="0"/>
          <w:numId w:val="4"/>
        </w:numPr>
        <w:pBdr>
          <w:top w:val="nil"/>
          <w:left w:val="nil"/>
          <w:bottom w:val="nil"/>
          <w:right w:val="nil"/>
          <w:between w:val="nil"/>
        </w:pBdr>
        <w:tabs>
          <w:tab w:val="left" w:pos="142"/>
        </w:tabs>
        <w:spacing w:before="240" w:after="120"/>
      </w:pPr>
      <w:r>
        <w:rPr>
          <w:rFonts w:ascii="Arial" w:eastAsia="Arial" w:hAnsi="Arial" w:cs="Arial"/>
          <w:b/>
          <w:bCs/>
          <w:color w:val="000000"/>
          <w:sz w:val="24"/>
          <w:szCs w:val="24"/>
        </w:rPr>
        <w:t>KPI Credits</w:t>
      </w:r>
    </w:p>
    <w:p w14:paraId="32D1F869" w14:textId="77777777" w:rsidR="007E0595" w:rsidRDefault="00FA7C31">
      <w:pPr>
        <w:numPr>
          <w:ilvl w:val="1"/>
          <w:numId w:val="4"/>
        </w:numPr>
        <w:pBdr>
          <w:top w:val="nil"/>
          <w:left w:val="nil"/>
          <w:bottom w:val="nil"/>
          <w:right w:val="nil"/>
          <w:between w:val="nil"/>
        </w:pBdr>
        <w:spacing w:before="120" w:after="120"/>
      </w:pPr>
      <w:r>
        <w:rPr>
          <w:rFonts w:ascii="Arial" w:eastAsia="Arial" w:hAnsi="Arial" w:cs="Arial"/>
          <w:color w:val="000000"/>
          <w:sz w:val="24"/>
          <w:szCs w:val="24"/>
        </w:rPr>
        <w:t>The Buyer shall use the Performance Monitoring Reports supplied by the Supplier to verify the calculation and accuracy of the KPI Credits, if any, applicable to each Service Period.</w:t>
      </w:r>
    </w:p>
    <w:p w14:paraId="3C3395B5" w14:textId="77777777" w:rsidR="007E0595" w:rsidRDefault="00FA7C31">
      <w:pPr>
        <w:numPr>
          <w:ilvl w:val="1"/>
          <w:numId w:val="4"/>
        </w:numPr>
        <w:pBdr>
          <w:top w:val="nil"/>
          <w:left w:val="nil"/>
          <w:bottom w:val="nil"/>
          <w:right w:val="nil"/>
          <w:between w:val="nil"/>
        </w:pBdr>
        <w:spacing w:before="120" w:after="120"/>
      </w:pPr>
      <w:r>
        <w:rPr>
          <w:rFonts w:ascii="Arial" w:eastAsia="Arial" w:hAnsi="Arial" w:cs="Arial"/>
          <w:color w:val="000000"/>
          <w:sz w:val="24"/>
          <w:szCs w:val="24"/>
        </w:rPr>
        <w:t xml:space="preserve">KPI Credits are a reduction of the amounts payable in respect of the Deliverables and do not include VAT. The Supplier shall </w:t>
      </w:r>
      <w:r>
        <w:rPr>
          <w:rFonts w:ascii="Arial" w:eastAsia="Arial" w:hAnsi="Arial" w:cs="Arial"/>
          <w:sz w:val="24"/>
          <w:szCs w:val="24"/>
        </w:rPr>
        <w:t>off set</w:t>
      </w:r>
      <w:r>
        <w:rPr>
          <w:rFonts w:ascii="Arial" w:eastAsia="Arial" w:hAnsi="Arial" w:cs="Arial"/>
          <w:color w:val="000000"/>
          <w:sz w:val="24"/>
          <w:szCs w:val="24"/>
        </w:rPr>
        <w:t xml:space="preserve"> the value of any KPI Credits against the appropriate invoice in accordance with </w:t>
      </w:r>
      <w:r>
        <w:rPr>
          <w:rFonts w:ascii="Arial" w:eastAsia="Arial" w:hAnsi="Arial" w:cs="Arial"/>
          <w:sz w:val="24"/>
          <w:szCs w:val="24"/>
        </w:rPr>
        <w:t xml:space="preserve">the relevant </w:t>
      </w:r>
      <w:r>
        <w:rPr>
          <w:rFonts w:ascii="Arial" w:eastAsia="Arial" w:hAnsi="Arial" w:cs="Arial"/>
          <w:color w:val="000000"/>
          <w:sz w:val="24"/>
          <w:szCs w:val="24"/>
        </w:rPr>
        <w:t>calculation formula below</w:t>
      </w:r>
      <w:r>
        <w:rPr>
          <w:rFonts w:ascii="Arial" w:eastAsia="Arial" w:hAnsi="Arial" w:cs="Arial"/>
          <w:sz w:val="24"/>
          <w:szCs w:val="24"/>
        </w:rPr>
        <w:t xml:space="preserve">. </w:t>
      </w:r>
    </w:p>
    <w:p w14:paraId="2203181F" w14:textId="77777777" w:rsidR="007E0595" w:rsidRDefault="00FA7C31">
      <w:pPr>
        <w:numPr>
          <w:ilvl w:val="0"/>
          <w:numId w:val="4"/>
        </w:numPr>
        <w:pBdr>
          <w:top w:val="nil"/>
          <w:left w:val="nil"/>
          <w:bottom w:val="nil"/>
          <w:right w:val="nil"/>
          <w:between w:val="nil"/>
        </w:pBdr>
        <w:spacing w:after="240"/>
        <w:jc w:val="both"/>
      </w:pPr>
      <w:bookmarkStart w:id="5" w:name="_heading=h.17dp8vu" w:colFirst="0" w:colLast="0"/>
      <w:bookmarkEnd w:id="5"/>
      <w:r>
        <w:rPr>
          <w:rFonts w:ascii="Arial" w:eastAsia="Arial" w:hAnsi="Arial" w:cs="Arial"/>
          <w:b/>
          <w:bCs/>
          <w:sz w:val="24"/>
          <w:szCs w:val="24"/>
        </w:rPr>
        <w:t>At Risk Amount Calculation</w:t>
      </w:r>
    </w:p>
    <w:p w14:paraId="6BC12F28" w14:textId="77777777" w:rsidR="007E0595" w:rsidRDefault="00FA7C31">
      <w:pPr>
        <w:numPr>
          <w:ilvl w:val="1"/>
          <w:numId w:val="4"/>
        </w:numPr>
        <w:pBdr>
          <w:top w:val="nil"/>
          <w:left w:val="nil"/>
          <w:bottom w:val="nil"/>
          <w:right w:val="nil"/>
          <w:between w:val="nil"/>
        </w:pBdr>
        <w:tabs>
          <w:tab w:val="left" w:pos="144"/>
        </w:tabs>
        <w:spacing w:after="120"/>
        <w:jc w:val="both"/>
      </w:pPr>
      <w:bookmarkStart w:id="6" w:name="_heading=h.3rdcrjn" w:colFirst="0" w:colLast="0"/>
      <w:bookmarkEnd w:id="6"/>
      <w:r>
        <w:rPr>
          <w:rFonts w:ascii="Arial" w:eastAsia="Arial" w:hAnsi="Arial" w:cs="Arial"/>
          <w:color w:val="000000"/>
          <w:sz w:val="24"/>
          <w:szCs w:val="24"/>
        </w:rPr>
        <w:t>At Risk Amount</w:t>
      </w:r>
    </w:p>
    <w:p w14:paraId="6D3AFFD3" w14:textId="77777777" w:rsidR="007E0595" w:rsidRDefault="00FA7C31">
      <w:pPr>
        <w:numPr>
          <w:ilvl w:val="2"/>
          <w:numId w:val="4"/>
        </w:numPr>
        <w:pBdr>
          <w:top w:val="nil"/>
          <w:left w:val="nil"/>
          <w:bottom w:val="nil"/>
          <w:right w:val="nil"/>
          <w:between w:val="nil"/>
        </w:pBdr>
        <w:tabs>
          <w:tab w:val="left" w:pos="144"/>
        </w:tabs>
        <w:spacing w:after="120"/>
        <w:jc w:val="both"/>
      </w:pPr>
      <w:bookmarkStart w:id="7" w:name="_heading=h.26in1rg" w:colFirst="0" w:colLast="0"/>
      <w:bookmarkEnd w:id="7"/>
      <w:r>
        <w:rPr>
          <w:rFonts w:ascii="Arial" w:eastAsia="Arial" w:hAnsi="Arial" w:cs="Arial"/>
          <w:color w:val="000000"/>
          <w:sz w:val="24"/>
          <w:szCs w:val="24"/>
        </w:rPr>
        <w:t xml:space="preserve">For a Service Period, the At Risk Amount shall be calculated in accordance with Table 2, of the KPI Credits tab of the </w:t>
      </w:r>
      <w:r>
        <w:rPr>
          <w:rFonts w:ascii="Arial" w:eastAsia="Arial" w:hAnsi="Arial" w:cs="Arial"/>
          <w:color w:val="222222"/>
          <w:sz w:val="24"/>
          <w:szCs w:val="24"/>
          <w:highlight w:val="white"/>
        </w:rPr>
        <w:t>KPI Model</w:t>
      </w:r>
      <w:r>
        <w:rPr>
          <w:rFonts w:ascii="Arial" w:eastAsia="Arial" w:hAnsi="Arial" w:cs="Arial"/>
          <w:color w:val="000000"/>
          <w:sz w:val="24"/>
          <w:szCs w:val="24"/>
        </w:rPr>
        <w:t>.</w:t>
      </w:r>
    </w:p>
    <w:p w14:paraId="0B7529E2" w14:textId="77777777" w:rsidR="007E0595" w:rsidRDefault="00FA7C31">
      <w:pPr>
        <w:numPr>
          <w:ilvl w:val="1"/>
          <w:numId w:val="4"/>
        </w:numPr>
        <w:pBdr>
          <w:top w:val="nil"/>
          <w:left w:val="nil"/>
          <w:bottom w:val="nil"/>
          <w:right w:val="nil"/>
          <w:between w:val="nil"/>
        </w:pBdr>
        <w:tabs>
          <w:tab w:val="left" w:pos="144"/>
        </w:tabs>
        <w:spacing w:after="120"/>
        <w:jc w:val="both"/>
      </w:pPr>
      <w:bookmarkStart w:id="8" w:name="_heading=h.lnxbz9" w:colFirst="0" w:colLast="0"/>
      <w:bookmarkEnd w:id="8"/>
      <w:r>
        <w:rPr>
          <w:rFonts w:ascii="Arial" w:eastAsia="Arial" w:hAnsi="Arial" w:cs="Arial"/>
          <w:color w:val="000000"/>
          <w:sz w:val="24"/>
          <w:szCs w:val="24"/>
        </w:rPr>
        <w:t xml:space="preserve">KPI At Risk Amount </w:t>
      </w:r>
    </w:p>
    <w:p w14:paraId="28D469B1"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 xml:space="preserve">The KPI At Risk Amount shall be calculated as follows: for each KPI, the At Risk Amount shall be apportioned to it in accordance </w:t>
      </w:r>
      <w:r>
        <w:rPr>
          <w:rFonts w:ascii="Arial" w:eastAsia="Arial" w:hAnsi="Arial" w:cs="Arial"/>
          <w:color w:val="000000"/>
          <w:sz w:val="24"/>
          <w:szCs w:val="24"/>
        </w:rPr>
        <w:lastRenderedPageBreak/>
        <w:t>with the KPI Weightings in the column headed KPI Weighting in the KPI Table 1 of the KPI Performance Measures tab of the KPI Model.</w:t>
      </w:r>
    </w:p>
    <w:p w14:paraId="77E773AE" w14:textId="77777777" w:rsidR="007E0595" w:rsidRDefault="00FA7C31">
      <w:pPr>
        <w:numPr>
          <w:ilvl w:val="0"/>
          <w:numId w:val="4"/>
        </w:numPr>
        <w:pBdr>
          <w:top w:val="nil"/>
          <w:left w:val="nil"/>
          <w:bottom w:val="nil"/>
          <w:right w:val="nil"/>
          <w:between w:val="nil"/>
        </w:pBdr>
        <w:spacing w:after="240"/>
        <w:jc w:val="both"/>
      </w:pPr>
      <w:bookmarkStart w:id="9" w:name="_heading=h.1ksv4uv" w:colFirst="0" w:colLast="0"/>
      <w:bookmarkEnd w:id="9"/>
      <w:r>
        <w:rPr>
          <w:rFonts w:ascii="Arial" w:eastAsia="Arial" w:hAnsi="Arial" w:cs="Arial"/>
          <w:b/>
          <w:bCs/>
          <w:color w:val="000000"/>
        </w:rPr>
        <w:t>KPI Credit Ratchet</w:t>
      </w:r>
    </w:p>
    <w:p w14:paraId="054DC5E3" w14:textId="77777777" w:rsidR="007E0595" w:rsidRDefault="00FA7C31">
      <w:pPr>
        <w:numPr>
          <w:ilvl w:val="1"/>
          <w:numId w:val="4"/>
        </w:numPr>
        <w:pBdr>
          <w:top w:val="nil"/>
          <w:left w:val="nil"/>
          <w:bottom w:val="nil"/>
          <w:right w:val="nil"/>
          <w:between w:val="nil"/>
        </w:pBdr>
        <w:tabs>
          <w:tab w:val="left" w:pos="144"/>
        </w:tabs>
        <w:spacing w:after="120"/>
        <w:jc w:val="both"/>
      </w:pPr>
      <w:bookmarkStart w:id="10" w:name="_heading=h.44sinio" w:colFirst="0" w:colLast="0"/>
      <w:bookmarkEnd w:id="10"/>
      <w:r>
        <w:rPr>
          <w:rFonts w:ascii="Arial" w:eastAsia="Arial" w:hAnsi="Arial" w:cs="Arial"/>
          <w:color w:val="000000"/>
          <w:sz w:val="24"/>
          <w:szCs w:val="24"/>
        </w:rPr>
        <w:t>A ratchet will apply to the calculation of KPI Credits for frequent and repeated individual KPI Failures (</w:t>
      </w:r>
      <w:r>
        <w:rPr>
          <w:rFonts w:ascii="Arial" w:eastAsia="Arial" w:hAnsi="Arial" w:cs="Arial"/>
          <w:b/>
          <w:bCs/>
          <w:color w:val="000000"/>
          <w:sz w:val="24"/>
          <w:szCs w:val="24"/>
        </w:rPr>
        <w:t>"Ratchet"</w:t>
      </w:r>
      <w:r>
        <w:rPr>
          <w:rFonts w:ascii="Arial" w:eastAsia="Arial" w:hAnsi="Arial" w:cs="Arial"/>
          <w:color w:val="000000"/>
          <w:sz w:val="24"/>
          <w:szCs w:val="24"/>
        </w:rPr>
        <w:t>).</w:t>
      </w:r>
    </w:p>
    <w:p w14:paraId="13AD49B1"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The Ratchet will be applied to the calculation of individual  KPI Credits if one or both of the following circumstances occur:</w:t>
      </w:r>
    </w:p>
    <w:p w14:paraId="79F0D5ED"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KPI Failures occur in relation to any one or more of the same individual KPIs in consecutive Service Periods; and</w:t>
      </w:r>
    </w:p>
    <w:p w14:paraId="274BE201"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KPI Failures occur in relation to the same individual KPI in any four (4) or more of the immediately preceding twelve (12) Service Periods.</w:t>
      </w:r>
    </w:p>
    <w:p w14:paraId="252A1269"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 xml:space="preserve">The value of the Ratchet and when it is to be applied pursuant to Paragraph 4.2, </w:t>
      </w:r>
      <w:r>
        <w:rPr>
          <w:rFonts w:ascii="Arial" w:eastAsia="Arial" w:hAnsi="Arial" w:cs="Arial"/>
          <w:color w:val="222222"/>
          <w:sz w:val="24"/>
          <w:szCs w:val="24"/>
          <w:highlight w:val="white"/>
        </w:rPr>
        <w:t>is set out in the KPI Credits tab of the KPI Model</w:t>
      </w:r>
      <w:r>
        <w:rPr>
          <w:rFonts w:ascii="Arial" w:eastAsia="Arial" w:hAnsi="Arial" w:cs="Arial"/>
          <w:color w:val="000000"/>
          <w:sz w:val="24"/>
          <w:szCs w:val="24"/>
        </w:rPr>
        <w:t>.</w:t>
      </w:r>
    </w:p>
    <w:p w14:paraId="5A111C03"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When the Ratchet is to be applied, the relevant individual KPI Credit shall be the number of individual KPI Credits that would normally accrue for an initial individual KPI Failure multiplied by the value of the Ratchet, for example:</w:t>
      </w:r>
    </w:p>
    <w:p w14:paraId="5D6C7F12"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if a KPI Failure in respect of any one or more individual KPIs occurs in two (2) consecutive Service Periods, the individual KPI Credits for each of the KPI Failures in the second of such Service Periods will be 1.5 times the individual KPI Credit that would have been applicable to them for an initial KPI Failure (refer to table 1 in 4.4.3); and</w:t>
      </w:r>
    </w:p>
    <w:p w14:paraId="2653C988"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if a KPI Failure in respect of any one or more indi</w:t>
      </w:r>
      <w:r>
        <w:rPr>
          <w:rFonts w:ascii="Arial" w:eastAsia="Arial" w:hAnsi="Arial" w:cs="Arial"/>
          <w:sz w:val="24"/>
          <w:szCs w:val="24"/>
        </w:rPr>
        <w:t xml:space="preserve">vidual </w:t>
      </w:r>
      <w:r>
        <w:rPr>
          <w:rFonts w:ascii="Arial" w:eastAsia="Arial" w:hAnsi="Arial" w:cs="Arial"/>
          <w:color w:val="000000"/>
          <w:sz w:val="24"/>
          <w:szCs w:val="24"/>
        </w:rPr>
        <w:t>KPIs in any four (4) Service Periods in the immediately preceding twelve (12) Service Periods, the individual KPI Credits for each of the KPI Failures in that fourth Service Period will be 1.75 times the individual KPI Credit that would have been applicable to them for an initial KPI Failure (refer to table 1 in 4.4.3).</w:t>
      </w:r>
    </w:p>
    <w:p w14:paraId="776720C6" w14:textId="77777777" w:rsidR="007E0595" w:rsidRDefault="007E0595">
      <w:pPr>
        <w:pBdr>
          <w:top w:val="nil"/>
          <w:left w:val="nil"/>
          <w:bottom w:val="nil"/>
          <w:right w:val="nil"/>
          <w:between w:val="nil"/>
        </w:pBdr>
        <w:tabs>
          <w:tab w:val="left" w:pos="144"/>
        </w:tabs>
        <w:spacing w:after="120"/>
        <w:jc w:val="both"/>
        <w:rPr>
          <w:rFonts w:ascii="Arial" w:eastAsia="Arial" w:hAnsi="Arial" w:cs="Arial"/>
          <w:color w:val="000000"/>
          <w:sz w:val="24"/>
          <w:szCs w:val="24"/>
        </w:rPr>
      </w:pPr>
    </w:p>
    <w:p w14:paraId="4A6138E0" w14:textId="77777777" w:rsidR="007E0595" w:rsidRDefault="007E0595">
      <w:pPr>
        <w:pBdr>
          <w:top w:val="nil"/>
          <w:left w:val="nil"/>
          <w:bottom w:val="nil"/>
          <w:right w:val="nil"/>
          <w:between w:val="nil"/>
        </w:pBdr>
        <w:tabs>
          <w:tab w:val="left" w:pos="144"/>
        </w:tabs>
        <w:spacing w:after="120"/>
        <w:jc w:val="both"/>
        <w:rPr>
          <w:rFonts w:ascii="Arial" w:eastAsia="Arial" w:hAnsi="Arial" w:cs="Arial"/>
          <w:color w:val="000000"/>
          <w:sz w:val="24"/>
          <w:szCs w:val="24"/>
        </w:rPr>
      </w:pPr>
    </w:p>
    <w:p w14:paraId="0ECFC76A" w14:textId="77777777" w:rsidR="007E0595" w:rsidRDefault="007E0595">
      <w:pPr>
        <w:pBdr>
          <w:top w:val="nil"/>
          <w:left w:val="nil"/>
          <w:bottom w:val="nil"/>
          <w:right w:val="nil"/>
          <w:between w:val="nil"/>
        </w:pBdr>
        <w:tabs>
          <w:tab w:val="left" w:pos="144"/>
        </w:tabs>
        <w:spacing w:after="120"/>
        <w:jc w:val="both"/>
        <w:rPr>
          <w:rFonts w:ascii="Arial" w:eastAsia="Arial" w:hAnsi="Arial" w:cs="Arial"/>
          <w:color w:val="000000"/>
          <w:sz w:val="24"/>
          <w:szCs w:val="24"/>
        </w:rPr>
      </w:pPr>
    </w:p>
    <w:p w14:paraId="5421DF69" w14:textId="77777777" w:rsidR="007E0595" w:rsidRDefault="007E0595">
      <w:pPr>
        <w:pBdr>
          <w:top w:val="nil"/>
          <w:left w:val="nil"/>
          <w:bottom w:val="nil"/>
          <w:right w:val="nil"/>
          <w:between w:val="nil"/>
        </w:pBdr>
        <w:tabs>
          <w:tab w:val="left" w:pos="144"/>
        </w:tabs>
        <w:spacing w:after="120"/>
        <w:jc w:val="both"/>
        <w:rPr>
          <w:rFonts w:ascii="Arial" w:eastAsia="Arial" w:hAnsi="Arial" w:cs="Arial"/>
          <w:color w:val="000000"/>
          <w:sz w:val="24"/>
          <w:szCs w:val="24"/>
        </w:rPr>
      </w:pPr>
    </w:p>
    <w:p w14:paraId="328497F0" w14:textId="77777777" w:rsidR="007E0595" w:rsidRDefault="007E0595">
      <w:pPr>
        <w:pBdr>
          <w:top w:val="nil"/>
          <w:left w:val="nil"/>
          <w:bottom w:val="nil"/>
          <w:right w:val="nil"/>
          <w:between w:val="nil"/>
        </w:pBdr>
        <w:tabs>
          <w:tab w:val="left" w:pos="144"/>
        </w:tabs>
        <w:spacing w:after="120"/>
        <w:jc w:val="both"/>
        <w:rPr>
          <w:rFonts w:ascii="Arial" w:eastAsia="Arial" w:hAnsi="Arial" w:cs="Arial"/>
          <w:color w:val="000000"/>
          <w:sz w:val="24"/>
          <w:szCs w:val="24"/>
        </w:rPr>
      </w:pPr>
    </w:p>
    <w:p w14:paraId="23C58F08"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lastRenderedPageBreak/>
        <w:t>Illustration of Ratchets to be applied in table form;</w:t>
      </w:r>
    </w:p>
    <w:tbl>
      <w:tblPr>
        <w:tblStyle w:val="a2"/>
        <w:tblW w:w="7653" w:type="dxa"/>
        <w:tblInd w:w="14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1843"/>
        <w:gridCol w:w="1842"/>
        <w:gridCol w:w="2268"/>
      </w:tblGrid>
      <w:tr w:rsidR="007E0595" w14:paraId="43690A79" w14:textId="77777777">
        <w:trPr>
          <w:trHeight w:val="840"/>
        </w:trPr>
        <w:tc>
          <w:tcPr>
            <w:tcW w:w="1700" w:type="dxa"/>
            <w:tcBorders>
              <w:top w:val="single" w:sz="8" w:space="0" w:color="000000"/>
              <w:left w:val="single" w:sz="8" w:space="0" w:color="000000"/>
              <w:bottom w:val="single" w:sz="4" w:space="0" w:color="000000"/>
              <w:right w:val="single" w:sz="4" w:space="0" w:color="000000"/>
            </w:tcBorders>
            <w:vAlign w:val="center"/>
          </w:tcPr>
          <w:p w14:paraId="6D0CEC43" w14:textId="77777777" w:rsidR="007E0595" w:rsidRDefault="00FA7C31">
            <w:pPr>
              <w:spacing w:line="276" w:lineRule="auto"/>
              <w:rPr>
                <w:rFonts w:ascii="Arial" w:eastAsia="Arial" w:hAnsi="Arial" w:cs="Arial"/>
                <w:b/>
                <w:bCs/>
                <w:color w:val="000000"/>
              </w:rPr>
            </w:pPr>
            <w:r>
              <w:rPr>
                <w:rFonts w:ascii="Arial" w:eastAsia="Arial" w:hAnsi="Arial" w:cs="Arial"/>
                <w:b/>
                <w:bCs/>
                <w:color w:val="000000"/>
              </w:rPr>
              <w:t>Table 1: RATCHET OPTIONS</w:t>
            </w:r>
          </w:p>
        </w:tc>
        <w:tc>
          <w:tcPr>
            <w:tcW w:w="1843" w:type="dxa"/>
            <w:tcBorders>
              <w:top w:val="single" w:sz="8" w:space="0" w:color="000000"/>
              <w:left w:val="nil"/>
              <w:bottom w:val="single" w:sz="4" w:space="0" w:color="000000"/>
              <w:right w:val="single" w:sz="4" w:space="0" w:color="000000"/>
            </w:tcBorders>
            <w:vAlign w:val="center"/>
          </w:tcPr>
          <w:p w14:paraId="23D0B5AF" w14:textId="77777777" w:rsidR="007E0595" w:rsidRDefault="00FA7C31">
            <w:pPr>
              <w:spacing w:line="276" w:lineRule="auto"/>
              <w:jc w:val="center"/>
              <w:rPr>
                <w:rFonts w:ascii="Arial" w:eastAsia="Arial" w:hAnsi="Arial" w:cs="Arial"/>
                <w:b/>
                <w:bCs/>
                <w:color w:val="000000"/>
              </w:rPr>
            </w:pPr>
            <w:r>
              <w:rPr>
                <w:rFonts w:ascii="Arial" w:eastAsia="Arial" w:hAnsi="Arial" w:cs="Arial"/>
                <w:b/>
                <w:bCs/>
                <w:color w:val="000000"/>
              </w:rPr>
              <w:t>Ratchet Value</w:t>
            </w:r>
          </w:p>
        </w:tc>
        <w:tc>
          <w:tcPr>
            <w:tcW w:w="1842" w:type="dxa"/>
            <w:tcBorders>
              <w:top w:val="single" w:sz="8" w:space="0" w:color="000000"/>
              <w:left w:val="nil"/>
              <w:bottom w:val="single" w:sz="4" w:space="0" w:color="000000"/>
              <w:right w:val="single" w:sz="4" w:space="0" w:color="000000"/>
            </w:tcBorders>
            <w:vAlign w:val="center"/>
          </w:tcPr>
          <w:p w14:paraId="18D6D16B" w14:textId="77777777" w:rsidR="007E0595" w:rsidRDefault="00FA7C31">
            <w:pPr>
              <w:spacing w:line="276" w:lineRule="auto"/>
              <w:jc w:val="center"/>
              <w:rPr>
                <w:rFonts w:ascii="Arial" w:eastAsia="Arial" w:hAnsi="Arial" w:cs="Arial"/>
                <w:b/>
                <w:bCs/>
                <w:color w:val="000000"/>
              </w:rPr>
            </w:pPr>
            <w:r>
              <w:rPr>
                <w:rFonts w:ascii="Arial" w:eastAsia="Arial" w:hAnsi="Arial" w:cs="Arial"/>
                <w:b/>
                <w:bCs/>
                <w:color w:val="000000"/>
              </w:rPr>
              <w:t>Consecutive Failure</w:t>
            </w:r>
          </w:p>
        </w:tc>
        <w:tc>
          <w:tcPr>
            <w:tcW w:w="2268" w:type="dxa"/>
            <w:tcBorders>
              <w:top w:val="single" w:sz="8" w:space="0" w:color="000000"/>
              <w:left w:val="nil"/>
              <w:bottom w:val="single" w:sz="4" w:space="0" w:color="000000"/>
              <w:right w:val="single" w:sz="8" w:space="0" w:color="000000"/>
            </w:tcBorders>
            <w:vAlign w:val="center"/>
          </w:tcPr>
          <w:p w14:paraId="042CBD5B" w14:textId="77777777" w:rsidR="007E0595" w:rsidRDefault="00FA7C31">
            <w:pPr>
              <w:spacing w:line="276" w:lineRule="auto"/>
              <w:jc w:val="center"/>
              <w:rPr>
                <w:rFonts w:ascii="Arial" w:eastAsia="Arial" w:hAnsi="Arial" w:cs="Arial"/>
                <w:b/>
                <w:bCs/>
                <w:color w:val="000000"/>
              </w:rPr>
            </w:pPr>
            <w:r>
              <w:rPr>
                <w:rFonts w:ascii="Arial" w:eastAsia="Arial" w:hAnsi="Arial" w:cs="Arial"/>
                <w:b/>
                <w:bCs/>
                <w:color w:val="000000"/>
              </w:rPr>
              <w:t>Failure over a 12 Month Rolling Period</w:t>
            </w:r>
          </w:p>
        </w:tc>
      </w:tr>
      <w:tr w:rsidR="007E0595" w14:paraId="23A9598C" w14:textId="77777777">
        <w:trPr>
          <w:trHeight w:val="255"/>
        </w:trPr>
        <w:tc>
          <w:tcPr>
            <w:tcW w:w="1700" w:type="dxa"/>
            <w:tcBorders>
              <w:top w:val="nil"/>
              <w:left w:val="single" w:sz="8" w:space="0" w:color="000000"/>
              <w:bottom w:val="single" w:sz="4" w:space="0" w:color="000000"/>
              <w:right w:val="single" w:sz="4" w:space="0" w:color="000000"/>
            </w:tcBorders>
            <w:vAlign w:val="center"/>
          </w:tcPr>
          <w:p w14:paraId="2FC3A990" w14:textId="77777777" w:rsidR="007E0595" w:rsidRDefault="00FA7C31">
            <w:pPr>
              <w:spacing w:line="276" w:lineRule="auto"/>
              <w:rPr>
                <w:rFonts w:ascii="Arial" w:eastAsia="Arial" w:hAnsi="Arial" w:cs="Arial"/>
                <w:color w:val="000000"/>
              </w:rPr>
            </w:pPr>
            <w:r>
              <w:rPr>
                <w:rFonts w:ascii="Arial" w:eastAsia="Arial" w:hAnsi="Arial" w:cs="Arial"/>
                <w:color w:val="000000"/>
              </w:rPr>
              <w:t>Default</w:t>
            </w:r>
          </w:p>
        </w:tc>
        <w:tc>
          <w:tcPr>
            <w:tcW w:w="1843" w:type="dxa"/>
            <w:tcBorders>
              <w:top w:val="nil"/>
              <w:left w:val="nil"/>
              <w:bottom w:val="single" w:sz="4" w:space="0" w:color="000000"/>
              <w:right w:val="single" w:sz="4" w:space="0" w:color="000000"/>
            </w:tcBorders>
            <w:vAlign w:val="center"/>
          </w:tcPr>
          <w:p w14:paraId="004CB87B"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1</w:t>
            </w:r>
          </w:p>
        </w:tc>
        <w:tc>
          <w:tcPr>
            <w:tcW w:w="1842" w:type="dxa"/>
            <w:tcBorders>
              <w:top w:val="single" w:sz="4" w:space="0" w:color="000000"/>
              <w:left w:val="nil"/>
              <w:bottom w:val="single" w:sz="4" w:space="0" w:color="000000"/>
              <w:right w:val="single" w:sz="4" w:space="0" w:color="000000"/>
            </w:tcBorders>
            <w:vAlign w:val="center"/>
          </w:tcPr>
          <w:p w14:paraId="1A4DFEE2"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 </w:t>
            </w:r>
          </w:p>
        </w:tc>
        <w:tc>
          <w:tcPr>
            <w:tcW w:w="2268" w:type="dxa"/>
            <w:tcBorders>
              <w:top w:val="single" w:sz="4" w:space="0" w:color="000000"/>
              <w:left w:val="nil"/>
              <w:bottom w:val="single" w:sz="4" w:space="0" w:color="000000"/>
              <w:right w:val="single" w:sz="8" w:space="0" w:color="000000"/>
            </w:tcBorders>
            <w:vAlign w:val="center"/>
          </w:tcPr>
          <w:p w14:paraId="3D37E06C"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 </w:t>
            </w:r>
          </w:p>
        </w:tc>
      </w:tr>
      <w:tr w:rsidR="007E0595" w14:paraId="6D24BB13" w14:textId="77777777">
        <w:trPr>
          <w:trHeight w:val="255"/>
        </w:trPr>
        <w:tc>
          <w:tcPr>
            <w:tcW w:w="1700" w:type="dxa"/>
            <w:tcBorders>
              <w:top w:val="nil"/>
              <w:left w:val="single" w:sz="8" w:space="0" w:color="000000"/>
              <w:bottom w:val="single" w:sz="4" w:space="0" w:color="000000"/>
              <w:right w:val="single" w:sz="4" w:space="0" w:color="000000"/>
            </w:tcBorders>
            <w:vAlign w:val="center"/>
          </w:tcPr>
          <w:p w14:paraId="32DD1266" w14:textId="77777777" w:rsidR="007E0595" w:rsidRDefault="00FA7C31">
            <w:pPr>
              <w:spacing w:line="276" w:lineRule="auto"/>
              <w:rPr>
                <w:rFonts w:ascii="Arial" w:eastAsia="Arial" w:hAnsi="Arial" w:cs="Arial"/>
                <w:color w:val="000000"/>
              </w:rPr>
            </w:pPr>
            <w:r>
              <w:rPr>
                <w:rFonts w:ascii="Arial" w:eastAsia="Arial" w:hAnsi="Arial" w:cs="Arial"/>
                <w:color w:val="000000"/>
              </w:rPr>
              <w:t>Ratchet 1</w:t>
            </w:r>
          </w:p>
        </w:tc>
        <w:tc>
          <w:tcPr>
            <w:tcW w:w="1843" w:type="dxa"/>
            <w:tcBorders>
              <w:top w:val="nil"/>
              <w:left w:val="nil"/>
              <w:bottom w:val="single" w:sz="4" w:space="0" w:color="000000"/>
              <w:right w:val="single" w:sz="4" w:space="0" w:color="000000"/>
            </w:tcBorders>
            <w:vAlign w:val="center"/>
          </w:tcPr>
          <w:p w14:paraId="661791EB"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1.5</w:t>
            </w:r>
          </w:p>
        </w:tc>
        <w:tc>
          <w:tcPr>
            <w:tcW w:w="1842" w:type="dxa"/>
            <w:tcBorders>
              <w:top w:val="single" w:sz="4" w:space="0" w:color="000000"/>
              <w:left w:val="nil"/>
              <w:bottom w:val="single" w:sz="4" w:space="0" w:color="000000"/>
              <w:right w:val="single" w:sz="4" w:space="0" w:color="000000"/>
            </w:tcBorders>
            <w:vAlign w:val="center"/>
          </w:tcPr>
          <w:p w14:paraId="3145CD6C"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2</w:t>
            </w:r>
          </w:p>
        </w:tc>
        <w:tc>
          <w:tcPr>
            <w:tcW w:w="2268" w:type="dxa"/>
            <w:tcBorders>
              <w:top w:val="single" w:sz="4" w:space="0" w:color="000000"/>
              <w:left w:val="nil"/>
              <w:bottom w:val="single" w:sz="4" w:space="0" w:color="000000"/>
              <w:right w:val="single" w:sz="8" w:space="0" w:color="000000"/>
            </w:tcBorders>
            <w:vAlign w:val="center"/>
          </w:tcPr>
          <w:p w14:paraId="5DE67509"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3</w:t>
            </w:r>
          </w:p>
        </w:tc>
      </w:tr>
      <w:tr w:rsidR="007E0595" w14:paraId="3415E16E" w14:textId="77777777">
        <w:trPr>
          <w:trHeight w:val="255"/>
        </w:trPr>
        <w:tc>
          <w:tcPr>
            <w:tcW w:w="1700" w:type="dxa"/>
            <w:tcBorders>
              <w:top w:val="nil"/>
              <w:left w:val="single" w:sz="8" w:space="0" w:color="000000"/>
              <w:bottom w:val="single" w:sz="4" w:space="0" w:color="000000"/>
              <w:right w:val="single" w:sz="4" w:space="0" w:color="000000"/>
            </w:tcBorders>
            <w:vAlign w:val="center"/>
          </w:tcPr>
          <w:p w14:paraId="3529BBD1" w14:textId="77777777" w:rsidR="007E0595" w:rsidRDefault="00FA7C31">
            <w:pPr>
              <w:spacing w:line="276" w:lineRule="auto"/>
              <w:rPr>
                <w:rFonts w:ascii="Arial" w:eastAsia="Arial" w:hAnsi="Arial" w:cs="Arial"/>
                <w:color w:val="000000"/>
              </w:rPr>
            </w:pPr>
            <w:r>
              <w:rPr>
                <w:rFonts w:ascii="Arial" w:eastAsia="Arial" w:hAnsi="Arial" w:cs="Arial"/>
                <w:color w:val="000000"/>
              </w:rPr>
              <w:t>Ratchet 2</w:t>
            </w:r>
          </w:p>
        </w:tc>
        <w:tc>
          <w:tcPr>
            <w:tcW w:w="1843" w:type="dxa"/>
            <w:tcBorders>
              <w:top w:val="nil"/>
              <w:left w:val="nil"/>
              <w:bottom w:val="single" w:sz="4" w:space="0" w:color="000000"/>
              <w:right w:val="single" w:sz="4" w:space="0" w:color="000000"/>
            </w:tcBorders>
            <w:vAlign w:val="center"/>
          </w:tcPr>
          <w:p w14:paraId="1D171AC4"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1.75</w:t>
            </w:r>
          </w:p>
        </w:tc>
        <w:tc>
          <w:tcPr>
            <w:tcW w:w="1842" w:type="dxa"/>
            <w:tcBorders>
              <w:top w:val="single" w:sz="4" w:space="0" w:color="000000"/>
              <w:left w:val="nil"/>
              <w:bottom w:val="single" w:sz="4" w:space="0" w:color="000000"/>
              <w:right w:val="single" w:sz="4" w:space="0" w:color="000000"/>
            </w:tcBorders>
            <w:vAlign w:val="center"/>
          </w:tcPr>
          <w:p w14:paraId="1A6AA2E1"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3</w:t>
            </w:r>
          </w:p>
        </w:tc>
        <w:tc>
          <w:tcPr>
            <w:tcW w:w="2268" w:type="dxa"/>
            <w:tcBorders>
              <w:top w:val="single" w:sz="4" w:space="0" w:color="000000"/>
              <w:left w:val="nil"/>
              <w:bottom w:val="single" w:sz="4" w:space="0" w:color="000000"/>
              <w:right w:val="single" w:sz="8" w:space="0" w:color="000000"/>
            </w:tcBorders>
            <w:vAlign w:val="center"/>
          </w:tcPr>
          <w:p w14:paraId="07F744C5"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4,5</w:t>
            </w:r>
          </w:p>
        </w:tc>
      </w:tr>
      <w:tr w:rsidR="007E0595" w14:paraId="424BF9B1" w14:textId="77777777">
        <w:trPr>
          <w:trHeight w:val="270"/>
        </w:trPr>
        <w:tc>
          <w:tcPr>
            <w:tcW w:w="1700" w:type="dxa"/>
            <w:tcBorders>
              <w:top w:val="nil"/>
              <w:left w:val="single" w:sz="8" w:space="0" w:color="000000"/>
              <w:bottom w:val="single" w:sz="8" w:space="0" w:color="000000"/>
              <w:right w:val="single" w:sz="4" w:space="0" w:color="000000"/>
            </w:tcBorders>
            <w:vAlign w:val="center"/>
          </w:tcPr>
          <w:p w14:paraId="467604B7" w14:textId="77777777" w:rsidR="007E0595" w:rsidRDefault="00FA7C31">
            <w:pPr>
              <w:spacing w:line="276" w:lineRule="auto"/>
              <w:rPr>
                <w:rFonts w:ascii="Arial" w:eastAsia="Arial" w:hAnsi="Arial" w:cs="Arial"/>
                <w:color w:val="000000"/>
              </w:rPr>
            </w:pPr>
            <w:r>
              <w:rPr>
                <w:rFonts w:ascii="Arial" w:eastAsia="Arial" w:hAnsi="Arial" w:cs="Arial"/>
                <w:color w:val="000000"/>
              </w:rPr>
              <w:t>Ratchet 3</w:t>
            </w:r>
          </w:p>
        </w:tc>
        <w:tc>
          <w:tcPr>
            <w:tcW w:w="1843" w:type="dxa"/>
            <w:tcBorders>
              <w:top w:val="nil"/>
              <w:left w:val="nil"/>
              <w:bottom w:val="single" w:sz="8" w:space="0" w:color="000000"/>
              <w:right w:val="single" w:sz="4" w:space="0" w:color="000000"/>
            </w:tcBorders>
            <w:vAlign w:val="center"/>
          </w:tcPr>
          <w:p w14:paraId="389FAC75"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2</w:t>
            </w:r>
          </w:p>
        </w:tc>
        <w:tc>
          <w:tcPr>
            <w:tcW w:w="1842" w:type="dxa"/>
            <w:tcBorders>
              <w:top w:val="single" w:sz="4" w:space="0" w:color="000000"/>
              <w:left w:val="nil"/>
              <w:bottom w:val="single" w:sz="8" w:space="0" w:color="000000"/>
              <w:right w:val="single" w:sz="4" w:space="0" w:color="000000"/>
            </w:tcBorders>
            <w:vAlign w:val="center"/>
          </w:tcPr>
          <w:p w14:paraId="60A7E562"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4</w:t>
            </w:r>
          </w:p>
        </w:tc>
        <w:tc>
          <w:tcPr>
            <w:tcW w:w="2268" w:type="dxa"/>
            <w:tcBorders>
              <w:top w:val="single" w:sz="4" w:space="0" w:color="000000"/>
              <w:left w:val="nil"/>
              <w:bottom w:val="single" w:sz="8" w:space="0" w:color="000000"/>
              <w:right w:val="single" w:sz="8" w:space="0" w:color="000000"/>
            </w:tcBorders>
            <w:vAlign w:val="center"/>
          </w:tcPr>
          <w:p w14:paraId="2417DB7C" w14:textId="77777777" w:rsidR="007E0595" w:rsidRDefault="00FA7C31">
            <w:pPr>
              <w:spacing w:line="276" w:lineRule="auto"/>
              <w:jc w:val="center"/>
              <w:rPr>
                <w:rFonts w:ascii="Arial" w:eastAsia="Arial" w:hAnsi="Arial" w:cs="Arial"/>
                <w:color w:val="000000"/>
              </w:rPr>
            </w:pPr>
            <w:r>
              <w:rPr>
                <w:rFonts w:ascii="Arial" w:eastAsia="Arial" w:hAnsi="Arial" w:cs="Arial"/>
                <w:color w:val="000000"/>
              </w:rPr>
              <w:t>6,7,8,9,10,11,12</w:t>
            </w:r>
          </w:p>
        </w:tc>
      </w:tr>
    </w:tbl>
    <w:p w14:paraId="77B6C660" w14:textId="77777777" w:rsidR="007E0595" w:rsidRDefault="007E0595">
      <w:pPr>
        <w:pBdr>
          <w:top w:val="nil"/>
          <w:left w:val="nil"/>
          <w:bottom w:val="nil"/>
          <w:right w:val="nil"/>
          <w:between w:val="nil"/>
        </w:pBdr>
        <w:tabs>
          <w:tab w:val="left" w:pos="144"/>
        </w:tabs>
        <w:spacing w:after="120"/>
        <w:ind w:left="2160" w:hanging="720"/>
        <w:jc w:val="both"/>
        <w:rPr>
          <w:rFonts w:ascii="Arial" w:eastAsia="Arial" w:hAnsi="Arial" w:cs="Arial"/>
          <w:b/>
          <w:bCs/>
          <w:color w:val="000000"/>
          <w:sz w:val="24"/>
          <w:szCs w:val="24"/>
        </w:rPr>
      </w:pPr>
    </w:p>
    <w:p w14:paraId="39E5513A"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If more than one Ratchet applies to an indi</w:t>
      </w:r>
      <w:r>
        <w:rPr>
          <w:rFonts w:ascii="Arial" w:eastAsia="Arial" w:hAnsi="Arial" w:cs="Arial"/>
          <w:sz w:val="24"/>
          <w:szCs w:val="24"/>
        </w:rPr>
        <w:t>vidual</w:t>
      </w:r>
      <w:r>
        <w:rPr>
          <w:rFonts w:ascii="Arial" w:eastAsia="Arial" w:hAnsi="Arial" w:cs="Arial"/>
          <w:color w:val="000000"/>
          <w:sz w:val="24"/>
          <w:szCs w:val="24"/>
        </w:rPr>
        <w:t xml:space="preserve"> KPI Failure in the same Service Period, the Ratchet resulting in the higher individual KPI Credit will be used.</w:t>
      </w:r>
    </w:p>
    <w:p w14:paraId="2D69FDC1" w14:textId="77777777" w:rsidR="007E0595" w:rsidRDefault="00FA7C31">
      <w:pPr>
        <w:numPr>
          <w:ilvl w:val="0"/>
          <w:numId w:val="4"/>
        </w:numPr>
        <w:pBdr>
          <w:top w:val="nil"/>
          <w:left w:val="nil"/>
          <w:bottom w:val="nil"/>
          <w:right w:val="nil"/>
          <w:between w:val="nil"/>
        </w:pBdr>
        <w:spacing w:after="240"/>
        <w:jc w:val="both"/>
      </w:pPr>
      <w:bookmarkStart w:id="11" w:name="_heading=h.z337ya" w:colFirst="0" w:colLast="0"/>
      <w:bookmarkEnd w:id="11"/>
      <w:r>
        <w:rPr>
          <w:rFonts w:ascii="Arial" w:eastAsia="Arial" w:hAnsi="Arial" w:cs="Arial"/>
          <w:b/>
          <w:bCs/>
          <w:color w:val="000000"/>
          <w:sz w:val="24"/>
          <w:szCs w:val="24"/>
        </w:rPr>
        <w:t>KPI Credit Earn Back</w:t>
      </w:r>
    </w:p>
    <w:p w14:paraId="5638AD3A" w14:textId="77777777" w:rsidR="007E0595" w:rsidRDefault="00FA7C31">
      <w:pPr>
        <w:numPr>
          <w:ilvl w:val="1"/>
          <w:numId w:val="4"/>
        </w:numPr>
        <w:pBdr>
          <w:top w:val="nil"/>
          <w:left w:val="nil"/>
          <w:bottom w:val="nil"/>
          <w:right w:val="nil"/>
          <w:between w:val="nil"/>
        </w:pBdr>
        <w:tabs>
          <w:tab w:val="left" w:pos="144"/>
        </w:tabs>
        <w:spacing w:after="120"/>
        <w:jc w:val="both"/>
      </w:pPr>
      <w:bookmarkStart w:id="12" w:name="_heading=h.3j2qqm3" w:colFirst="0" w:colLast="0"/>
      <w:bookmarkEnd w:id="12"/>
      <w:r>
        <w:rPr>
          <w:rFonts w:ascii="Arial" w:eastAsia="Arial" w:hAnsi="Arial" w:cs="Arial"/>
          <w:color w:val="000000"/>
          <w:sz w:val="24"/>
          <w:szCs w:val="24"/>
        </w:rPr>
        <w:t>If:</w:t>
      </w:r>
    </w:p>
    <w:p w14:paraId="575A7B49" w14:textId="77777777" w:rsidR="007E0595" w:rsidRDefault="00FA7C31">
      <w:pPr>
        <w:numPr>
          <w:ilvl w:val="2"/>
          <w:numId w:val="4"/>
        </w:numPr>
        <w:pBdr>
          <w:top w:val="nil"/>
          <w:left w:val="nil"/>
          <w:bottom w:val="nil"/>
          <w:right w:val="nil"/>
          <w:between w:val="nil"/>
        </w:pBdr>
        <w:tabs>
          <w:tab w:val="left" w:pos="144"/>
        </w:tabs>
        <w:spacing w:after="120"/>
        <w:jc w:val="both"/>
      </w:pPr>
      <w:bookmarkStart w:id="13" w:name="_heading=h.1y810tw" w:colFirst="0" w:colLast="0"/>
      <w:bookmarkEnd w:id="13"/>
      <w:r>
        <w:rPr>
          <w:rFonts w:ascii="Arial" w:eastAsia="Arial" w:hAnsi="Arial" w:cs="Arial"/>
          <w:color w:val="000000"/>
          <w:sz w:val="24"/>
          <w:szCs w:val="24"/>
        </w:rPr>
        <w:t>in respect of a Service Period the Supplier has been liable to pay (and has paid) a, in</w:t>
      </w:r>
      <w:r>
        <w:rPr>
          <w:rFonts w:ascii="Arial" w:eastAsia="Arial" w:hAnsi="Arial" w:cs="Arial"/>
          <w:sz w:val="24"/>
          <w:szCs w:val="24"/>
        </w:rPr>
        <w:t>dividual</w:t>
      </w:r>
      <w:r>
        <w:rPr>
          <w:rFonts w:ascii="Arial" w:eastAsia="Arial" w:hAnsi="Arial" w:cs="Arial"/>
          <w:color w:val="000000"/>
          <w:sz w:val="24"/>
          <w:szCs w:val="24"/>
        </w:rPr>
        <w:t xml:space="preserve"> KPI Credit in relation to a KPI; and</w:t>
      </w:r>
    </w:p>
    <w:p w14:paraId="45388AF7" w14:textId="77777777" w:rsidR="007E0595" w:rsidRDefault="00FA7C31">
      <w:pPr>
        <w:numPr>
          <w:ilvl w:val="2"/>
          <w:numId w:val="4"/>
        </w:numPr>
        <w:pBdr>
          <w:top w:val="nil"/>
          <w:left w:val="nil"/>
          <w:bottom w:val="nil"/>
          <w:right w:val="nil"/>
          <w:between w:val="nil"/>
        </w:pBdr>
        <w:tabs>
          <w:tab w:val="left" w:pos="144"/>
          <w:tab w:val="left" w:pos="142"/>
        </w:tabs>
        <w:spacing w:after="120"/>
        <w:jc w:val="both"/>
      </w:pPr>
      <w:r>
        <w:rPr>
          <w:rFonts w:ascii="Arial" w:eastAsia="Arial" w:hAnsi="Arial" w:cs="Arial"/>
          <w:color w:val="000000"/>
          <w:sz w:val="24"/>
          <w:szCs w:val="24"/>
        </w:rPr>
        <w:t>in the next Service Period, the Supplier is not liable to pay an indi</w:t>
      </w:r>
      <w:r>
        <w:rPr>
          <w:rFonts w:ascii="Arial" w:eastAsia="Arial" w:hAnsi="Arial" w:cs="Arial"/>
          <w:sz w:val="24"/>
          <w:szCs w:val="24"/>
        </w:rPr>
        <w:t>vidual</w:t>
      </w:r>
      <w:r>
        <w:rPr>
          <w:rFonts w:ascii="Arial" w:eastAsia="Arial" w:hAnsi="Arial" w:cs="Arial"/>
          <w:color w:val="000000"/>
          <w:sz w:val="24"/>
          <w:szCs w:val="24"/>
        </w:rPr>
        <w:t xml:space="preserve"> KPI Credit in relation to the same KPI that was the subject of such individual KPI Credits in the previous Service Period,</w:t>
      </w:r>
    </w:p>
    <w:p w14:paraId="253811B4"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The Supplier shall be entitled to recover a proportion of such individual KPI Credit (</w:t>
      </w:r>
      <w:r>
        <w:rPr>
          <w:rFonts w:ascii="Arial" w:eastAsia="Arial" w:hAnsi="Arial" w:cs="Arial"/>
          <w:b/>
          <w:bCs/>
          <w:color w:val="000000"/>
          <w:sz w:val="24"/>
          <w:szCs w:val="24"/>
        </w:rPr>
        <w:t xml:space="preserve">"Earn </w:t>
      </w:r>
      <w:r>
        <w:rPr>
          <w:rFonts w:ascii="Arial" w:eastAsia="Arial" w:hAnsi="Arial" w:cs="Arial"/>
          <w:b/>
          <w:bCs/>
          <w:sz w:val="24"/>
          <w:szCs w:val="24"/>
        </w:rPr>
        <w:t>B</w:t>
      </w:r>
      <w:r>
        <w:rPr>
          <w:rFonts w:ascii="Arial" w:eastAsia="Arial" w:hAnsi="Arial" w:cs="Arial"/>
          <w:b/>
          <w:bCs/>
          <w:color w:val="000000"/>
          <w:sz w:val="24"/>
          <w:szCs w:val="24"/>
        </w:rPr>
        <w:t>ack"</w:t>
      </w:r>
      <w:r>
        <w:rPr>
          <w:rFonts w:ascii="Arial" w:eastAsia="Arial" w:hAnsi="Arial" w:cs="Arial"/>
          <w:color w:val="000000"/>
          <w:sz w:val="24"/>
          <w:szCs w:val="24"/>
        </w:rPr>
        <w:t>).</w:t>
      </w:r>
    </w:p>
    <w:p w14:paraId="730BF669"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 xml:space="preserve">The amount of the Earn </w:t>
      </w:r>
      <w:r>
        <w:rPr>
          <w:rFonts w:ascii="Arial" w:eastAsia="Arial" w:hAnsi="Arial" w:cs="Arial"/>
          <w:sz w:val="24"/>
          <w:szCs w:val="24"/>
        </w:rPr>
        <w:t>B</w:t>
      </w:r>
      <w:r>
        <w:rPr>
          <w:rFonts w:ascii="Arial" w:eastAsia="Arial" w:hAnsi="Arial" w:cs="Arial"/>
          <w:color w:val="000000"/>
          <w:sz w:val="24"/>
          <w:szCs w:val="24"/>
        </w:rPr>
        <w:t xml:space="preserve">ack shall be calculated as the product of the individual KPI Credit paid in the previous Service Period in relation to the relevant individual KPI and the Earn </w:t>
      </w:r>
      <w:r>
        <w:rPr>
          <w:rFonts w:ascii="Arial" w:eastAsia="Arial" w:hAnsi="Arial" w:cs="Arial"/>
          <w:sz w:val="24"/>
          <w:szCs w:val="24"/>
        </w:rPr>
        <w:t>B</w:t>
      </w:r>
      <w:r>
        <w:rPr>
          <w:rFonts w:ascii="Arial" w:eastAsia="Arial" w:hAnsi="Arial" w:cs="Arial"/>
          <w:color w:val="000000"/>
          <w:sz w:val="24"/>
          <w:szCs w:val="24"/>
        </w:rPr>
        <w:t>ack %.</w:t>
      </w:r>
    </w:p>
    <w:p w14:paraId="2CF91A0C"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 xml:space="preserve">The Supplier shall recover any Earn </w:t>
      </w:r>
      <w:r>
        <w:rPr>
          <w:rFonts w:ascii="Arial" w:eastAsia="Arial" w:hAnsi="Arial" w:cs="Arial"/>
          <w:sz w:val="24"/>
          <w:szCs w:val="24"/>
        </w:rPr>
        <w:t>B</w:t>
      </w:r>
      <w:r>
        <w:rPr>
          <w:rFonts w:ascii="Arial" w:eastAsia="Arial" w:hAnsi="Arial" w:cs="Arial"/>
          <w:color w:val="000000"/>
          <w:sz w:val="24"/>
          <w:szCs w:val="24"/>
        </w:rPr>
        <w:t>ack to which it is entitled under this Paragraph 5 in accordance with Call-Off Schedule 5 (</w:t>
      </w:r>
      <w:r>
        <w:rPr>
          <w:rFonts w:ascii="Arial" w:eastAsia="Arial" w:hAnsi="Arial" w:cs="Arial"/>
          <w:i/>
          <w:iCs/>
          <w:color w:val="000000"/>
          <w:sz w:val="24"/>
          <w:szCs w:val="24"/>
        </w:rPr>
        <w:t>Call-Off Pricing</w:t>
      </w:r>
      <w:r>
        <w:rPr>
          <w:rFonts w:ascii="Arial" w:eastAsia="Arial" w:hAnsi="Arial" w:cs="Arial"/>
          <w:color w:val="000000"/>
          <w:sz w:val="24"/>
          <w:szCs w:val="24"/>
        </w:rPr>
        <w:t>).</w:t>
      </w:r>
    </w:p>
    <w:p w14:paraId="6B691A98" w14:textId="77777777" w:rsidR="007E0595" w:rsidRDefault="00FA7C31">
      <w:pPr>
        <w:numPr>
          <w:ilvl w:val="0"/>
          <w:numId w:val="4"/>
        </w:numPr>
        <w:pBdr>
          <w:top w:val="nil"/>
          <w:left w:val="nil"/>
          <w:bottom w:val="nil"/>
          <w:right w:val="nil"/>
          <w:between w:val="nil"/>
        </w:pBdr>
        <w:spacing w:after="240"/>
        <w:jc w:val="both"/>
      </w:pPr>
      <w:r>
        <w:rPr>
          <w:rFonts w:ascii="Arial" w:eastAsia="Arial" w:hAnsi="Arial" w:cs="Arial"/>
          <w:b/>
          <w:bCs/>
          <w:color w:val="000000"/>
          <w:sz w:val="24"/>
          <w:szCs w:val="24"/>
        </w:rPr>
        <w:t>KPI Holiday </w:t>
      </w:r>
    </w:p>
    <w:p w14:paraId="3A2E2A10"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The Buyer shall have the option to include a KPI Holiday Period at the start of a Contract. If a KPI Holiday Period will not be used, the Buyer shall enter a ‘0’ into the KPI Holiday Period entry in the Order Form for KPI Holiday Period. If a KPI Holiday Period is to be used, the Buyer will enter the length of the KPI Holiday Period in the KPI Holiday Period entry in the Order Form.</w:t>
      </w:r>
    </w:p>
    <w:p w14:paraId="18107092" w14:textId="77777777" w:rsidR="007E0595" w:rsidRDefault="00FA7C31">
      <w:pPr>
        <w:numPr>
          <w:ilvl w:val="1"/>
          <w:numId w:val="4"/>
        </w:numPr>
        <w:pBdr>
          <w:top w:val="nil"/>
          <w:left w:val="nil"/>
          <w:bottom w:val="nil"/>
          <w:right w:val="nil"/>
          <w:between w:val="nil"/>
        </w:pBdr>
        <w:tabs>
          <w:tab w:val="left" w:pos="144"/>
        </w:tabs>
        <w:jc w:val="both"/>
      </w:pPr>
      <w:r>
        <w:rPr>
          <w:rFonts w:ascii="Arial" w:eastAsia="Arial" w:hAnsi="Arial" w:cs="Arial"/>
          <w:color w:val="000000"/>
          <w:sz w:val="24"/>
          <w:szCs w:val="24"/>
        </w:rPr>
        <w:lastRenderedPageBreak/>
        <w:t xml:space="preserve">During a KPI Holiday Period all KPIs shall continue to be reported by the Supplier but no KPI Credits shall be applied nor shall the Ratchet be </w:t>
      </w:r>
      <w:r>
        <w:rPr>
          <w:rFonts w:ascii="Arial" w:eastAsia="Arial" w:hAnsi="Arial" w:cs="Arial"/>
          <w:sz w:val="24"/>
          <w:szCs w:val="24"/>
        </w:rPr>
        <w:t>applied at the</w:t>
      </w:r>
      <w:r>
        <w:rPr>
          <w:rFonts w:ascii="Arial" w:eastAsia="Arial" w:hAnsi="Arial" w:cs="Arial"/>
          <w:color w:val="000000"/>
          <w:sz w:val="24"/>
          <w:szCs w:val="24"/>
        </w:rPr>
        <w:t xml:space="preserve"> end of the KPI Holiday Period. </w:t>
      </w:r>
    </w:p>
    <w:p w14:paraId="49BB52D3" w14:textId="77777777" w:rsidR="007E0595" w:rsidRDefault="00FA7C31">
      <w:pPr>
        <w:numPr>
          <w:ilvl w:val="0"/>
          <w:numId w:val="4"/>
        </w:numPr>
        <w:tabs>
          <w:tab w:val="left" w:pos="144"/>
        </w:tabs>
        <w:spacing w:after="120"/>
        <w:jc w:val="both"/>
      </w:pPr>
      <w:bookmarkStart w:id="14" w:name="_heading=h.35nkun2" w:colFirst="0" w:colLast="0"/>
      <w:bookmarkEnd w:id="14"/>
      <w:r>
        <w:rPr>
          <w:rFonts w:ascii="Arial" w:eastAsia="Arial" w:hAnsi="Arial" w:cs="Arial"/>
          <w:b/>
          <w:bCs/>
          <w:sz w:val="24"/>
          <w:szCs w:val="24"/>
        </w:rPr>
        <w:t>KPI Credit Calculation</w:t>
      </w:r>
    </w:p>
    <w:p w14:paraId="326554ED" w14:textId="77777777" w:rsidR="007E0595" w:rsidRDefault="00FA7C31">
      <w:pPr>
        <w:numPr>
          <w:ilvl w:val="1"/>
          <w:numId w:val="4"/>
        </w:numPr>
        <w:tabs>
          <w:tab w:val="left" w:pos="144"/>
        </w:tabs>
        <w:spacing w:after="120"/>
        <w:jc w:val="both"/>
      </w:pPr>
      <w:r>
        <w:rPr>
          <w:rFonts w:ascii="Arial" w:eastAsia="Arial" w:hAnsi="Arial" w:cs="Arial"/>
          <w:sz w:val="24"/>
          <w:szCs w:val="24"/>
        </w:rPr>
        <w:t>The individual KPI Credit to be applied to a KPI in a Service Period for a KPI Failure shall be calculated in accordance with the KPI Measures tab of the KPI Model by:</w:t>
      </w:r>
    </w:p>
    <w:p w14:paraId="7477CDA1" w14:textId="77777777" w:rsidR="007E0595" w:rsidRDefault="00FA7C31">
      <w:pPr>
        <w:numPr>
          <w:ilvl w:val="2"/>
          <w:numId w:val="4"/>
        </w:numPr>
        <w:tabs>
          <w:tab w:val="left" w:pos="144"/>
        </w:tabs>
        <w:spacing w:after="120"/>
        <w:jc w:val="both"/>
      </w:pPr>
      <w:r>
        <w:rPr>
          <w:rFonts w:ascii="Arial" w:eastAsia="Arial" w:hAnsi="Arial" w:cs="Arial"/>
          <w:sz w:val="24"/>
          <w:szCs w:val="24"/>
        </w:rPr>
        <w:t xml:space="preserve">deducting from 100% the actual standard of performance (as a percentage, calculated using the KPI Credits tab of the KPI Model) achieved by the Supplier against the individual KPI Performance Measure in that Service Period; and </w:t>
      </w:r>
    </w:p>
    <w:p w14:paraId="331888E8" w14:textId="77777777" w:rsidR="007E0595" w:rsidRDefault="00FA7C31">
      <w:pPr>
        <w:numPr>
          <w:ilvl w:val="2"/>
          <w:numId w:val="4"/>
        </w:numPr>
        <w:tabs>
          <w:tab w:val="left" w:pos="144"/>
        </w:tabs>
        <w:spacing w:after="120"/>
        <w:jc w:val="both"/>
      </w:pPr>
      <w:r>
        <w:rPr>
          <w:rFonts w:ascii="Arial" w:eastAsia="Arial" w:hAnsi="Arial" w:cs="Arial"/>
          <w:sz w:val="24"/>
          <w:szCs w:val="24"/>
        </w:rPr>
        <w:t>multiplying the resultant percentage by the individual KPI At Risk Amount, and;</w:t>
      </w:r>
    </w:p>
    <w:p w14:paraId="4F490A04" w14:textId="77777777" w:rsidR="007E0595" w:rsidRDefault="00FA7C31">
      <w:pPr>
        <w:numPr>
          <w:ilvl w:val="2"/>
          <w:numId w:val="4"/>
        </w:numPr>
        <w:tabs>
          <w:tab w:val="left" w:pos="144"/>
        </w:tabs>
        <w:spacing w:after="120"/>
        <w:jc w:val="both"/>
      </w:pPr>
      <w:r>
        <w:rPr>
          <w:rFonts w:ascii="Arial" w:eastAsia="Arial" w:hAnsi="Arial" w:cs="Arial"/>
          <w:sz w:val="24"/>
          <w:szCs w:val="24"/>
        </w:rPr>
        <w:t>applying a KPI Holiday (where applicable), and;</w:t>
      </w:r>
    </w:p>
    <w:p w14:paraId="40121E35" w14:textId="77777777" w:rsidR="007E0595" w:rsidRDefault="00FA7C31">
      <w:pPr>
        <w:numPr>
          <w:ilvl w:val="2"/>
          <w:numId w:val="4"/>
        </w:numPr>
        <w:tabs>
          <w:tab w:val="left" w:pos="144"/>
        </w:tabs>
        <w:spacing w:after="120"/>
        <w:jc w:val="both"/>
      </w:pPr>
      <w:r>
        <w:rPr>
          <w:rFonts w:ascii="Arial" w:eastAsia="Arial" w:hAnsi="Arial" w:cs="Arial"/>
          <w:sz w:val="24"/>
          <w:szCs w:val="24"/>
        </w:rPr>
        <w:t>applying Ratchet amount (where applicable), and;</w:t>
      </w:r>
    </w:p>
    <w:p w14:paraId="121DC088" w14:textId="77777777" w:rsidR="007E0595" w:rsidRDefault="00FA7C31">
      <w:pPr>
        <w:numPr>
          <w:ilvl w:val="2"/>
          <w:numId w:val="4"/>
        </w:numPr>
        <w:tabs>
          <w:tab w:val="left" w:pos="144"/>
        </w:tabs>
        <w:spacing w:after="120"/>
        <w:jc w:val="both"/>
      </w:pPr>
      <w:r>
        <w:rPr>
          <w:rFonts w:ascii="Arial" w:eastAsia="Arial" w:hAnsi="Arial" w:cs="Arial"/>
          <w:sz w:val="24"/>
          <w:szCs w:val="24"/>
        </w:rPr>
        <w:t>applying Earn back amount (where applicable)</w:t>
      </w:r>
    </w:p>
    <w:p w14:paraId="1A6FDCC1" w14:textId="77777777" w:rsidR="007E0595" w:rsidRDefault="00FA7C31">
      <w:pPr>
        <w:numPr>
          <w:ilvl w:val="1"/>
          <w:numId w:val="4"/>
        </w:numPr>
        <w:tabs>
          <w:tab w:val="left" w:pos="144"/>
        </w:tabs>
        <w:spacing w:after="120"/>
        <w:jc w:val="both"/>
      </w:pPr>
      <w:r>
        <w:rPr>
          <w:rFonts w:ascii="Arial" w:eastAsia="Arial" w:hAnsi="Arial" w:cs="Arial"/>
          <w:sz w:val="24"/>
          <w:szCs w:val="24"/>
        </w:rPr>
        <w:t>Adding the resulting individual KPI Credits that have Ratchet and Earn back applied (where applicable) together results in the total KPI Credit to be applied in accordance with Paragraph 2.</w:t>
      </w:r>
    </w:p>
    <w:p w14:paraId="50748632" w14:textId="77777777" w:rsidR="007E0595" w:rsidRDefault="00FA7C31">
      <w:pPr>
        <w:numPr>
          <w:ilvl w:val="0"/>
          <w:numId w:val="4"/>
        </w:numPr>
        <w:pBdr>
          <w:top w:val="nil"/>
          <w:left w:val="nil"/>
          <w:bottom w:val="nil"/>
          <w:right w:val="nil"/>
          <w:between w:val="nil"/>
        </w:pBdr>
        <w:spacing w:after="240"/>
        <w:jc w:val="both"/>
      </w:pPr>
      <w:r>
        <w:rPr>
          <w:rFonts w:ascii="Arial" w:eastAsia="Arial" w:hAnsi="Arial" w:cs="Arial"/>
          <w:b/>
          <w:bCs/>
          <w:color w:val="000000"/>
          <w:sz w:val="24"/>
          <w:szCs w:val="24"/>
        </w:rPr>
        <w:t>Persistent KPI Failure</w:t>
      </w:r>
    </w:p>
    <w:p w14:paraId="214CFAD7"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A Persistent KPI Failure shall arise when one or both of the following takes place:</w:t>
      </w:r>
    </w:p>
    <w:p w14:paraId="213FD94F" w14:textId="77777777" w:rsidR="007E0595" w:rsidRDefault="00FA7C31">
      <w:pPr>
        <w:numPr>
          <w:ilvl w:val="2"/>
          <w:numId w:val="4"/>
        </w:numPr>
        <w:pBdr>
          <w:top w:val="nil"/>
          <w:left w:val="nil"/>
          <w:bottom w:val="nil"/>
          <w:right w:val="nil"/>
          <w:between w:val="nil"/>
        </w:pBdr>
        <w:tabs>
          <w:tab w:val="left" w:pos="144"/>
        </w:tabs>
        <w:spacing w:after="120"/>
        <w:jc w:val="both"/>
      </w:pPr>
      <w:bookmarkStart w:id="15" w:name="_heading=h.3znysh7" w:colFirst="0" w:colLast="0"/>
      <w:bookmarkEnd w:id="15"/>
      <w:r>
        <w:rPr>
          <w:rFonts w:ascii="Arial" w:eastAsia="Arial" w:hAnsi="Arial" w:cs="Arial"/>
          <w:color w:val="000000"/>
          <w:sz w:val="24"/>
          <w:szCs w:val="24"/>
        </w:rPr>
        <w:t>a KPI Failure in respect of any one or more of the KPIs occurs in five (5) consecutive Service Periods;</w:t>
      </w:r>
    </w:p>
    <w:p w14:paraId="29805EF4" w14:textId="77777777" w:rsidR="007E0595" w:rsidRDefault="00FA7C31">
      <w:pPr>
        <w:numPr>
          <w:ilvl w:val="2"/>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a KPI Failure in respect of any one or more of the KPIs occurs in any seven (7) Service Periods in the immediately preceding twelve (12) Service Periods.</w:t>
      </w:r>
    </w:p>
    <w:p w14:paraId="3CC77368" w14:textId="77777777" w:rsidR="007E0595" w:rsidRDefault="00FA7C31">
      <w:pPr>
        <w:numPr>
          <w:ilvl w:val="1"/>
          <w:numId w:val="4"/>
        </w:numPr>
        <w:pBdr>
          <w:top w:val="nil"/>
          <w:left w:val="nil"/>
          <w:bottom w:val="nil"/>
          <w:right w:val="nil"/>
          <w:between w:val="nil"/>
        </w:pBdr>
        <w:tabs>
          <w:tab w:val="left" w:pos="144"/>
        </w:tabs>
        <w:spacing w:after="120"/>
        <w:jc w:val="both"/>
      </w:pPr>
      <w:r>
        <w:rPr>
          <w:rFonts w:ascii="Arial" w:eastAsia="Arial" w:hAnsi="Arial" w:cs="Arial"/>
          <w:color w:val="000000"/>
          <w:sz w:val="24"/>
          <w:szCs w:val="24"/>
        </w:rPr>
        <w:t>A Persistent KPI Failure shall constitute a Material Default of this Contract by the Supplier.</w:t>
      </w:r>
    </w:p>
    <w:p w14:paraId="4AA34289" w14:textId="77777777" w:rsidR="007E0595" w:rsidRDefault="00FA7C31">
      <w:pPr>
        <w:rPr>
          <w:rFonts w:ascii="Arial" w:eastAsia="Arial" w:hAnsi="Arial" w:cs="Arial"/>
          <w:color w:val="000000"/>
          <w:sz w:val="24"/>
          <w:szCs w:val="24"/>
        </w:rPr>
      </w:pPr>
      <w:r>
        <w:br w:type="page"/>
      </w:r>
    </w:p>
    <w:p w14:paraId="743C4EDE" w14:textId="77777777" w:rsidR="007E0595" w:rsidRDefault="00FA7C31">
      <w:pPr>
        <w:pBdr>
          <w:top w:val="nil"/>
          <w:left w:val="nil"/>
          <w:bottom w:val="nil"/>
          <w:right w:val="nil"/>
          <w:between w:val="nil"/>
        </w:pBdr>
        <w:spacing w:before="120" w:after="120"/>
        <w:jc w:val="center"/>
        <w:rPr>
          <w:rFonts w:ascii="Arial" w:eastAsia="Arial" w:hAnsi="Arial" w:cs="Arial"/>
          <w:b/>
          <w:bCs/>
          <w:color w:val="000000"/>
          <w:sz w:val="36"/>
          <w:szCs w:val="36"/>
        </w:rPr>
      </w:pPr>
      <w:bookmarkStart w:id="16" w:name="_heading=h.tyjcwt" w:colFirst="0" w:colLast="0"/>
      <w:bookmarkEnd w:id="16"/>
      <w:r>
        <w:rPr>
          <w:rFonts w:ascii="Arial" w:eastAsia="Arial" w:hAnsi="Arial" w:cs="Arial"/>
          <w:b/>
          <w:bCs/>
          <w:color w:val="000000"/>
          <w:sz w:val="36"/>
          <w:szCs w:val="36"/>
        </w:rPr>
        <w:lastRenderedPageBreak/>
        <w:t>Annex A to Part A – KPI Model</w:t>
      </w:r>
    </w:p>
    <w:p w14:paraId="48AA9754" w14:textId="77777777" w:rsidR="00E33F0E" w:rsidRDefault="00E33F0E">
      <w:pPr>
        <w:pBdr>
          <w:top w:val="nil"/>
          <w:left w:val="nil"/>
          <w:bottom w:val="nil"/>
          <w:right w:val="nil"/>
          <w:between w:val="nil"/>
        </w:pBdr>
        <w:spacing w:before="120" w:after="120"/>
        <w:jc w:val="center"/>
        <w:rPr>
          <w:rFonts w:ascii="Arial" w:eastAsia="Arial" w:hAnsi="Arial" w:cs="Arial"/>
        </w:rPr>
      </w:pPr>
      <w:r>
        <w:rPr>
          <w:rFonts w:ascii="Arial" w:eastAsia="Arial" w:hAnsi="Arial" w:cs="Arial"/>
        </w:rPr>
        <w:object w:dxaOrig="1504" w:dyaOrig="982" w14:anchorId="64F344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pt" o:ole="">
            <v:imagedata r:id="rId9" o:title=""/>
          </v:shape>
          <o:OLEObject Type="Embed" ProgID="Excel.Sheet.12" ShapeID="_x0000_i1025" DrawAspect="Icon" ObjectID="_1853483382" r:id="rId10"/>
        </w:object>
      </w:r>
    </w:p>
    <w:p w14:paraId="537C54F2" w14:textId="77777777" w:rsidR="007E0595" w:rsidRDefault="007E0595">
      <w:pPr>
        <w:pBdr>
          <w:top w:val="nil"/>
          <w:left w:val="nil"/>
          <w:bottom w:val="nil"/>
          <w:right w:val="nil"/>
          <w:between w:val="nil"/>
        </w:pBdr>
        <w:spacing w:before="120" w:after="120"/>
        <w:jc w:val="center"/>
        <w:rPr>
          <w:rFonts w:ascii="Arial" w:eastAsia="Arial" w:hAnsi="Arial" w:cs="Arial"/>
        </w:rPr>
      </w:pPr>
      <w:bookmarkStart w:id="17" w:name="_heading=h.4d34og8" w:colFirst="0" w:colLast="0"/>
      <w:bookmarkEnd w:id="17"/>
    </w:p>
    <w:p w14:paraId="63D3A32D"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bookmarkStart w:id="18" w:name="_heading=h.2jxsxqh" w:colFirst="0" w:colLast="0"/>
      <w:bookmarkEnd w:id="18"/>
      <w:r>
        <w:rPr>
          <w:rFonts w:ascii="Arial" w:eastAsia="Arial" w:hAnsi="Arial" w:cs="Arial"/>
          <w:b/>
          <w:bCs/>
          <w:i/>
          <w:iCs/>
          <w:sz w:val="24"/>
          <w:szCs w:val="24"/>
          <w:highlight w:val="yellow"/>
        </w:rPr>
        <w:t xml:space="preserve">[Buyer guidance: </w:t>
      </w:r>
      <w:r>
        <w:rPr>
          <w:rFonts w:ascii="Arial" w:eastAsia="Arial" w:hAnsi="Arial" w:cs="Arial"/>
          <w:i/>
          <w:iCs/>
          <w:sz w:val="24"/>
          <w:szCs w:val="24"/>
          <w:highlight w:val="yellow"/>
        </w:rPr>
        <w:t xml:space="preserve">Procurement specific Key Performance Indicators (or KPIs) and formulae, including Key Performance Indicators relating to Social Value, should be incorporated into the KPI Model. In line with the </w:t>
      </w:r>
      <w:hyperlink r:id="rId11">
        <w:r>
          <w:rPr>
            <w:rFonts w:ascii="Arial" w:eastAsia="Arial" w:hAnsi="Arial" w:cs="Arial"/>
            <w:i/>
            <w:iCs/>
            <w:sz w:val="24"/>
            <w:szCs w:val="24"/>
            <w:highlight w:val="yellow"/>
          </w:rPr>
          <w:t>Sourcing Playbook</w:t>
        </w:r>
      </w:hyperlink>
      <w:r>
        <w:rPr>
          <w:rFonts w:ascii="Arial" w:eastAsia="Arial" w:hAnsi="Arial" w:cs="Arial"/>
          <w:i/>
          <w:iCs/>
          <w:sz w:val="24"/>
          <w:szCs w:val="24"/>
          <w:highlight w:val="yellow"/>
        </w:rPr>
        <w:t>, it is HMG’s intention to publish the top Key Performance Indicators for the Government’s most important contracts. Where this publication requirement applies to this Contract, the Buyer must select at least three Key Performance Indicators which shall be publishable and must also select the single most important Social Value KPI, which shall also be publishable (four Key Performance Indicators in total). Buyers can indicate which are publishable in the KPI Model.</w:t>
      </w:r>
    </w:p>
    <w:p w14:paraId="4927D854"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u w:val="single"/>
        </w:rPr>
      </w:pPr>
      <w:r>
        <w:rPr>
          <w:rFonts w:ascii="Arial" w:eastAsia="Arial" w:hAnsi="Arial" w:cs="Arial"/>
          <w:i/>
          <w:iCs/>
          <w:sz w:val="24"/>
          <w:szCs w:val="24"/>
          <w:highlight w:val="yellow"/>
          <w:u w:val="single"/>
        </w:rPr>
        <w:t>Key Performance Indicators (“KPIs”) and the Procurement Act 2023</w:t>
      </w:r>
    </w:p>
    <w:p w14:paraId="18A2E656"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 xml:space="preserve">The Procurement Act 2023 and the Procurement Regulations 2024 set out important provisions for contracts with an estimated value of more than £5 million as follows: </w:t>
      </w:r>
    </w:p>
    <w:p w14:paraId="3C6B2039" w14:textId="77777777" w:rsidR="007E0595" w:rsidRDefault="00FA7C31">
      <w:pPr>
        <w:numPr>
          <w:ilvl w:val="0"/>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 xml:space="preserve">Section 52(1) of the Procurement Act 2023 requires a Buyer to set </w:t>
      </w:r>
      <w:r>
        <w:rPr>
          <w:rFonts w:ascii="Arial" w:eastAsia="Arial" w:hAnsi="Arial" w:cs="Arial"/>
          <w:i/>
          <w:iCs/>
          <w:color w:val="000000"/>
          <w:sz w:val="24"/>
          <w:szCs w:val="24"/>
          <w:highlight w:val="yellow"/>
          <w:u w:val="single"/>
        </w:rPr>
        <w:t>at least 3 KPIs</w:t>
      </w:r>
      <w:r>
        <w:rPr>
          <w:rFonts w:ascii="Arial" w:eastAsia="Arial" w:hAnsi="Arial" w:cs="Arial"/>
          <w:i/>
          <w:iCs/>
          <w:color w:val="000000"/>
          <w:sz w:val="24"/>
          <w:szCs w:val="24"/>
          <w:highlight w:val="yellow"/>
        </w:rPr>
        <w:t xml:space="preserve"> unless it considers that KPIs will not appropriately assess a supplier’s performance. </w:t>
      </w:r>
    </w:p>
    <w:p w14:paraId="74C00046" w14:textId="77777777" w:rsidR="007E0595" w:rsidRDefault="00FA7C31">
      <w:pPr>
        <w:numPr>
          <w:ilvl w:val="0"/>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 xml:space="preserve">Section 52(3) of the Procurement Act 2023 requires Buyers to publish all of the KPIs set under section 52(1). In most cases, Buyers will satisfy this by complying with the obligation in section 53(3) of the of the Procurement Act 2023 which says they must publish a copy of any contract with an estimated value of more than £5 million. </w:t>
      </w:r>
    </w:p>
    <w:p w14:paraId="04D767E8" w14:textId="77777777" w:rsidR="007E0595" w:rsidRDefault="00FA7C31">
      <w:pPr>
        <w:numPr>
          <w:ilvl w:val="0"/>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In respect of contract details notices under the Procurement Regulations 2024:</w:t>
      </w:r>
    </w:p>
    <w:p w14:paraId="56B9E71A" w14:textId="77777777" w:rsidR="007E0595" w:rsidRDefault="00FA7C31">
      <w:pPr>
        <w:numPr>
          <w:ilvl w:val="1"/>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 xml:space="preserve">Regulation 32(2)(r) and regulation 35(2)(a) provides that a Buyer must include a description of the 3 KPIs the Buyer regards, at the time the contract details notice is published, as most material to performance of the contract obligations. </w:t>
      </w:r>
    </w:p>
    <w:p w14:paraId="34E3B6A6" w14:textId="77777777" w:rsidR="007E0595" w:rsidRDefault="00FA7C31">
      <w:pPr>
        <w:numPr>
          <w:ilvl w:val="1"/>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 xml:space="preserve">Regulation 32(2)(s) and regulation 35(2)(a) instructs Buyers who have deemed KPIs not appropriate for assessing the performance of their contract, to explain why. Section 71(2) of the Procurement Act 2023 requires a Buyer to assess and publish performance against the KPIs at least once in every period of twelve months throughout the life of the contract, and on termination of the contract. </w:t>
      </w:r>
    </w:p>
    <w:p w14:paraId="1EE2CEDB" w14:textId="77777777" w:rsidR="007E0595" w:rsidRDefault="00FA7C31">
      <w:pPr>
        <w:numPr>
          <w:ilvl w:val="0"/>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lastRenderedPageBreak/>
        <w:t>In respect of contract performance notices under the Procurement Regulations 2024:</w:t>
      </w:r>
    </w:p>
    <w:p w14:paraId="7E266525" w14:textId="77777777" w:rsidR="007E0595" w:rsidRDefault="00FA7C31">
      <w:pPr>
        <w:numPr>
          <w:ilvl w:val="1"/>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Regulation 39(4)(d) and (e) provide that a Buyer must include a description of the 3 KPIs that it regards as most material to performance of the contract obligations at the time the contract performance notice is published and a statement that the notice is being used to set out the Buyer’s assessment of performance against those 3 KPIs.</w:t>
      </w:r>
    </w:p>
    <w:p w14:paraId="2203487C" w14:textId="77777777" w:rsidR="007E0595" w:rsidRDefault="00FA7C31">
      <w:pPr>
        <w:numPr>
          <w:ilvl w:val="0"/>
          <w:numId w:val="6"/>
        </w:numPr>
        <w:pBdr>
          <w:top w:val="nil"/>
          <w:left w:val="nil"/>
          <w:bottom w:val="nil"/>
          <w:right w:val="nil"/>
          <w:between w:val="nil"/>
        </w:pBdr>
        <w:spacing w:before="120" w:after="120"/>
        <w:rPr>
          <w:i/>
          <w:iCs/>
          <w:color w:val="000000"/>
          <w:sz w:val="24"/>
          <w:szCs w:val="24"/>
          <w:highlight w:val="yellow"/>
        </w:rPr>
      </w:pPr>
      <w:r>
        <w:rPr>
          <w:rFonts w:ascii="Arial" w:eastAsia="Arial" w:hAnsi="Arial" w:cs="Arial"/>
          <w:i/>
          <w:iCs/>
          <w:color w:val="000000"/>
          <w:sz w:val="24"/>
          <w:szCs w:val="24"/>
          <w:highlight w:val="yellow"/>
        </w:rPr>
        <w:t xml:space="preserve"> It is worth noting that a Social Value KPI may be one included as one of these 3 KPIs reported in the contract detail notice, and contract performance notices, should a Buyer regard it as most material to performance of the contract at the time.</w:t>
      </w:r>
    </w:p>
    <w:p w14:paraId="73008340"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 xml:space="preserve">It is possible that the KPIs selected as the top 3 may change throughout the life of the contract, meaning that those appearing in future contract performance notices may be different to those published at the time of contract award and within the contract details notice. </w:t>
      </w:r>
    </w:p>
    <w:p w14:paraId="75B83604"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 xml:space="preserve">Buyers should note the exemptions in sections 94 and 99 of the Procurement Act 2023. If a Buyer withholds information under section 94 of the Procurement Act 2023, it must publish the fact that the information is being withheld and which sub-section of section 94 it is being withheld under. </w:t>
      </w:r>
    </w:p>
    <w:p w14:paraId="36FD3CC0"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These obligations (and applicable exemptions) on publishing KPIs have been incorporated into the defined term of “Transparency Information” within this contract, and it is expected that performance against any KPIs set under the contract can be published. Buyers should refer to the KPI guidance published on Gov.uk (</w:t>
      </w:r>
      <w:hyperlink r:id="rId12">
        <w:r>
          <w:rPr>
            <w:rFonts w:ascii="Arial" w:eastAsia="Arial" w:hAnsi="Arial" w:cs="Arial"/>
            <w:i/>
            <w:iCs/>
            <w:color w:val="0000FF"/>
            <w:sz w:val="24"/>
            <w:szCs w:val="24"/>
            <w:highlight w:val="yellow"/>
            <w:u w:val="single"/>
          </w:rPr>
          <w:t>https://www.gov.uk/government/publications/procurement-act-2023-guidance-documents-manage-phase/guidance-key-performance-indicators-html</w:t>
        </w:r>
      </w:hyperlink>
      <w:r>
        <w:rPr>
          <w:rFonts w:ascii="Arial" w:eastAsia="Arial" w:hAnsi="Arial" w:cs="Arial"/>
          <w:i/>
          <w:iCs/>
          <w:sz w:val="24"/>
          <w:szCs w:val="24"/>
          <w:highlight w:val="yellow"/>
        </w:rPr>
        <w:t>) for further information.</w:t>
      </w:r>
    </w:p>
    <w:p w14:paraId="2C1070FC"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u w:val="single"/>
        </w:rPr>
      </w:pPr>
      <w:r>
        <w:rPr>
          <w:rFonts w:ascii="Arial" w:eastAsia="Arial" w:hAnsi="Arial" w:cs="Arial"/>
          <w:i/>
          <w:iCs/>
          <w:sz w:val="24"/>
          <w:szCs w:val="24"/>
          <w:highlight w:val="yellow"/>
          <w:u w:val="single"/>
        </w:rPr>
        <w:t>Commercial Playbooks and KPIs</w:t>
      </w:r>
    </w:p>
    <w:p w14:paraId="0DCB4838"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 xml:space="preserve">The Procurement Act 2023 expands the current KPI reporting requirement policy for Central Government Buyers and associated Arm's Length Bodies ("ALBs"). The requirements in the Procurement Act are in addition to (and so do not replace) those set out in the Commercial Playbooks. Please refer to the guidance in the KPI model. </w:t>
      </w:r>
    </w:p>
    <w:p w14:paraId="4A9E498F"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 xml:space="preserve">For example, where a Buyer is a Central Government Department or ALB, they must in line with the </w:t>
      </w:r>
      <w:hyperlink r:id="rId13">
        <w:r>
          <w:rPr>
            <w:rFonts w:ascii="Arial" w:eastAsia="Arial" w:hAnsi="Arial" w:cs="Arial"/>
            <w:i/>
            <w:iCs/>
            <w:sz w:val="24"/>
            <w:szCs w:val="24"/>
            <w:highlight w:val="yellow"/>
          </w:rPr>
          <w:t>Sourcing Playbook</w:t>
        </w:r>
      </w:hyperlink>
      <w:r>
        <w:rPr>
          <w:rFonts w:ascii="Arial" w:eastAsia="Arial" w:hAnsi="Arial" w:cs="Arial"/>
          <w:i/>
          <w:iCs/>
          <w:sz w:val="24"/>
          <w:szCs w:val="24"/>
          <w:highlight w:val="yellow"/>
        </w:rPr>
        <w:t>, publish the top 3 operational KPIs for the Government’s most important contracts on a quarterly basis; and</w:t>
      </w:r>
    </w:p>
    <w:p w14:paraId="3578DC26" w14:textId="77777777" w:rsidR="007E0595" w:rsidRDefault="00FA7C31">
      <w:pPr>
        <w:pBdr>
          <w:top w:val="nil"/>
          <w:left w:val="nil"/>
          <w:bottom w:val="nil"/>
          <w:right w:val="nil"/>
          <w:between w:val="nil"/>
        </w:pBdr>
        <w:spacing w:before="120" w:after="120"/>
        <w:rPr>
          <w:rFonts w:ascii="Arial" w:eastAsia="Arial" w:hAnsi="Arial" w:cs="Arial"/>
          <w:i/>
          <w:iCs/>
          <w:sz w:val="24"/>
          <w:szCs w:val="24"/>
          <w:highlight w:val="yellow"/>
        </w:rPr>
      </w:pPr>
      <w:r>
        <w:rPr>
          <w:rFonts w:ascii="Arial" w:eastAsia="Arial" w:hAnsi="Arial" w:cs="Arial"/>
          <w:i/>
          <w:iCs/>
          <w:sz w:val="24"/>
          <w:szCs w:val="24"/>
          <w:highlight w:val="yellow"/>
        </w:rPr>
        <w:t xml:space="preserve">where the Digital, Data and Technology Playbook (DDAT) </w:t>
      </w:r>
      <w:hyperlink r:id="rId14">
        <w:r>
          <w:rPr>
            <w:rFonts w:ascii="Arial" w:eastAsia="Arial" w:hAnsi="Arial" w:cs="Arial"/>
            <w:i/>
            <w:iCs/>
            <w:color w:val="0000FF"/>
            <w:sz w:val="24"/>
            <w:szCs w:val="24"/>
            <w:highlight w:val="yellow"/>
            <w:u w:val="single"/>
          </w:rPr>
          <w:t>(https://www.gov.uk/government/publications/the-digital-data-and-technology-</w:t>
        </w:r>
        <w:r>
          <w:rPr>
            <w:rFonts w:ascii="Arial" w:eastAsia="Arial" w:hAnsi="Arial" w:cs="Arial"/>
            <w:i/>
            <w:iCs/>
            <w:color w:val="0000FF"/>
            <w:sz w:val="24"/>
            <w:szCs w:val="24"/>
            <w:highlight w:val="yellow"/>
            <w:u w:val="single"/>
          </w:rPr>
          <w:lastRenderedPageBreak/>
          <w:t>playbook</w:t>
        </w:r>
      </w:hyperlink>
      <w:r>
        <w:rPr>
          <w:rFonts w:ascii="Arial" w:eastAsia="Arial" w:hAnsi="Arial" w:cs="Arial"/>
          <w:i/>
          <w:iCs/>
          <w:sz w:val="24"/>
          <w:szCs w:val="24"/>
          <w:highlight w:val="yellow"/>
        </w:rPr>
        <w:t>) applies to the Contract, comply with the DDAT policy requirements to publish 4 mandatory DDAT KPIs on a regular basis.</w:t>
      </w:r>
    </w:p>
    <w:p w14:paraId="78A2788A" w14:textId="77777777" w:rsidR="007E0595" w:rsidRDefault="00FA7C31">
      <w:pPr>
        <w:rPr>
          <w:rFonts w:ascii="Arial" w:eastAsia="Arial" w:hAnsi="Arial" w:cs="Arial"/>
          <w:b/>
          <w:bCs/>
          <w:i/>
          <w:iCs/>
          <w:highlight w:val="yellow"/>
        </w:rPr>
      </w:pPr>
      <w:r>
        <w:br w:type="page"/>
      </w:r>
    </w:p>
    <w:p w14:paraId="0BF74511" w14:textId="77777777" w:rsidR="007E0595" w:rsidRDefault="00FA7C31">
      <w:pPr>
        <w:pBdr>
          <w:top w:val="nil"/>
          <w:left w:val="nil"/>
          <w:bottom w:val="nil"/>
          <w:right w:val="nil"/>
          <w:between w:val="nil"/>
        </w:pBdr>
        <w:spacing w:before="120" w:after="120"/>
        <w:rPr>
          <w:rFonts w:ascii="Arial" w:eastAsia="Arial" w:hAnsi="Arial" w:cs="Arial"/>
        </w:rPr>
      </w:pPr>
      <w:r>
        <w:rPr>
          <w:rFonts w:ascii="Arial" w:eastAsia="Arial" w:hAnsi="Arial" w:cs="Arial"/>
          <w:b/>
          <w:bCs/>
          <w:color w:val="000000"/>
          <w:sz w:val="36"/>
          <w:szCs w:val="36"/>
        </w:rPr>
        <w:lastRenderedPageBreak/>
        <w:t xml:space="preserve">Part B: Performance Monitoring </w:t>
      </w:r>
    </w:p>
    <w:p w14:paraId="28214544" w14:textId="77777777" w:rsidR="007E0595" w:rsidRDefault="00FA7C31">
      <w:pPr>
        <w:numPr>
          <w:ilvl w:val="0"/>
          <w:numId w:val="3"/>
        </w:numPr>
        <w:pBdr>
          <w:top w:val="nil"/>
          <w:left w:val="nil"/>
          <w:bottom w:val="nil"/>
          <w:right w:val="nil"/>
          <w:between w:val="nil"/>
        </w:pBdr>
        <w:tabs>
          <w:tab w:val="left" w:pos="142"/>
        </w:tabs>
        <w:spacing w:before="240" w:after="120"/>
      </w:pPr>
      <w:r>
        <w:rPr>
          <w:rFonts w:ascii="Arial" w:eastAsia="Arial" w:hAnsi="Arial" w:cs="Arial"/>
          <w:b/>
          <w:bCs/>
          <w:color w:val="000000"/>
          <w:sz w:val="24"/>
          <w:szCs w:val="24"/>
        </w:rPr>
        <w:t>Performance Monitoring and Performance Review</w:t>
      </w:r>
    </w:p>
    <w:p w14:paraId="1F6AFC00" w14:textId="77777777" w:rsidR="007E0595" w:rsidRDefault="00FA7C31">
      <w:pPr>
        <w:numPr>
          <w:ilvl w:val="1"/>
          <w:numId w:val="3"/>
        </w:numPr>
        <w:pBdr>
          <w:top w:val="nil"/>
          <w:left w:val="nil"/>
          <w:bottom w:val="nil"/>
          <w:right w:val="nil"/>
          <w:between w:val="nil"/>
        </w:pBdr>
        <w:spacing w:before="120" w:after="120"/>
      </w:pPr>
      <w:bookmarkStart w:id="19" w:name="_heading=h.4i7ojhp" w:colFirst="0" w:colLast="0"/>
      <w:bookmarkEnd w:id="19"/>
      <w:r>
        <w:rPr>
          <w:rFonts w:ascii="Arial" w:eastAsia="Arial" w:hAnsi="Arial" w:cs="Arial"/>
          <w:color w:val="000000"/>
          <w:sz w:val="24"/>
          <w:szCs w:val="24"/>
        </w:rPr>
        <w:t>Within twenty (20) Working Days of the Start Date the Supplier shall provide the Buyer with details of how the process in respect of the monitoring and reporting of KPIs will operate between the Parties and the Parties will endeavour to agree such process as soon as reasonably possible.</w:t>
      </w:r>
    </w:p>
    <w:p w14:paraId="66524B9D" w14:textId="77777777" w:rsidR="007E0595" w:rsidRDefault="00FA7C31">
      <w:pPr>
        <w:keepNext/>
        <w:numPr>
          <w:ilvl w:val="1"/>
          <w:numId w:val="3"/>
        </w:numPr>
        <w:pBdr>
          <w:top w:val="nil"/>
          <w:left w:val="nil"/>
          <w:bottom w:val="nil"/>
          <w:right w:val="nil"/>
          <w:between w:val="nil"/>
        </w:pBdr>
        <w:spacing w:before="120" w:after="120"/>
      </w:pPr>
      <w:r>
        <w:rPr>
          <w:rFonts w:ascii="Arial" w:eastAsia="Arial" w:hAnsi="Arial" w:cs="Arial"/>
          <w:color w:val="000000"/>
          <w:sz w:val="24"/>
          <w:szCs w:val="24"/>
        </w:rPr>
        <w:t>The Supplier shall provide the Buyer with performance monitoring reports in the same format as that in the KPI Model ("</w:t>
      </w:r>
      <w:r>
        <w:rPr>
          <w:rFonts w:ascii="Arial" w:eastAsia="Arial" w:hAnsi="Arial" w:cs="Arial"/>
          <w:b/>
          <w:bCs/>
          <w:color w:val="000000"/>
          <w:sz w:val="24"/>
          <w:szCs w:val="24"/>
        </w:rPr>
        <w:t>Performance Monitoring Reports</w:t>
      </w:r>
      <w:r>
        <w:rPr>
          <w:rFonts w:ascii="Arial" w:eastAsia="Arial" w:hAnsi="Arial" w:cs="Arial"/>
          <w:color w:val="000000"/>
          <w:sz w:val="24"/>
          <w:szCs w:val="24"/>
        </w:rPr>
        <w:t xml:space="preserve">") in accordance with the process and timescales agreed pursuant to paragraph </w:t>
      </w:r>
      <w:r>
        <w:rPr>
          <w:rFonts w:ascii="Arial" w:eastAsia="Arial" w:hAnsi="Arial" w:cs="Arial"/>
          <w:sz w:val="24"/>
          <w:szCs w:val="24"/>
        </w:rPr>
        <w:t>1</w:t>
      </w:r>
      <w:r>
        <w:rPr>
          <w:rFonts w:ascii="Arial" w:eastAsia="Arial" w:hAnsi="Arial" w:cs="Arial"/>
          <w:color w:val="000000"/>
          <w:sz w:val="24"/>
          <w:szCs w:val="24"/>
        </w:rPr>
        <w:t>.1 of Part B of this Schedule which shall contain, as a minimum, the following information in respect of the relevant Service Period just ended:</w:t>
      </w:r>
    </w:p>
    <w:p w14:paraId="7E2BA80A"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for each KPI, the actual performance achieved over the KPI for the relevant Service Period;</w:t>
      </w:r>
    </w:p>
    <w:p w14:paraId="6BDA77F3"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a summary of all failures to achieve KPIs that occurred during that Service Period;</w:t>
      </w:r>
    </w:p>
    <w:p w14:paraId="373889E8"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details of any Persistent KPI Failures;</w:t>
      </w:r>
    </w:p>
    <w:p w14:paraId="0F0F6107"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for any Persistent failures, actions taken to resolve the underlying cause and prevent recurrence;</w:t>
      </w:r>
    </w:p>
    <w:p w14:paraId="5C09F18E"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the KPI Credits to be applied in respect of the relevant Service Period indicating the KPI Failures and KPIs to which the KPI Credits relate; and</w:t>
      </w:r>
    </w:p>
    <w:p w14:paraId="0484AE47"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such other details as the Buyer may reasonably require from time to time.</w:t>
      </w:r>
    </w:p>
    <w:p w14:paraId="711E9D87" w14:textId="77777777" w:rsidR="007E0595" w:rsidRDefault="00FA7C31">
      <w:pPr>
        <w:keepNext/>
        <w:numPr>
          <w:ilvl w:val="1"/>
          <w:numId w:val="3"/>
        </w:numPr>
        <w:pBdr>
          <w:top w:val="nil"/>
          <w:left w:val="nil"/>
          <w:bottom w:val="nil"/>
          <w:right w:val="nil"/>
          <w:between w:val="nil"/>
        </w:pBdr>
        <w:spacing w:before="120" w:after="120"/>
      </w:pPr>
      <w:r>
        <w:rPr>
          <w:rFonts w:ascii="Arial" w:eastAsia="Arial" w:hAnsi="Arial" w:cs="Arial"/>
          <w:color w:val="000000"/>
          <w:sz w:val="24"/>
          <w:szCs w:val="24"/>
        </w:rPr>
        <w:t>The Parties shall attend meetings to discuss Performance Monitoring Reports ("</w:t>
      </w:r>
      <w:r>
        <w:rPr>
          <w:rFonts w:ascii="Arial" w:eastAsia="Arial" w:hAnsi="Arial" w:cs="Arial"/>
          <w:b/>
          <w:bCs/>
          <w:color w:val="000000"/>
          <w:sz w:val="24"/>
          <w:szCs w:val="24"/>
        </w:rPr>
        <w:t>Performance Review Meetings</w:t>
      </w:r>
      <w:r>
        <w:rPr>
          <w:rFonts w:ascii="Arial" w:eastAsia="Arial" w:hAnsi="Arial" w:cs="Arial"/>
          <w:color w:val="000000"/>
          <w:sz w:val="24"/>
          <w:szCs w:val="24"/>
        </w:rPr>
        <w:t>") on a Monthly basis. The Performance Review Meetings will be the forum for the review by the Supplier and the Buyer of the Performance Monitoring Reports. The Performance Review Meetings shall:</w:t>
      </w:r>
    </w:p>
    <w:p w14:paraId="3E8E25AD"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take place within one (1) week of the Performance Monitoring Reports being issued by the Supplier at such location and time (within normal business hours) as the Buyer shall reasonably require;</w:t>
      </w:r>
    </w:p>
    <w:p w14:paraId="6E482B65"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t>be attended by the Supplier's Representative and the Buyer’s Representative; and</w:t>
      </w:r>
    </w:p>
    <w:p w14:paraId="61B5C1D1" w14:textId="77777777" w:rsidR="007E0595" w:rsidRDefault="00FA7C31">
      <w:pPr>
        <w:numPr>
          <w:ilvl w:val="2"/>
          <w:numId w:val="3"/>
        </w:numPr>
        <w:pBdr>
          <w:top w:val="nil"/>
          <w:left w:val="nil"/>
          <w:bottom w:val="nil"/>
          <w:right w:val="nil"/>
          <w:between w:val="nil"/>
        </w:pBdr>
        <w:spacing w:before="120" w:after="120"/>
      </w:pPr>
      <w:r>
        <w:rPr>
          <w:rFonts w:ascii="Arial" w:eastAsia="Arial" w:hAnsi="Arial" w:cs="Arial"/>
          <w:color w:val="000000"/>
          <w:sz w:val="24"/>
          <w:szCs w:val="24"/>
        </w:rPr>
        <w:lastRenderedPageBreak/>
        <w:t xml:space="preserve">be fully </w:t>
      </w:r>
      <w:proofErr w:type="spellStart"/>
      <w:r>
        <w:rPr>
          <w:rFonts w:ascii="Arial" w:eastAsia="Arial" w:hAnsi="Arial" w:cs="Arial"/>
          <w:color w:val="000000"/>
          <w:sz w:val="24"/>
          <w:szCs w:val="24"/>
        </w:rPr>
        <w:t>minuted</w:t>
      </w:r>
      <w:proofErr w:type="spellEnd"/>
      <w:r>
        <w:rPr>
          <w:rFonts w:ascii="Arial" w:eastAsia="Arial" w:hAnsi="Arial" w:cs="Arial"/>
          <w:color w:val="000000"/>
          <w:sz w:val="24"/>
          <w:szCs w:val="24"/>
        </w:rPr>
        <w:t xml:space="preserve"> by the Supplier and the minutes will be circulated by the Supplier to all attendees at the relevant meeting and also to the Buyer’s Representative and any other recipients agreed at the relevant meeting. </w:t>
      </w:r>
    </w:p>
    <w:p w14:paraId="14D96025" w14:textId="77777777" w:rsidR="007E0595" w:rsidRDefault="00FA7C31">
      <w:pPr>
        <w:numPr>
          <w:ilvl w:val="1"/>
          <w:numId w:val="3"/>
        </w:numPr>
        <w:pBdr>
          <w:top w:val="nil"/>
          <w:left w:val="nil"/>
          <w:bottom w:val="nil"/>
          <w:right w:val="nil"/>
          <w:between w:val="nil"/>
        </w:pBdr>
        <w:tabs>
          <w:tab w:val="left" w:pos="144"/>
        </w:tabs>
        <w:spacing w:after="120"/>
        <w:ind w:hanging="545"/>
        <w:jc w:val="both"/>
      </w:pPr>
      <w:r>
        <w:rPr>
          <w:rFonts w:ascii="Arial" w:eastAsia="Arial" w:hAnsi="Arial" w:cs="Arial"/>
          <w:color w:val="000000"/>
          <w:sz w:val="24"/>
          <w:szCs w:val="24"/>
        </w:rPr>
        <w:t>The minutes of the preceding Month's Performance Review Meeting will be agreed and signed by both the Supplier's Representative and the Buyer’s Representative at each meeting.</w:t>
      </w:r>
    </w:p>
    <w:p w14:paraId="724A3086" w14:textId="77777777" w:rsidR="007E0595" w:rsidRDefault="00FA7C31">
      <w:pPr>
        <w:numPr>
          <w:ilvl w:val="1"/>
          <w:numId w:val="3"/>
        </w:numPr>
        <w:pBdr>
          <w:top w:val="nil"/>
          <w:left w:val="nil"/>
          <w:bottom w:val="nil"/>
          <w:right w:val="nil"/>
          <w:between w:val="nil"/>
        </w:pBdr>
        <w:tabs>
          <w:tab w:val="left" w:pos="144"/>
        </w:tabs>
        <w:spacing w:after="120"/>
        <w:ind w:hanging="545"/>
        <w:jc w:val="both"/>
      </w:pPr>
      <w:r>
        <w:rPr>
          <w:rFonts w:ascii="Arial" w:eastAsia="Arial" w:hAnsi="Arial" w:cs="Arial"/>
          <w:color w:val="000000"/>
          <w:sz w:val="24"/>
          <w:szCs w:val="24"/>
        </w:rPr>
        <w:t>The Supplier shall provide to the Buyer such documentation as the Buyer may reasonably require in order to verify the level of the performance by the Supplier and the calculations of the amount of KPI Credits for any specified Service Period.</w:t>
      </w:r>
    </w:p>
    <w:p w14:paraId="233470A7" w14:textId="77777777" w:rsidR="007E0595" w:rsidRDefault="00FA7C31">
      <w:pPr>
        <w:numPr>
          <w:ilvl w:val="1"/>
          <w:numId w:val="3"/>
        </w:numPr>
        <w:pBdr>
          <w:top w:val="nil"/>
          <w:left w:val="nil"/>
          <w:bottom w:val="nil"/>
          <w:right w:val="nil"/>
          <w:between w:val="nil"/>
        </w:pBdr>
        <w:tabs>
          <w:tab w:val="left" w:pos="144"/>
        </w:tabs>
        <w:spacing w:after="120"/>
        <w:ind w:hanging="545"/>
        <w:jc w:val="both"/>
      </w:pPr>
      <w:r>
        <w:rPr>
          <w:rFonts w:ascii="Arial" w:eastAsia="Arial" w:hAnsi="Arial" w:cs="Arial"/>
          <w:color w:val="000000"/>
          <w:sz w:val="24"/>
          <w:szCs w:val="24"/>
        </w:rPr>
        <w:t>Annex A to Part A of this Schedule describes how the levels of performance under the KPI Performance Measures will be mapped to the performance ratings prescribed under Regulation 39(5) of the Procurement Regulations 2024, if applicable. The mapping set out in the KPI Model will be applied by the Buyer when publishing relevant Transparency Information relating to the KPIs and/or the Supplier's performance against the relevant KPIs pursuant to Section 52(3) and/or Section 71(2) of the Procurement Act 2023 and the associated Regulations.</w:t>
      </w:r>
    </w:p>
    <w:p w14:paraId="2DD286C5" w14:textId="77777777" w:rsidR="007E0595" w:rsidRDefault="00FA7C31">
      <w:pPr>
        <w:numPr>
          <w:ilvl w:val="1"/>
          <w:numId w:val="3"/>
        </w:numPr>
        <w:pBdr>
          <w:top w:val="nil"/>
          <w:left w:val="nil"/>
          <w:bottom w:val="nil"/>
          <w:right w:val="nil"/>
          <w:between w:val="nil"/>
        </w:pBdr>
        <w:tabs>
          <w:tab w:val="left" w:pos="144"/>
        </w:tabs>
        <w:spacing w:after="120"/>
        <w:ind w:hanging="545"/>
        <w:jc w:val="both"/>
      </w:pPr>
      <w:r>
        <w:rPr>
          <w:rFonts w:ascii="Arial" w:eastAsia="Arial" w:hAnsi="Arial" w:cs="Arial"/>
          <w:color w:val="000000"/>
          <w:sz w:val="24"/>
          <w:szCs w:val="24"/>
        </w:rPr>
        <w:t>The Supplier acknowledges and agrees that, each time the Buyer conducts an assessment of the Supplier’s performance against a KPI, the Buyer may publish information as required by Law in relation to that assessment.</w:t>
      </w:r>
    </w:p>
    <w:p w14:paraId="0088EDB7" w14:textId="77777777" w:rsidR="007E0595" w:rsidRDefault="00FA7C31">
      <w:pPr>
        <w:numPr>
          <w:ilvl w:val="0"/>
          <w:numId w:val="3"/>
        </w:numPr>
        <w:pBdr>
          <w:top w:val="nil"/>
          <w:left w:val="nil"/>
          <w:bottom w:val="nil"/>
          <w:right w:val="nil"/>
          <w:between w:val="nil"/>
        </w:pBdr>
        <w:tabs>
          <w:tab w:val="left" w:pos="142"/>
        </w:tabs>
        <w:spacing w:after="120"/>
      </w:pPr>
      <w:r>
        <w:rPr>
          <w:rFonts w:ascii="Arial" w:eastAsia="Arial" w:hAnsi="Arial" w:cs="Arial"/>
          <w:b/>
          <w:bCs/>
          <w:color w:val="000000"/>
          <w:sz w:val="24"/>
          <w:szCs w:val="24"/>
        </w:rPr>
        <w:t>Satisfaction Surveys</w:t>
      </w:r>
    </w:p>
    <w:p w14:paraId="20143729" w14:textId="77777777" w:rsidR="007E0595" w:rsidRDefault="00FA7C31">
      <w:pPr>
        <w:numPr>
          <w:ilvl w:val="1"/>
          <w:numId w:val="3"/>
        </w:numPr>
        <w:pBdr>
          <w:top w:val="nil"/>
          <w:left w:val="nil"/>
          <w:bottom w:val="nil"/>
          <w:right w:val="nil"/>
          <w:between w:val="nil"/>
        </w:pBdr>
        <w:spacing w:before="120" w:after="120"/>
      </w:pPr>
      <w:r>
        <w:rPr>
          <w:rFonts w:ascii="Arial" w:eastAsia="Arial" w:hAnsi="Arial" w:cs="Arial"/>
          <w:color w:val="000000"/>
          <w:sz w:val="24"/>
          <w:szCs w:val="24"/>
        </w:rPr>
        <w:t xml:space="preserve">The Buyer may undertake satisfaction surveys in respect of the Supplier's provision of the Deliverables. The Buyer shall be entitled to notify the Supplier of any aspects of their performance of the provision of the Deliverables which the responses to the </w:t>
      </w:r>
      <w:r>
        <w:rPr>
          <w:rFonts w:ascii="Arial" w:eastAsia="Arial" w:hAnsi="Arial" w:cs="Arial"/>
          <w:sz w:val="24"/>
          <w:szCs w:val="24"/>
        </w:rPr>
        <w:t>s</w:t>
      </w:r>
      <w:r>
        <w:rPr>
          <w:rFonts w:ascii="Arial" w:eastAsia="Arial" w:hAnsi="Arial" w:cs="Arial"/>
          <w:color w:val="000000"/>
          <w:sz w:val="24"/>
          <w:szCs w:val="24"/>
        </w:rPr>
        <w:t xml:space="preserve">atisfaction </w:t>
      </w:r>
      <w:r>
        <w:rPr>
          <w:rFonts w:ascii="Arial" w:eastAsia="Arial" w:hAnsi="Arial" w:cs="Arial"/>
          <w:sz w:val="24"/>
          <w:szCs w:val="24"/>
        </w:rPr>
        <w:t>s</w:t>
      </w:r>
      <w:r>
        <w:rPr>
          <w:rFonts w:ascii="Arial" w:eastAsia="Arial" w:hAnsi="Arial" w:cs="Arial"/>
          <w:color w:val="000000"/>
          <w:sz w:val="24"/>
          <w:szCs w:val="24"/>
        </w:rPr>
        <w:t>urveys reasonably suggest are not in accordance with this Contract.</w:t>
      </w:r>
    </w:p>
    <w:p w14:paraId="4294E3C8" w14:textId="77777777" w:rsidR="007E0595" w:rsidRDefault="007E0595">
      <w:pPr>
        <w:pBdr>
          <w:top w:val="nil"/>
          <w:left w:val="nil"/>
          <w:bottom w:val="nil"/>
          <w:right w:val="nil"/>
          <w:between w:val="nil"/>
        </w:pBdr>
        <w:spacing w:before="120" w:after="120"/>
        <w:ind w:left="936" w:hanging="576"/>
        <w:jc w:val="both"/>
        <w:rPr>
          <w:rFonts w:ascii="Arial" w:eastAsia="Arial" w:hAnsi="Arial" w:cs="Arial"/>
          <w:color w:val="000000"/>
          <w:sz w:val="24"/>
          <w:szCs w:val="24"/>
        </w:rPr>
      </w:pPr>
      <w:bookmarkStart w:id="20" w:name="_heading=h.30j0zll" w:colFirst="0" w:colLast="0"/>
      <w:bookmarkEnd w:id="20"/>
    </w:p>
    <w:sectPr w:rsidR="007E059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0DD3E" w14:textId="77777777" w:rsidR="00F73599" w:rsidRDefault="00F73599">
      <w:pPr>
        <w:spacing w:after="0" w:line="240" w:lineRule="auto"/>
      </w:pPr>
      <w:r>
        <w:separator/>
      </w:r>
    </w:p>
  </w:endnote>
  <w:endnote w:type="continuationSeparator" w:id="0">
    <w:p w14:paraId="5C429473" w14:textId="77777777" w:rsidR="00F73599" w:rsidRDefault="00F73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1413F327-76DD-4002-A835-2ABB7AEDD1E2}"/>
    <w:embedBold r:id="rId2" w:fontKey="{9FCABC9C-A9BB-4F69-A56B-698DA6523F24}"/>
    <w:embedItalic r:id="rId3" w:fontKey="{86A7DBC1-C858-4950-AD02-5EA069BE2EAA}"/>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58614D55-7382-4B85-8364-5C796550943B}"/>
    <w:embedBold r:id="rId5" w:fontKey="{3AA3554C-F941-4DF8-A408-4FAE762600BB}"/>
  </w:font>
  <w:font w:name="Georgia">
    <w:panose1 w:val="02040502050405020303"/>
    <w:charset w:val="00"/>
    <w:family w:val="roman"/>
    <w:pitch w:val="variable"/>
    <w:sig w:usb0="00000287" w:usb1="00000000" w:usb2="00000000" w:usb3="00000000" w:csb0="0000009F" w:csb1="00000000"/>
    <w:embedItalic r:id="rId6" w:fontKey="{9F451AA0-7E1E-4561-87BC-58EAC53402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37F51" w14:textId="77777777" w:rsidR="007E0595" w:rsidRDefault="007E0595">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C9837" w14:textId="77777777" w:rsidR="007E0595" w:rsidRDefault="007E0595">
    <w:pPr>
      <w:tabs>
        <w:tab w:val="center" w:pos="4513"/>
        <w:tab w:val="right" w:pos="9026"/>
      </w:tabs>
      <w:spacing w:after="0"/>
      <w:jc w:val="both"/>
    </w:pPr>
  </w:p>
  <w:p w14:paraId="76386373" w14:textId="77777777" w:rsidR="007E0595" w:rsidRDefault="00FA7C31">
    <w:pPr>
      <w:pBdr>
        <w:top w:val="nil"/>
        <w:left w:val="nil"/>
        <w:bottom w:val="nil"/>
        <w:right w:val="nil"/>
        <w:between w:val="nil"/>
      </w:pBdr>
      <w:tabs>
        <w:tab w:val="center" w:pos="4513"/>
        <w:tab w:val="right" w:pos="9026"/>
      </w:tabs>
      <w:spacing w:after="0"/>
      <w:rPr>
        <w:rFonts w:ascii="Arial" w:eastAsia="Arial" w:hAnsi="Arial" w:cs="Arial"/>
        <w:color w:val="000000"/>
        <w:sz w:val="20"/>
        <w:szCs w:val="20"/>
      </w:rPr>
    </w:pPr>
    <w:r>
      <w:rPr>
        <w:rFonts w:ascii="Arial" w:eastAsia="Arial" w:hAnsi="Arial" w:cs="Arial"/>
        <w:color w:val="000000"/>
        <w:sz w:val="20"/>
        <w:szCs w:val="20"/>
      </w:rPr>
      <w:t>Framework Ref: RM6378</w:t>
    </w:r>
    <w:r>
      <w:t xml:space="preserve"> </w:t>
    </w:r>
  </w:p>
  <w:p w14:paraId="6C4C1B13" w14:textId="77777777" w:rsidR="007E0595" w:rsidRDefault="00FA7C31">
    <w:pPr>
      <w:pBdr>
        <w:top w:val="nil"/>
        <w:left w:val="nil"/>
        <w:bottom w:val="nil"/>
        <w:right w:val="nil"/>
        <w:between w:val="nil"/>
      </w:pBdr>
      <w:tabs>
        <w:tab w:val="left" w:pos="3820"/>
        <w:tab w:val="center" w:pos="4513"/>
        <w:tab w:val="right" w:pos="9026"/>
      </w:tabs>
      <w:spacing w:after="0"/>
      <w:rPr>
        <w:rFonts w:ascii="Arial" w:eastAsia="Arial" w:hAnsi="Arial" w:cs="Arial"/>
        <w:color w:val="000000"/>
        <w:sz w:val="20"/>
        <w:szCs w:val="20"/>
      </w:rPr>
    </w:pPr>
    <w:r>
      <w:rPr>
        <w:rFonts w:ascii="Arial" w:eastAsia="Arial" w:hAnsi="Arial" w:cs="Arial"/>
        <w:color w:val="000000"/>
        <w:sz w:val="20"/>
        <w:szCs w:val="20"/>
      </w:rPr>
      <w:t>Project Version: v1.0</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E33F0E">
      <w:rPr>
        <w:rFonts w:ascii="Arial" w:eastAsia="Arial" w:hAnsi="Arial" w:cs="Arial"/>
        <w:noProof/>
        <w:color w:val="000000"/>
        <w:sz w:val="20"/>
        <w:szCs w:val="20"/>
      </w:rPr>
      <w:t>9</w:t>
    </w:r>
    <w:r>
      <w:rPr>
        <w:rFonts w:ascii="Arial" w:eastAsia="Arial" w:hAnsi="Arial" w:cs="Arial"/>
        <w:color w:val="000000"/>
        <w:sz w:val="20"/>
        <w:szCs w:val="20"/>
      </w:rPr>
      <w:fldChar w:fldCharType="end"/>
    </w:r>
  </w:p>
  <w:p w14:paraId="3EB7A21C" w14:textId="77777777" w:rsidR="007E0595" w:rsidRDefault="00FA7C31">
    <w:pPr>
      <w:pBdr>
        <w:top w:val="nil"/>
        <w:left w:val="nil"/>
        <w:bottom w:val="nil"/>
        <w:right w:val="nil"/>
        <w:between w:val="nil"/>
      </w:pBdr>
      <w:tabs>
        <w:tab w:val="center" w:pos="4513"/>
        <w:tab w:val="right" w:pos="9026"/>
      </w:tabs>
      <w:spacing w:after="0"/>
      <w:rPr>
        <w:rFonts w:ascii="Arial" w:eastAsia="Arial" w:hAnsi="Arial" w:cs="Arial"/>
        <w:color w:val="000000"/>
        <w:sz w:val="20"/>
        <w:szCs w:val="20"/>
      </w:rPr>
    </w:pPr>
    <w:r>
      <w:rPr>
        <w:rFonts w:ascii="Arial" w:eastAsia="Arial" w:hAnsi="Arial" w:cs="Arial"/>
        <w:color w:val="000000"/>
        <w:sz w:val="20"/>
        <w:szCs w:val="20"/>
      </w:rPr>
      <w:t>Model Version: v1.0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06C6D" w14:textId="77777777" w:rsidR="007E0595" w:rsidRDefault="007E0595">
    <w:pPr>
      <w:tabs>
        <w:tab w:val="center" w:pos="4513"/>
        <w:tab w:val="right" w:pos="9026"/>
      </w:tabs>
      <w:spacing w:after="0" w:line="240" w:lineRule="auto"/>
      <w:jc w:val="both"/>
    </w:pPr>
  </w:p>
  <w:p w14:paraId="50DC58DB" w14:textId="77777777" w:rsidR="007E0595" w:rsidRDefault="00FA7C31">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20"/>
        <w:szCs w:val="20"/>
      </w:rPr>
    </w:pPr>
    <w:r>
      <w:rPr>
        <w:rFonts w:ascii="Arial" w:eastAsia="Arial" w:hAnsi="Arial" w:cs="Arial"/>
        <w:color w:val="000000"/>
        <w:sz w:val="20"/>
        <w:szCs w:val="20"/>
      </w:rPr>
      <w:t>Framework Ref: RM</w:t>
    </w:r>
    <w:r>
      <w:rPr>
        <w:rFonts w:ascii="Arial" w:eastAsia="Arial" w:hAnsi="Arial" w:cs="Arial"/>
        <w:color w:val="000000"/>
        <w:sz w:val="20"/>
        <w:szCs w:val="20"/>
      </w:rPr>
      <w:tab/>
      <w:t xml:space="preserve">                      </w:t>
    </w:r>
  </w:p>
  <w:p w14:paraId="3049996F" w14:textId="77777777" w:rsidR="007E0595" w:rsidRDefault="00FA7C31">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20"/>
        <w:szCs w:val="20"/>
      </w:rPr>
    </w:pPr>
    <w:r>
      <w:rPr>
        <w:rFonts w:ascii="Arial" w:eastAsia="Arial" w:hAnsi="Arial" w:cs="Arial"/>
        <w:color w:val="000000"/>
        <w:sz w:val="20"/>
        <w:szCs w:val="20"/>
      </w:rPr>
      <w:t>Project Version: v1.0</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end"/>
    </w:r>
  </w:p>
  <w:p w14:paraId="129002EE" w14:textId="77777777" w:rsidR="007E0595" w:rsidRDefault="00FA7C31">
    <w:pPr>
      <w:pBdr>
        <w:top w:val="nil"/>
        <w:left w:val="nil"/>
        <w:bottom w:val="nil"/>
        <w:right w:val="nil"/>
        <w:between w:val="nil"/>
      </w:pBdr>
      <w:tabs>
        <w:tab w:val="center" w:pos="4513"/>
        <w:tab w:val="right" w:pos="9026"/>
      </w:tabs>
      <w:spacing w:after="0" w:line="240" w:lineRule="auto"/>
      <w:rPr>
        <w:color w:val="000000"/>
      </w:rPr>
    </w:pPr>
    <w:r>
      <w:rPr>
        <w:rFonts w:ascii="Arial" w:eastAsia="Arial" w:hAnsi="Arial" w:cs="Arial"/>
        <w:color w:val="000000"/>
        <w:sz w:val="20"/>
        <w:szCs w:val="20"/>
      </w:rPr>
      <w:t>Model Version: v2.9</w:t>
    </w:r>
    <w:r>
      <w:rPr>
        <w:rFonts w:ascii="Arial" w:eastAsia="Arial" w:hAnsi="Arial" w:cs="Arial"/>
        <w:color w:val="000000"/>
        <w:sz w:val="20"/>
        <w:szCs w:val="20"/>
      </w:rPr>
      <w:tab/>
    </w:r>
    <w:r>
      <w:rPr>
        <w:rFonts w:ascii="Arial" w:eastAsia="Arial" w:hAnsi="Arial" w:cs="Arial"/>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03821" w14:textId="77777777" w:rsidR="00F73599" w:rsidRDefault="00F73599">
      <w:pPr>
        <w:spacing w:after="0" w:line="240" w:lineRule="auto"/>
      </w:pPr>
      <w:r>
        <w:separator/>
      </w:r>
    </w:p>
  </w:footnote>
  <w:footnote w:type="continuationSeparator" w:id="0">
    <w:p w14:paraId="37E1392F" w14:textId="77777777" w:rsidR="00F73599" w:rsidRDefault="00F735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ED527" w14:textId="77777777" w:rsidR="007E0595" w:rsidRDefault="007E0595">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228A1" w14:textId="77777777" w:rsidR="007E0595" w:rsidRDefault="00FA7C31">
    <w:pPr>
      <w:pBdr>
        <w:top w:val="nil"/>
        <w:left w:val="nil"/>
        <w:bottom w:val="nil"/>
        <w:right w:val="nil"/>
        <w:between w:val="nil"/>
      </w:pBdr>
      <w:tabs>
        <w:tab w:val="center" w:pos="4513"/>
        <w:tab w:val="right" w:pos="9026"/>
      </w:tabs>
      <w:spacing w:after="0"/>
      <w:rPr>
        <w:rFonts w:ascii="Arial" w:eastAsia="Arial" w:hAnsi="Arial" w:cs="Arial"/>
        <w:color w:val="000000"/>
      </w:rPr>
    </w:pPr>
    <w:r>
      <w:rPr>
        <w:rFonts w:ascii="Arial" w:eastAsia="Arial" w:hAnsi="Arial" w:cs="Arial"/>
        <w:b/>
        <w:bCs/>
        <w:color w:val="000000"/>
      </w:rPr>
      <w:t>Call-Off Schedule 14 (</w:t>
    </w:r>
    <w:r>
      <w:rPr>
        <w:rFonts w:ascii="Arial" w:eastAsia="Arial" w:hAnsi="Arial" w:cs="Arial"/>
        <w:b/>
        <w:bCs/>
      </w:rPr>
      <w:t>Key Performance Indicators</w:t>
    </w:r>
    <w:r>
      <w:rPr>
        <w:rFonts w:ascii="Arial" w:eastAsia="Arial" w:hAnsi="Arial" w:cs="Arial"/>
        <w:b/>
        <w:bCs/>
        <w:color w:val="000000"/>
      </w:rPr>
      <w:t>)</w:t>
    </w:r>
  </w:p>
  <w:p w14:paraId="4E5D9C2D" w14:textId="77777777" w:rsidR="007E0595" w:rsidRDefault="00FA7C31">
    <w:pPr>
      <w:pBdr>
        <w:top w:val="nil"/>
        <w:left w:val="nil"/>
        <w:bottom w:val="nil"/>
        <w:right w:val="nil"/>
        <w:between w:val="nil"/>
      </w:pBdr>
      <w:tabs>
        <w:tab w:val="center" w:pos="4513"/>
        <w:tab w:val="right" w:pos="9026"/>
      </w:tabs>
      <w:spacing w:after="0"/>
      <w:rPr>
        <w:rFonts w:ascii="Arial" w:eastAsia="Arial" w:hAnsi="Arial" w:cs="Arial"/>
        <w:color w:val="000000"/>
      </w:rPr>
    </w:pPr>
    <w:r>
      <w:rPr>
        <w:rFonts w:ascii="Arial" w:eastAsia="Arial" w:hAnsi="Arial" w:cs="Arial"/>
        <w:color w:val="000000"/>
      </w:rPr>
      <w:t>Call-Off Ref:</w:t>
    </w:r>
  </w:p>
  <w:p w14:paraId="783D5591" w14:textId="77777777" w:rsidR="007E0595" w:rsidRDefault="00FA7C31">
    <w:pPr>
      <w:pBdr>
        <w:top w:val="nil"/>
        <w:left w:val="nil"/>
        <w:bottom w:val="nil"/>
        <w:right w:val="nil"/>
        <w:between w:val="nil"/>
      </w:pBdr>
      <w:tabs>
        <w:tab w:val="center" w:pos="4513"/>
        <w:tab w:val="right" w:pos="9026"/>
      </w:tabs>
      <w:spacing w:after="0"/>
      <w:rPr>
        <w:rFonts w:ascii="Arial" w:eastAsia="Arial" w:hAnsi="Arial" w:cs="Arial"/>
        <w:color w:val="000000"/>
      </w:rPr>
    </w:pPr>
    <w:r>
      <w:rPr>
        <w:rFonts w:ascii="Arial" w:eastAsia="Arial" w:hAnsi="Arial" w:cs="Arial"/>
        <w:color w:val="000000"/>
      </w:rPr>
      <w:t>Crown Copyright 20</w:t>
    </w:r>
    <w:r>
      <w:rPr>
        <w:rFonts w:ascii="Arial" w:eastAsia="Arial" w:hAnsi="Arial" w:cs="Arial"/>
      </w:rPr>
      <w:t>21</w:t>
    </w:r>
  </w:p>
  <w:p w14:paraId="6408991B" w14:textId="77777777" w:rsidR="007E0595" w:rsidRDefault="007E0595">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A41B1" w14:textId="77777777" w:rsidR="007E0595" w:rsidRDefault="007E0595">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F3717"/>
    <w:multiLevelType w:val="multilevel"/>
    <w:tmpl w:val="55AABA8C"/>
    <w:lvl w:ilvl="0">
      <w:start w:val="1"/>
      <w:numFmt w:val="decimal"/>
      <w:lvlText w:val="%1."/>
      <w:lvlJc w:val="left"/>
      <w:pPr>
        <w:ind w:left="720" w:hanging="720"/>
      </w:pPr>
      <w:rPr>
        <w:rFonts w:ascii="Calibri" w:eastAsia="Calibri" w:hAnsi="Calibri" w:cs="Calibri"/>
        <w:b/>
        <w:bCs/>
        <w:i w:val="0"/>
        <w:iCs w:val="0"/>
        <w:smallCaps w:val="0"/>
        <w:strike w:val="0"/>
        <w:color w:val="000000"/>
        <w:sz w:val="22"/>
        <w:szCs w:val="22"/>
        <w:u w:val="none"/>
        <w:vertAlign w:val="baseline"/>
      </w:rPr>
    </w:lvl>
    <w:lvl w:ilvl="1">
      <w:start w:val="1"/>
      <w:numFmt w:val="lowerLetter"/>
      <w:lvlText w:val="%2)"/>
      <w:lvlJc w:val="left"/>
      <w:pPr>
        <w:ind w:left="1440" w:hanging="720"/>
      </w:pPr>
      <w:rPr>
        <w:b w:val="0"/>
        <w:bCs w:val="0"/>
        <w:i w:val="0"/>
        <w:iCs w:val="0"/>
        <w:smallCaps w:val="0"/>
        <w:strike w:val="0"/>
        <w:color w:val="000000"/>
        <w:sz w:val="22"/>
        <w:szCs w:val="22"/>
        <w:u w:val="none"/>
        <w:vertAlign w:val="baseline"/>
      </w:rPr>
    </w:lvl>
    <w:lvl w:ilvl="2">
      <w:start w:val="1"/>
      <w:numFmt w:val="decimal"/>
      <w:lvlText w:val="%1.2.%3"/>
      <w:lvlJc w:val="left"/>
      <w:pPr>
        <w:ind w:left="2160"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80" w:hanging="720"/>
      </w:pPr>
      <w:rPr>
        <w:rFonts w:ascii="Calibri" w:eastAsia="Calibri" w:hAnsi="Calibri" w:cs="Calibri"/>
        <w:b w:val="0"/>
        <w:bCs w:val="0"/>
        <w:i w:val="0"/>
        <w:iCs w:val="0"/>
        <w:smallCaps w:val="0"/>
        <w:strike w:val="0"/>
        <w:color w:val="000000"/>
        <w:sz w:val="22"/>
        <w:szCs w:val="22"/>
        <w:u w:val="none"/>
        <w:vertAlign w:val="baseline"/>
      </w:rPr>
    </w:lvl>
    <w:lvl w:ilvl="4">
      <w:start w:val="1"/>
      <w:numFmt w:val="lowerRoman"/>
      <w:lvlText w:val="(%5)"/>
      <w:lvlJc w:val="left"/>
      <w:pPr>
        <w:ind w:left="3600" w:hanging="72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1564466E"/>
    <w:multiLevelType w:val="multilevel"/>
    <w:tmpl w:val="4B88FB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17D13EA"/>
    <w:multiLevelType w:val="multilevel"/>
    <w:tmpl w:val="36D85298"/>
    <w:lvl w:ilvl="0">
      <w:start w:val="1"/>
      <w:numFmt w:val="decimal"/>
      <w:lvlText w:val="%1."/>
      <w:lvlJc w:val="left"/>
      <w:pPr>
        <w:ind w:left="720" w:hanging="720"/>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1440" w:hanging="720"/>
      </w:pPr>
      <w:rPr>
        <w:rFonts w:ascii="Arial" w:eastAsia="Arial" w:hAnsi="Arial" w:cs="Arial"/>
        <w:b w:val="0"/>
        <w:bCs w:val="0"/>
        <w:i w:val="0"/>
        <w:iCs w:val="0"/>
        <w:smallCaps w:val="0"/>
        <w:strike w:val="0"/>
        <w:color w:val="000000"/>
        <w:sz w:val="24"/>
        <w:szCs w:val="24"/>
        <w:u w:val="none"/>
        <w:vertAlign w:val="baseline"/>
      </w:rPr>
    </w:lvl>
    <w:lvl w:ilvl="2">
      <w:start w:val="1"/>
      <w:numFmt w:val="decimal"/>
      <w:lvlText w:val="%1.%2.%3"/>
      <w:lvlJc w:val="left"/>
      <w:pPr>
        <w:ind w:left="2160"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80" w:hanging="720"/>
      </w:pPr>
      <w:rPr>
        <w:rFonts w:ascii="Arial" w:eastAsia="Arial" w:hAnsi="Arial" w:cs="Arial"/>
        <w:b w:val="0"/>
        <w:bCs w:val="0"/>
        <w:i w:val="0"/>
        <w:iCs w:val="0"/>
        <w:smallCaps w:val="0"/>
        <w:strike w:val="0"/>
        <w:color w:val="000000"/>
        <w:sz w:val="22"/>
        <w:szCs w:val="22"/>
        <w:u w:val="none"/>
        <w:vertAlign w:val="baseline"/>
      </w:rPr>
    </w:lvl>
    <w:lvl w:ilvl="4">
      <w:start w:val="1"/>
      <w:numFmt w:val="lowerRoman"/>
      <w:lvlText w:val="(%5)"/>
      <w:lvlJc w:val="left"/>
      <w:pPr>
        <w:ind w:left="3600" w:hanging="72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5C4C166C"/>
    <w:multiLevelType w:val="multilevel"/>
    <w:tmpl w:val="C02CCEA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5FFE628F"/>
    <w:multiLevelType w:val="multilevel"/>
    <w:tmpl w:val="813A2F46"/>
    <w:lvl w:ilvl="0">
      <w:start w:val="1"/>
      <w:numFmt w:val="decimal"/>
      <w:lvlText w:val="%1."/>
      <w:lvlJc w:val="left"/>
      <w:pPr>
        <w:ind w:left="720" w:hanging="720"/>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1440" w:hanging="720"/>
      </w:pPr>
      <w:rPr>
        <w:rFonts w:ascii="Arial" w:eastAsia="Arial" w:hAnsi="Arial" w:cs="Arial"/>
        <w:b w:val="0"/>
        <w:bCs w:val="0"/>
        <w:i w:val="0"/>
        <w:iCs w:val="0"/>
        <w:smallCaps w:val="0"/>
        <w:strike w:val="0"/>
        <w:color w:val="000000"/>
        <w:sz w:val="24"/>
        <w:szCs w:val="24"/>
        <w:u w:val="none"/>
        <w:vertAlign w:val="baseline"/>
      </w:rPr>
    </w:lvl>
    <w:lvl w:ilvl="2">
      <w:start w:val="1"/>
      <w:numFmt w:val="decimal"/>
      <w:lvlText w:val="%1.%2.%3"/>
      <w:lvlJc w:val="left"/>
      <w:pPr>
        <w:ind w:left="2160"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80" w:hanging="720"/>
      </w:pPr>
      <w:rPr>
        <w:rFonts w:ascii="Arial" w:eastAsia="Arial" w:hAnsi="Arial" w:cs="Arial"/>
        <w:b w:val="0"/>
        <w:bCs w:val="0"/>
        <w:i w:val="0"/>
        <w:iCs w:val="0"/>
        <w:smallCaps w:val="0"/>
        <w:strike w:val="0"/>
        <w:color w:val="000000"/>
        <w:sz w:val="22"/>
        <w:szCs w:val="22"/>
        <w:u w:val="none"/>
        <w:vertAlign w:val="baseline"/>
      </w:rPr>
    </w:lvl>
    <w:lvl w:ilvl="4">
      <w:start w:val="1"/>
      <w:numFmt w:val="lowerRoman"/>
      <w:lvlText w:val="(%5)"/>
      <w:lvlJc w:val="left"/>
      <w:pPr>
        <w:ind w:left="3600" w:hanging="72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7D7671CD"/>
    <w:multiLevelType w:val="multilevel"/>
    <w:tmpl w:val="21A2C622"/>
    <w:lvl w:ilvl="0">
      <w:start w:val="1"/>
      <w:numFmt w:val="decimal"/>
      <w:lvlText w:val="%1."/>
      <w:lvlJc w:val="left"/>
      <w:pPr>
        <w:ind w:left="720" w:hanging="720"/>
      </w:pPr>
      <w:rPr>
        <w:rFonts w:ascii="Arial" w:eastAsia="Arial" w:hAnsi="Arial" w:cs="Arial"/>
        <w:b/>
        <w:bCs/>
        <w:i w:val="0"/>
        <w:iCs w:val="0"/>
        <w:smallCaps w:val="0"/>
        <w:strike w:val="0"/>
        <w:color w:val="000000"/>
        <w:sz w:val="24"/>
        <w:szCs w:val="24"/>
        <w:u w:val="none"/>
        <w:vertAlign w:val="baseline"/>
      </w:rPr>
    </w:lvl>
    <w:lvl w:ilvl="1">
      <w:start w:val="1"/>
      <w:numFmt w:val="decimal"/>
      <w:lvlText w:val="%1.%2"/>
      <w:lvlJc w:val="left"/>
      <w:pPr>
        <w:ind w:left="1440" w:hanging="720"/>
      </w:pPr>
      <w:rPr>
        <w:rFonts w:ascii="Arial" w:eastAsia="Arial" w:hAnsi="Arial" w:cs="Arial"/>
        <w:b w:val="0"/>
        <w:bCs w:val="0"/>
        <w:i w:val="0"/>
        <w:iCs w:val="0"/>
        <w:smallCaps w:val="0"/>
        <w:strike w:val="0"/>
        <w:color w:val="000000"/>
        <w:sz w:val="24"/>
        <w:szCs w:val="24"/>
        <w:u w:val="none"/>
        <w:vertAlign w:val="baseline"/>
      </w:rPr>
    </w:lvl>
    <w:lvl w:ilvl="2">
      <w:start w:val="1"/>
      <w:numFmt w:val="decimal"/>
      <w:lvlText w:val="%1.%2.%3"/>
      <w:lvlJc w:val="left"/>
      <w:pPr>
        <w:ind w:left="2160" w:hanging="720"/>
      </w:pPr>
      <w:rPr>
        <w:rFonts w:ascii="Arial" w:eastAsia="Arial" w:hAnsi="Arial" w:cs="Arial"/>
        <w:b w:val="0"/>
        <w:bCs w:val="0"/>
        <w:i w:val="0"/>
        <w:iCs w:val="0"/>
        <w:smallCaps w:val="0"/>
        <w:strike w:val="0"/>
        <w:color w:val="000000"/>
        <w:sz w:val="24"/>
        <w:szCs w:val="24"/>
        <w:u w:val="none"/>
        <w:vertAlign w:val="baseline"/>
      </w:rPr>
    </w:lvl>
    <w:lvl w:ilvl="3">
      <w:start w:val="1"/>
      <w:numFmt w:val="lowerLetter"/>
      <w:lvlText w:val="(%4)"/>
      <w:lvlJc w:val="left"/>
      <w:pPr>
        <w:ind w:left="2880" w:hanging="720"/>
      </w:pPr>
      <w:rPr>
        <w:rFonts w:ascii="Calibri" w:eastAsia="Calibri" w:hAnsi="Calibri" w:cs="Calibri"/>
        <w:b w:val="0"/>
        <w:bCs w:val="0"/>
        <w:i w:val="0"/>
        <w:iCs w:val="0"/>
        <w:smallCaps w:val="0"/>
        <w:strike w:val="0"/>
        <w:color w:val="000000"/>
        <w:sz w:val="22"/>
        <w:szCs w:val="22"/>
        <w:u w:val="none"/>
        <w:vertAlign w:val="baseline"/>
      </w:rPr>
    </w:lvl>
    <w:lvl w:ilvl="4">
      <w:start w:val="1"/>
      <w:numFmt w:val="lowerRoman"/>
      <w:lvlText w:val="(%5)"/>
      <w:lvlJc w:val="left"/>
      <w:pPr>
        <w:ind w:left="3600" w:hanging="720"/>
      </w:pPr>
      <w:rPr>
        <w:b w:val="0"/>
        <w:bCs w:val="0"/>
        <w:i w:val="0"/>
        <w:iCs w:val="0"/>
        <w:smallCaps w:val="0"/>
        <w:strike w:val="0"/>
        <w:color w:val="000000"/>
        <w:u w:val="none"/>
        <w:vertAlign w:val="baseline"/>
      </w:rPr>
    </w:lvl>
    <w:lvl w:ilvl="5">
      <w:start w:val="1"/>
      <w:numFmt w:val="upperLetter"/>
      <w:lvlText w:val="(%6)"/>
      <w:lvlJc w:val="left"/>
      <w:pPr>
        <w:ind w:left="1440" w:hanging="1080"/>
      </w:pPr>
      <w:rPr>
        <w:b w:val="0"/>
        <w:bCs w:val="0"/>
        <w:i w:val="0"/>
        <w:iCs w:val="0"/>
        <w:smallCaps w:val="0"/>
        <w:strike w:val="0"/>
        <w:color w:val="000000"/>
        <w:u w:val="none"/>
        <w:vertAlign w:val="baseline"/>
      </w:r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1804040991">
    <w:abstractNumId w:val="3"/>
  </w:num>
  <w:num w:numId="2" w16cid:durableId="2112044093">
    <w:abstractNumId w:val="4"/>
  </w:num>
  <w:num w:numId="3" w16cid:durableId="57364305">
    <w:abstractNumId w:val="5"/>
  </w:num>
  <w:num w:numId="4" w16cid:durableId="1535338318">
    <w:abstractNumId w:val="2"/>
  </w:num>
  <w:num w:numId="5" w16cid:durableId="570391965">
    <w:abstractNumId w:val="0"/>
  </w:num>
  <w:num w:numId="6" w16cid:durableId="16784557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595"/>
    <w:rsid w:val="000F0F4C"/>
    <w:rsid w:val="007E0595"/>
    <w:rsid w:val="00BA0FF1"/>
    <w:rsid w:val="00E33F0E"/>
    <w:rsid w:val="00F73599"/>
    <w:rsid w:val="00FA7C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A5FE0"/>
  <w15:docId w15:val="{9E64D6CF-E3C4-4728-B2E1-CE6196C1B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bCs/>
      <w:color w:val="366091"/>
      <w:sz w:val="28"/>
      <w:szCs w:val="28"/>
    </w:rPr>
  </w:style>
  <w:style w:type="paragraph" w:styleId="Heading2">
    <w:name w:val="heading 2"/>
    <w:basedOn w:val="Normal"/>
    <w:next w:val="Normal"/>
    <w:pPr>
      <w:keepNext/>
      <w:keepLines/>
      <w:spacing w:before="200" w:after="0"/>
      <w:outlineLvl w:val="1"/>
    </w:pPr>
    <w:rPr>
      <w:rFonts w:ascii="Cambria" w:eastAsia="Cambria" w:hAnsi="Cambria" w:cs="Cambria"/>
      <w:b/>
      <w:bCs/>
      <w:color w:val="4F81BD"/>
      <w:sz w:val="26"/>
      <w:szCs w:val="2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0">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1">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2">
    <w:basedOn w:val="TableNormal1"/>
    <w:pPr>
      <w:spacing w:after="0" w:line="240" w:lineRule="auto"/>
    </w:pPr>
    <w:rPr>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v.uk/government/publications/the-sourcing-and-consultancy-playbooks"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ov.uk/government/publications/procurement-act-2023-guidance-documents-manage-phase/guidance-key-performance-indicators-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overnment/publications/the-sourcing-and-consultancy-playbooks"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package" Target="embeddings/Microsoft_Excel_Worksheet.xlsx"/><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dwfllp0365-my.sharepoint.com/personal/douglas_jefferies_dwf_law/Documents/Desktop/DJ%20Desktop%20Mar23/PSC%20documents%2003.02.24/Call-Off%20Schedules/(https:/www.gov.uk/government/publications/the-digital-data-and-technology-playbook"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O642YNtM2kKhhwh+OJD+FnZyQ==">CgMxLjAyCWguMmV0OTJwMDIJaC4xdDNoNXNmMg1oLmFmdXB1YzljMWszMghoLmdqZGd4czIJaC4xZm9iOXRlMgloLjE3ZHA4dnUyCWguM3JkY3JqbjIJaC4yNmluMXJnMghoLmxueGJ6OTIJaC4xa3N2NHV2MgloLjQ0c2luaW8yCGguejMzN3lhMgloLjNqMnFxbTMyCWguMXk4MTB0dzIJaC4zNW5rdW4yMgloLjN6bnlzaDcyCGgudHlqY3d0MgloLjRkMzRvZzgyCWguMmp4c3hxaDIJaC40aTdvamhwMgloLjMwajB6bGw4AHIhMVVROWFFV3lqTkltb0NxUkMyWkFscXp5OUl1SFlESFNB</go:docsCustomData>
</go:gDocsCustomXmlDataStorage>
</file>

<file path=customXml/itemProps1.xml><?xml version="1.0" encoding="utf-8"?>
<ds:datastoreItem xmlns:ds="http://schemas.openxmlformats.org/officeDocument/2006/customXml" ds:itemID="{69A23DBD-E6E2-4D9E-BBAF-E3BC94AC07B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3255</Words>
  <Characters>18558</Characters>
  <Application>Microsoft Office Word</Application>
  <DocSecurity>0</DocSecurity>
  <Lines>154</Lines>
  <Paragraphs>43</Paragraphs>
  <ScaleCrop>false</ScaleCrop>
  <Company>Cabinet Office</Company>
  <LinksUpToDate>false</LinksUpToDate>
  <CharactersWithSpaces>21770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Box</dc:creator>
  <cp:lastModifiedBy>Mark Box</cp:lastModifiedBy>
  <cp:revision>2</cp:revision>
  <dcterms:created xsi:type="dcterms:W3CDTF">2026-10-14T10:43:00Z</dcterms:created>
  <dcterms:modified xsi:type="dcterms:W3CDTF">2026-10-14T10:43:00Z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D1V8</vt:lpwstr>
  </property>
</Properties>
</file>