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Rule="auto"/>
        <w:rPr/>
      </w:pPr>
      <w:r w:rsidDel="00000000" w:rsidR="00000000" w:rsidRPr="00000000">
        <w:rPr>
          <w:rtl w:val="0"/>
        </w:rPr>
      </w:r>
    </w:p>
    <w:p w:rsidR="00000000" w:rsidDel="00000000" w:rsidP="00000000" w:rsidRDefault="00000000" w:rsidRPr="00000000" w14:paraId="00000002">
      <w:pPr>
        <w:keepNext w:val="1"/>
        <w:pBdr>
          <w:top w:space="0" w:sz="0" w:val="nil"/>
          <w:left w:space="0" w:sz="0" w:val="nil"/>
          <w:bottom w:space="0" w:sz="0" w:val="nil"/>
          <w:right w:space="0" w:sz="0" w:val="nil"/>
          <w:between w:space="0" w:sz="0" w:val="nil"/>
        </w:pBdr>
        <w:spacing w:after="240" w:lineRule="auto"/>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Call-Off Schedule 14 (Performance Levels)</w:t>
      </w:r>
    </w:p>
    <w:p w:rsidR="00000000" w:rsidDel="00000000" w:rsidP="00000000" w:rsidRDefault="00000000" w:rsidRPr="00000000" w14:paraId="00000003">
      <w:pPr>
        <w:numPr>
          <w:ilvl w:val="0"/>
          <w:numId w:val="2"/>
        </w:numPr>
        <w:pBdr>
          <w:top w:space="0" w:sz="0" w:val="nil"/>
          <w:left w:space="0" w:sz="0" w:val="nil"/>
          <w:bottom w:space="0" w:sz="0" w:val="nil"/>
          <w:right w:space="0" w:sz="0" w:val="nil"/>
          <w:between w:space="0" w:sz="0" w:val="nil"/>
        </w:pBdr>
        <w:tabs>
          <w:tab w:val="left" w:leader="none" w:pos="142"/>
        </w:tabs>
        <w:spacing w:after="120" w:before="240" w:lineRule="auto"/>
        <w:ind w:left="720" w:hanging="72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Definitions</w:t>
      </w:r>
    </w:p>
    <w:p w:rsidR="00000000" w:rsidDel="00000000" w:rsidP="00000000" w:rsidRDefault="00000000" w:rsidRPr="00000000" w14:paraId="00000004">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this Schedule, the following words shall have the following meanings and they shall supplement Joint Schedule 1 (</w:t>
      </w:r>
      <w:r w:rsidDel="00000000" w:rsidR="00000000" w:rsidRPr="00000000">
        <w:rPr>
          <w:rFonts w:ascii="Arial" w:cs="Arial" w:eastAsia="Arial" w:hAnsi="Arial"/>
          <w:i w:val="1"/>
          <w:iCs w:val="1"/>
          <w:color w:val="000000"/>
          <w:sz w:val="24"/>
          <w:szCs w:val="24"/>
          <w:rtl w:val="0"/>
        </w:rPr>
        <w:t xml:space="preserve">Definitions</w:t>
      </w:r>
      <w:r w:rsidDel="00000000" w:rsidR="00000000" w:rsidRPr="00000000">
        <w:rPr>
          <w:rFonts w:ascii="Arial" w:cs="Arial" w:eastAsia="Arial" w:hAnsi="Arial"/>
          <w:color w:val="000000"/>
          <w:sz w:val="24"/>
          <w:szCs w:val="24"/>
          <w:rtl w:val="0"/>
        </w:rPr>
        <w:t xml:space="preserve">):</w:t>
      </w:r>
    </w:p>
    <w:tbl>
      <w:tblPr>
        <w:tblStyle w:val="Table1"/>
        <w:tblW w:w="8363.0" w:type="dxa"/>
        <w:jc w:val="left"/>
        <w:tblInd w:w="9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10"/>
        <w:gridCol w:w="5953"/>
        <w:tblGridChange w:id="0">
          <w:tblGrid>
            <w:gridCol w:w="2410"/>
            <w:gridCol w:w="5953"/>
          </w:tblGrid>
        </w:tblGridChange>
      </w:tblGrid>
      <w:tr>
        <w:trPr>
          <w:cantSplit w:val="0"/>
          <w:tblHeader w:val="0"/>
        </w:trPr>
        <w:tc>
          <w:tcPr>
            <w:vAlign w:val="center"/>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bookmarkStart w:colFirst="0" w:colLast="0" w:name="_heading=h.2et92p0" w:id="0"/>
            <w:bookmarkEnd w:id="0"/>
            <w:r w:rsidDel="00000000" w:rsidR="00000000" w:rsidRPr="00000000">
              <w:rPr>
                <w:rFonts w:ascii="Arial" w:cs="Arial" w:eastAsia="Arial" w:hAnsi="Arial"/>
                <w:b w:val="1"/>
                <w:bCs w:val="1"/>
                <w:color w:val="000000"/>
                <w:sz w:val="24"/>
                <w:szCs w:val="24"/>
                <w:rtl w:val="0"/>
              </w:rPr>
              <w:t xml:space="preserve">"At Risk %"</w:t>
            </w:r>
          </w:p>
        </w:tc>
        <w:tc>
          <w:tcPr>
            <w:vAlign w:val="center"/>
          </w:tcPr>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207"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the percentage figure identified as such in the Order Form;</w:t>
            </w:r>
          </w:p>
        </w:tc>
      </w:tr>
      <w:tr>
        <w:trPr>
          <w:cantSplit w:val="0"/>
          <w:tblHeader w:val="0"/>
        </w:trPr>
        <w:tc>
          <w:tcPr>
            <w:vAlign w:val="center"/>
          </w:tcPr>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"At Risk Amount"</w:t>
            </w:r>
          </w:p>
        </w:tc>
        <w:tc>
          <w:tcPr>
            <w:vAlign w:val="center"/>
          </w:tcPr>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207"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in respect of a Service Period, the amount calculated in accordance with Paragraph 3.1 of Part A of this Schedule;</w:t>
            </w:r>
          </w:p>
        </w:tc>
      </w:tr>
      <w:tr>
        <w:trPr>
          <w:cantSplit w:val="0"/>
          <w:tblHeader w:val="0"/>
        </w:trPr>
        <w:tc>
          <w:tcPr>
            <w:vAlign w:val="cente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"Earn Back %"</w:t>
            </w:r>
            <w:r w:rsidDel="00000000" w:rsidR="00000000" w:rsidRPr="00000000">
              <w:rPr>
                <w:rtl w:val="0"/>
              </w:rPr>
            </w:r>
          </w:p>
        </w:tc>
        <w:tc>
          <w:tcPr>
            <w:vAlign w:val="center"/>
          </w:tcPr>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means the percentage figure identified as such in the Order Form and which shall be used to determine the proportion of a KPI Credit which may be the subject of any Earn Back;</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line="276" w:lineRule="auto"/>
              <w:ind w:left="-72" w:firstLine="0"/>
              <w:rPr>
                <w:rFonts w:ascii="Arial" w:cs="Arial" w:eastAsia="Arial" w:hAnsi="Arial"/>
                <w:b w:val="1"/>
                <w:bCs w:val="1"/>
              </w:rPr>
            </w:pPr>
            <w:r w:rsidDel="00000000" w:rsidR="00000000" w:rsidRPr="00000000">
              <w:rPr>
                <w:rFonts w:ascii="Arial" w:cs="Arial" w:eastAsia="Arial" w:hAnsi="Arial"/>
                <w:b w:val="1"/>
                <w:bCs w:val="1"/>
                <w:sz w:val="24"/>
                <w:szCs w:val="24"/>
                <w:rtl w:val="0"/>
              </w:rPr>
              <w:t xml:space="preserve">“Impacted Services”</w:t>
            </w:r>
            <w:r w:rsidDel="00000000" w:rsidR="00000000" w:rsidRPr="00000000">
              <w:rPr>
                <w:rtl w:val="0"/>
              </w:rPr>
            </w:r>
          </w:p>
        </w:tc>
        <w:tc>
          <w:tcPr>
            <w:vAlign w:val="center"/>
          </w:tcPr>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means each and every one of the Services provided by the Supplier that has been affected as a result of a KPI Failure;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20" w:line="276" w:lineRule="auto"/>
              <w:ind w:left="-72"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“KPI Holiday Period”</w:t>
            </w:r>
          </w:p>
        </w:tc>
        <w:tc>
          <w:tcPr>
            <w:vAlign w:val="center"/>
          </w:tcPr>
          <w:p w:rsidR="00000000" w:rsidDel="00000000" w:rsidP="00000000" w:rsidRDefault="00000000" w:rsidRPr="00000000" w14:paraId="0000000E">
            <w:pPr>
              <w:tabs>
                <w:tab w:val="left" w:leader="none" w:pos="144"/>
              </w:tabs>
              <w:spacing w:after="120" w:line="276" w:lineRule="auto"/>
              <w:ind w:left="206" w:firstLine="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means the period where KPIs shall continue to be reported by the Supplier but no KPI Credits shall be applied nor shall the Ratchet be applied at the end of the KPI Holiday Period;</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"KPI Credits"</w:t>
            </w:r>
          </w:p>
        </w:tc>
        <w:tc>
          <w:tcPr>
            <w:vAlign w:val="center"/>
          </w:tcPr>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KPI Credits specified in the Annex to Part A of this Schedule being payable by the Supplier to the Buyer in respect of any failure by the Supplier to meet one or more KPIs;</w:t>
            </w:r>
          </w:p>
        </w:tc>
      </w:tr>
      <w:tr>
        <w:trPr>
          <w:cantSplit w:val="0"/>
          <w:tblHeader w:val="0"/>
        </w:trPr>
        <w:tc>
          <w:tcPr>
            <w:vAlign w:val="cente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"KPI Model"</w:t>
            </w:r>
          </w:p>
        </w:tc>
        <w:tc>
          <w:tcPr>
            <w:vAlign w:val="center"/>
          </w:tcPr>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means the model comprised in the Excel worksheet - KPI Model, and attached</w:t>
            </w:r>
            <w:r w:rsidDel="00000000" w:rsidR="00000000" w:rsidRPr="00000000">
              <w:rPr>
                <w:rFonts w:ascii="Arial" w:cs="Arial" w:eastAsia="Arial" w:hAnsi="Arial"/>
                <w:color w:val="000000"/>
                <w:sz w:val="24"/>
                <w:szCs w:val="24"/>
                <w:rtl w:val="0"/>
              </w:rPr>
              <w:t xml:space="preserve"> in the Annex </w:t>
            </w:r>
            <w:r w:rsidDel="00000000" w:rsidR="00000000" w:rsidRPr="00000000">
              <w:rPr>
                <w:rFonts w:ascii="Arial" w:cs="Arial" w:eastAsia="Arial" w:hAnsi="Arial"/>
                <w:sz w:val="24"/>
                <w:szCs w:val="24"/>
                <w:rtl w:val="0"/>
              </w:rPr>
              <w:t xml:space="preserve">A </w:t>
            </w:r>
            <w:r w:rsidDel="00000000" w:rsidR="00000000" w:rsidRPr="00000000">
              <w:rPr>
                <w:rFonts w:ascii="Arial" w:cs="Arial" w:eastAsia="Arial" w:hAnsi="Arial"/>
                <w:color w:val="000000"/>
                <w:sz w:val="24"/>
                <w:szCs w:val="24"/>
                <w:rtl w:val="0"/>
              </w:rPr>
              <w:t xml:space="preserve">to Part</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color w:val="000000"/>
                <w:sz w:val="24"/>
                <w:szCs w:val="24"/>
                <w:rtl w:val="0"/>
              </w:rPr>
              <w:t xml:space="preserve">A of this Schedule to </w:t>
            </w:r>
            <w:r w:rsidDel="00000000" w:rsidR="00000000" w:rsidRPr="00000000">
              <w:rPr>
                <w:rFonts w:ascii="Arial" w:cs="Arial" w:eastAsia="Arial" w:hAnsi="Arial"/>
                <w:sz w:val="24"/>
                <w:szCs w:val="24"/>
                <w:rtl w:val="0"/>
              </w:rPr>
              <w:t xml:space="preserve">be used for calculating any adjustments</w:t>
            </w:r>
            <w:r w:rsidDel="00000000" w:rsidR="00000000" w:rsidRPr="00000000">
              <w:rPr>
                <w:rFonts w:ascii="Arial" w:cs="Arial" w:eastAsia="Arial" w:hAnsi="Arial"/>
                <w:color w:val="000000"/>
                <w:sz w:val="24"/>
                <w:szCs w:val="24"/>
                <w:rtl w:val="0"/>
              </w:rPr>
              <w:t xml:space="preserve"> to </w:t>
            </w:r>
            <w:r w:rsidDel="00000000" w:rsidR="00000000" w:rsidRPr="00000000">
              <w:rPr>
                <w:rFonts w:ascii="Arial" w:cs="Arial" w:eastAsia="Arial" w:hAnsi="Arial"/>
                <w:sz w:val="24"/>
                <w:szCs w:val="24"/>
                <w:rtl w:val="0"/>
              </w:rPr>
              <w:t xml:space="preserve">the Charges as a result of the operation of the KPI regime in this Schedule</w:t>
            </w:r>
            <w:r w:rsidDel="00000000" w:rsidR="00000000" w:rsidRPr="00000000">
              <w:rPr>
                <w:rFonts w:ascii="Arial" w:cs="Arial" w:eastAsia="Arial" w:hAnsi="Arial"/>
                <w:color w:val="000000"/>
                <w:sz w:val="24"/>
                <w:szCs w:val="24"/>
                <w:rtl w:val="0"/>
              </w:rPr>
              <w:t xml:space="preserve">;</w:t>
            </w:r>
          </w:p>
        </w:tc>
      </w:tr>
      <w:tr>
        <w:trPr>
          <w:cantSplit w:val="0"/>
          <w:tblHeader w:val="0"/>
        </w:trPr>
        <w:tc>
          <w:tcPr>
            <w:vAlign w:val="center"/>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"KPI At Risk Amount"</w:t>
            </w:r>
            <w:r w:rsidDel="00000000" w:rsidR="00000000" w:rsidRPr="00000000">
              <w:rPr>
                <w:rtl w:val="0"/>
              </w:rPr>
            </w:r>
          </w:p>
        </w:tc>
        <w:tc>
          <w:tcPr>
            <w:vAlign w:val="center"/>
          </w:tcPr>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w:t>
            </w:r>
            <w:r w:rsidDel="00000000" w:rsidR="00000000" w:rsidRPr="00000000">
              <w:rPr>
                <w:rFonts w:ascii="Arial" w:cs="Arial" w:eastAsia="Arial" w:hAnsi="Arial"/>
                <w:sz w:val="24"/>
                <w:szCs w:val="24"/>
                <w:rtl w:val="0"/>
              </w:rPr>
              <w:t xml:space="preserve">in relation</w:t>
            </w:r>
            <w:r w:rsidDel="00000000" w:rsidR="00000000" w:rsidRPr="00000000">
              <w:rPr>
                <w:rFonts w:ascii="Arial" w:cs="Arial" w:eastAsia="Arial" w:hAnsi="Arial"/>
                <w:color w:val="000000"/>
                <w:sz w:val="24"/>
                <w:szCs w:val="24"/>
                <w:rtl w:val="0"/>
              </w:rPr>
              <w:t xml:space="preserve"> to </w:t>
            </w:r>
            <w:r w:rsidDel="00000000" w:rsidR="00000000" w:rsidRPr="00000000">
              <w:rPr>
                <w:rFonts w:ascii="Arial" w:cs="Arial" w:eastAsia="Arial" w:hAnsi="Arial"/>
                <w:sz w:val="24"/>
                <w:szCs w:val="24"/>
                <w:rtl w:val="0"/>
              </w:rPr>
              <w:t xml:space="preserve">a KPI</w:t>
            </w:r>
            <w:r w:rsidDel="00000000" w:rsidR="00000000" w:rsidRPr="00000000">
              <w:rPr>
                <w:rFonts w:ascii="Arial" w:cs="Arial" w:eastAsia="Arial" w:hAnsi="Arial"/>
                <w:color w:val="000000"/>
                <w:sz w:val="24"/>
                <w:szCs w:val="24"/>
                <w:rtl w:val="0"/>
              </w:rPr>
              <w:t xml:space="preserve"> in respect of a Service </w:t>
            </w:r>
            <w:r w:rsidDel="00000000" w:rsidR="00000000" w:rsidRPr="00000000">
              <w:rPr>
                <w:rFonts w:ascii="Arial" w:cs="Arial" w:eastAsia="Arial" w:hAnsi="Arial"/>
                <w:sz w:val="24"/>
                <w:szCs w:val="24"/>
                <w:rtl w:val="0"/>
              </w:rPr>
              <w:t xml:space="preserve">Period, the amount calculated in accordance with Paragraph 3.3 of Part A of this Schedule;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color w:val="000000"/>
                <w:sz w:val="24"/>
                <w:szCs w:val="24"/>
                <w:rtl w:val="0"/>
              </w:rPr>
              <w:t xml:space="preserve">"KPI Failure"</w:t>
            </w:r>
            <w:r w:rsidDel="00000000" w:rsidR="00000000" w:rsidRPr="00000000">
              <w:rPr>
                <w:rtl w:val="0"/>
              </w:rPr>
            </w:r>
          </w:p>
        </w:tc>
        <w:tc>
          <w:tcPr>
            <w:vAlign w:val="center"/>
          </w:tcPr>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means a failure to meet the KPI Performance Measure in respect of a KPI;</w:t>
            </w:r>
          </w:p>
        </w:tc>
      </w:tr>
      <w:tr>
        <w:trPr>
          <w:cantSplit w:val="0"/>
          <w:tblHeader w:val="0"/>
        </w:trPr>
        <w:tc>
          <w:tcPr>
            <w:vAlign w:val="center"/>
          </w:tcPr>
          <w:p w:rsidR="00000000" w:rsidDel="00000000" w:rsidP="00000000" w:rsidRDefault="00000000" w:rsidRPr="00000000" w14:paraId="00000017">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"KPI Performance Measure"</w:t>
            </w:r>
          </w:p>
          <w:p w:rsidR="00000000" w:rsidDel="00000000" w:rsidP="00000000" w:rsidRDefault="00000000" w:rsidRPr="00000000" w14:paraId="00000018">
            <w:pPr>
              <w:spacing w:line="276" w:lineRule="auto"/>
              <w:rPr>
                <w:rFonts w:ascii="Arial" w:cs="Arial" w:eastAsia="Arial" w:hAnsi="Arial"/>
                <w:sz w:val="24"/>
                <w:szCs w:val="24"/>
              </w:rPr>
            </w:pPr>
            <w:r w:rsidDel="00000000" w:rsidR="00000000" w:rsidRPr="00000000">
              <w:rPr>
                <w:rtl w:val="0"/>
              </w:rPr>
            </w:r>
          </w:p>
        </w:tc>
        <w:tc>
          <w:tcPr>
            <w:vAlign w:val="center"/>
          </w:tcPr>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means each of the Performance Measures in the columns headed Measure Requirement and Measure Achievement Calculation in the KPI Measures tab of the KPI Model;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"Performance Monitoring Reports"</w:t>
            </w:r>
          </w:p>
        </w:tc>
        <w:tc>
          <w:tcPr>
            <w:vAlign w:val="center"/>
          </w:tcPr>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shall have the meaning in Part B of this Schedule; </w:t>
            </w:r>
          </w:p>
        </w:tc>
      </w:tr>
      <w:tr>
        <w:trPr>
          <w:cantSplit w:val="0"/>
          <w:tblHeader w:val="0"/>
        </w:trPr>
        <w:tc>
          <w:tcPr>
            <w:vAlign w:val="center"/>
          </w:tcPr>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"Performance Review Meetings"</w:t>
            </w:r>
          </w:p>
        </w:tc>
        <w:tc>
          <w:tcPr>
            <w:vAlign w:val="center"/>
          </w:tcPr>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shall have the meaning in Part B of this Schedule; </w:t>
            </w:r>
          </w:p>
        </w:tc>
      </w:tr>
      <w:tr>
        <w:trPr>
          <w:cantSplit w:val="0"/>
          <w:tblHeader w:val="0"/>
        </w:trPr>
        <w:tc>
          <w:tcPr>
            <w:vAlign w:val="cente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“Prohibited Act”</w:t>
            </w:r>
          </w:p>
        </w:tc>
        <w:tc>
          <w:tcPr>
            <w:vAlign w:val="center"/>
          </w:tcPr>
          <w:p w:rsidR="00000000" w:rsidDel="00000000" w:rsidP="00000000" w:rsidRDefault="00000000" w:rsidRPr="00000000" w14:paraId="0000001F">
            <w:pPr>
              <w:numPr>
                <w:ilvl w:val="0"/>
                <w:numId w:val="1"/>
              </w:numPr>
              <w:pBdr>
                <w:top w:space="0" w:sz="0" w:val="nil"/>
                <w:left w:space="0" w:sz="0" w:val="nil"/>
                <w:bottom w:space="0" w:sz="0" w:val="nil"/>
                <w:right w:space="0" w:sz="0" w:val="nil"/>
                <w:between w:space="0" w:sz="0" w:val="nil"/>
              </w:pBdr>
              <w:tabs>
                <w:tab w:val="left" w:leader="none" w:pos="-9"/>
                <w:tab w:val="left" w:leader="none" w:pos="-179"/>
              </w:tabs>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directly or indirectly offer, promise or give any person working for or engaged by a Buyer or any other public body a financial or other advantage to:</w:t>
            </w:r>
          </w:p>
          <w:p w:rsidR="00000000" w:rsidDel="00000000" w:rsidP="00000000" w:rsidRDefault="00000000" w:rsidRPr="00000000" w14:paraId="00000020">
            <w:pPr>
              <w:numPr>
                <w:ilvl w:val="1"/>
                <w:numId w:val="1"/>
              </w:numPr>
              <w:pBdr>
                <w:top w:space="0" w:sz="0" w:val="nil"/>
                <w:left w:space="0" w:sz="0" w:val="nil"/>
                <w:bottom w:space="0" w:sz="0" w:val="nil"/>
                <w:right w:space="0" w:sz="0" w:val="nil"/>
                <w:between w:space="0" w:sz="0" w:val="nil"/>
              </w:pBdr>
              <w:tabs>
                <w:tab w:val="left" w:leader="none" w:pos="-9"/>
                <w:tab w:val="left" w:leader="none" w:pos="-179"/>
              </w:tabs>
              <w:spacing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induce that person to perform improperly a relevant function or activity; or</w:t>
            </w:r>
          </w:p>
          <w:p w:rsidR="00000000" w:rsidDel="00000000" w:rsidP="00000000" w:rsidRDefault="00000000" w:rsidRPr="00000000" w14:paraId="00000021">
            <w:pPr>
              <w:numPr>
                <w:ilvl w:val="1"/>
                <w:numId w:val="1"/>
              </w:numPr>
              <w:pBdr>
                <w:top w:space="0" w:sz="0" w:val="nil"/>
                <w:left w:space="0" w:sz="0" w:val="nil"/>
                <w:bottom w:space="0" w:sz="0" w:val="nil"/>
                <w:right w:space="0" w:sz="0" w:val="nil"/>
                <w:between w:space="0" w:sz="0" w:val="nil"/>
              </w:pBdr>
              <w:tabs>
                <w:tab w:val="left" w:leader="none" w:pos="-9"/>
                <w:tab w:val="left" w:leader="none" w:pos="-179"/>
              </w:tabs>
              <w:spacing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 reward that person for improper performance of a relevant function or activity;</w:t>
            </w:r>
          </w:p>
          <w:p w:rsidR="00000000" w:rsidDel="00000000" w:rsidP="00000000" w:rsidRDefault="00000000" w:rsidRPr="00000000" w14:paraId="00000022">
            <w:pPr>
              <w:numPr>
                <w:ilvl w:val="0"/>
                <w:numId w:val="1"/>
              </w:numPr>
              <w:pBdr>
                <w:top w:space="0" w:sz="0" w:val="nil"/>
                <w:left w:space="0" w:sz="0" w:val="nil"/>
                <w:bottom w:space="0" w:sz="0" w:val="nil"/>
                <w:right w:space="0" w:sz="0" w:val="nil"/>
                <w:between w:space="0" w:sz="0" w:val="nil"/>
              </w:pBdr>
              <w:tabs>
                <w:tab w:val="left" w:leader="none" w:pos="-9"/>
                <w:tab w:val="left" w:leader="none" w:pos="-179"/>
              </w:tabs>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to directly or indirectly request, agree to receive or accept any financial or other advantage as an inducement or a reward for improper performance of a relevant function or activity in connection with each Contract; or</w:t>
            </w:r>
          </w:p>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tabs>
                <w:tab w:val="left" w:leader="none" w:pos="-9"/>
                <w:tab w:val="left" w:leader="none" w:pos="-179"/>
              </w:tabs>
              <w:spacing w:line="276" w:lineRule="auto"/>
              <w:ind w:left="72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committing any offence:</w:t>
            </w:r>
          </w:p>
          <w:p w:rsidR="00000000" w:rsidDel="00000000" w:rsidP="00000000" w:rsidRDefault="00000000" w:rsidRPr="00000000" w14:paraId="00000024">
            <w:pPr>
              <w:numPr>
                <w:ilvl w:val="1"/>
                <w:numId w:val="1"/>
              </w:num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440" w:hanging="360"/>
              <w:rPr>
                <w:rFonts w:ascii="Arial" w:cs="Arial" w:eastAsia="Arial" w:hAnsi="Arial"/>
                <w:sz w:val="24"/>
                <w:szCs w:val="24"/>
              </w:rPr>
            </w:pPr>
            <w:r w:rsidDel="00000000" w:rsidR="00000000" w:rsidRPr="00000000">
              <w:rPr>
                <w:rFonts w:ascii="Arial" w:cs="Arial" w:eastAsia="Arial" w:hAnsi="Arial"/>
                <w:sz w:val="24"/>
                <w:szCs w:val="24"/>
                <w:rtl w:val="0"/>
              </w:rPr>
              <w:t xml:space="preserve">under the Bribery Act 2010 (or any legislation repealed or revoked by such Act); or</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ii) under legislation or common law concerning fraudulent acts; or</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iii) defrauding, attempting to defraud or conspiring to defraud a Buyer or other public body; or</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d) any activity, practice or conduct which would constitute one of the offences listed under (c) above if such activity, practice or conduct had been carried out in the UK;</w:t>
            </w:r>
          </w:p>
        </w:tc>
      </w:tr>
      <w:tr>
        <w:trPr>
          <w:cantSplit w:val="0"/>
          <w:tblHeader w:val="0"/>
        </w:trPr>
        <w:tc>
          <w:tcPr>
            <w:vAlign w:val="center"/>
          </w:tcPr>
          <w:p w:rsidR="00000000" w:rsidDel="00000000" w:rsidP="00000000" w:rsidRDefault="00000000" w:rsidRPr="00000000" w14:paraId="00000028">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"Ratchet"</w:t>
            </w:r>
          </w:p>
        </w:tc>
        <w:tc>
          <w:tcPr>
            <w:vAlign w:val="center"/>
          </w:tcPr>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shall have the meaning in Part A of this Schedule;</w:t>
            </w:r>
          </w:p>
        </w:tc>
      </w:tr>
      <w:tr>
        <w:trPr>
          <w:cantSplit w:val="0"/>
          <w:tblHeader w:val="0"/>
        </w:trPr>
        <w:tc>
          <w:tcPr>
            <w:vAlign w:val="center"/>
          </w:tcPr>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20" w:line="276" w:lineRule="auto"/>
              <w:ind w:left="-108" w:firstLine="0"/>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“Total KPI Credit”</w:t>
            </w:r>
            <w:r w:rsidDel="00000000" w:rsidR="00000000" w:rsidRPr="00000000">
              <w:rPr>
                <w:rtl w:val="0"/>
              </w:rPr>
            </w:r>
          </w:p>
        </w:tc>
        <w:tc>
          <w:tcPr>
            <w:vAlign w:val="center"/>
          </w:tcPr>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9"/>
                <w:tab w:val="left" w:leader="none" w:pos="-179"/>
              </w:tabs>
              <w:spacing w:after="120" w:line="276" w:lineRule="auto"/>
              <w:ind w:left="170" w:firstLine="0"/>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The total of all KPI Credits calculated in accordance with this Call-Off Schedule 14 (</w:t>
            </w:r>
            <w:r w:rsidDel="00000000" w:rsidR="00000000" w:rsidRPr="00000000">
              <w:rPr>
                <w:rFonts w:ascii="Arial" w:cs="Arial" w:eastAsia="Arial" w:hAnsi="Arial"/>
                <w:i w:val="1"/>
                <w:iCs w:val="1"/>
                <w:sz w:val="24"/>
                <w:szCs w:val="24"/>
                <w:rtl w:val="0"/>
              </w:rPr>
              <w:t xml:space="preserve">Performance Indicators</w:t>
            </w:r>
            <w:r w:rsidDel="00000000" w:rsidR="00000000" w:rsidRPr="00000000">
              <w:rPr>
                <w:rFonts w:ascii="Arial" w:cs="Arial" w:eastAsia="Arial" w:hAnsi="Arial"/>
                <w:sz w:val="24"/>
                <w:szCs w:val="24"/>
                <w:rtl w:val="0"/>
              </w:rPr>
              <w:t xml:space="preserve">) and is the amount invoiced in accordance with Call-Off Schedule 5 (</w:t>
            </w:r>
            <w:r w:rsidDel="00000000" w:rsidR="00000000" w:rsidRPr="00000000">
              <w:rPr>
                <w:rFonts w:ascii="Arial" w:cs="Arial" w:eastAsia="Arial" w:hAnsi="Arial"/>
                <w:i w:val="1"/>
                <w:iCs w:val="1"/>
                <w:sz w:val="24"/>
                <w:szCs w:val="24"/>
                <w:rtl w:val="0"/>
              </w:rPr>
              <w:t xml:space="preserve">Pricing Details</w:t>
            </w:r>
            <w:r w:rsidDel="00000000" w:rsidR="00000000" w:rsidRPr="00000000">
              <w:rPr>
                <w:rFonts w:ascii="Arial" w:cs="Arial" w:eastAsia="Arial" w:hAnsi="Arial"/>
                <w:sz w:val="24"/>
                <w:szCs w:val="24"/>
                <w:rtl w:val="0"/>
              </w:rPr>
              <w:t xml:space="preserve">).</w:t>
            </w:r>
            <w:r w:rsidDel="00000000" w:rsidR="00000000" w:rsidRPr="00000000">
              <w:rPr>
                <w:rtl w:val="0"/>
              </w:rPr>
            </w:r>
          </w:p>
        </w:tc>
      </w:tr>
    </w:tbl>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tabs>
          <w:tab w:val="left" w:leader="none" w:pos="142"/>
        </w:tabs>
        <w:spacing w:after="120" w:before="240" w:lineRule="auto"/>
        <w:ind w:left="720" w:hanging="720"/>
        <w:rPr>
          <w:rFonts w:ascii="Arial" w:cs="Arial" w:eastAsia="Arial" w:hAnsi="Arial"/>
          <w:b w:val="1"/>
          <w:bCs w:val="1"/>
          <w:smallCaps w:val="1"/>
          <w:color w:val="000000"/>
          <w:sz w:val="24"/>
          <w:szCs w:val="24"/>
        </w:rPr>
      </w:pPr>
      <w:r w:rsidDel="00000000" w:rsidR="00000000" w:rsidRPr="00000000">
        <w:rPr>
          <w:rFonts w:ascii="Arial" w:cs="Arial" w:eastAsia="Arial" w:hAnsi="Arial"/>
          <w:b w:val="1"/>
          <w:bCs w:val="1"/>
          <w:color w:val="000000"/>
          <w:sz w:val="24"/>
          <w:szCs w:val="24"/>
          <w:rtl w:val="0"/>
        </w:rPr>
        <w:t xml:space="preserve">What happens if you don’t meet the KPIs</w:t>
      </w:r>
      <w:r w:rsidDel="00000000" w:rsidR="00000000" w:rsidRPr="00000000">
        <w:rPr>
          <w:rtl w:val="0"/>
        </w:rPr>
      </w:r>
    </w:p>
    <w:p w:rsidR="00000000" w:rsidDel="00000000" w:rsidP="00000000" w:rsidRDefault="00000000" w:rsidRPr="00000000" w14:paraId="0000002D">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at all times provide the Deliverables to meet or exceed the KPI Performance Measure for each KPI.</w:t>
      </w:r>
    </w:p>
    <w:p w:rsidR="00000000" w:rsidDel="00000000" w:rsidP="00000000" w:rsidRDefault="00000000" w:rsidRPr="00000000" w14:paraId="0000002E">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acknowledges that any KPI Failure shall entitle the Buyer to the rights set out in Part A of this Schedule including the right to any KPI Credits and that any KPI Credit is a price adjustment and not an estimate of the Loss that may be suffered by the Buyer as a result of the Supplier’s failure to meet any KPI Performance Measure.</w:t>
      </w:r>
    </w:p>
    <w:p w:rsidR="00000000" w:rsidDel="00000000" w:rsidP="00000000" w:rsidRDefault="00000000" w:rsidRPr="00000000" w14:paraId="0000002F">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send Performance Monitoring Reports to the Buyer detailing the level of service which was achieved in accordance with the provisions of Part B (</w:t>
      </w:r>
      <w:r w:rsidDel="00000000" w:rsidR="00000000" w:rsidRPr="00000000">
        <w:rPr>
          <w:rFonts w:ascii="Arial" w:cs="Arial" w:eastAsia="Arial" w:hAnsi="Arial"/>
          <w:i w:val="1"/>
          <w:iCs w:val="1"/>
          <w:color w:val="000000"/>
          <w:sz w:val="24"/>
          <w:szCs w:val="24"/>
          <w:rtl w:val="0"/>
        </w:rPr>
        <w:t xml:space="preserve">Performance Monitoring</w:t>
      </w:r>
      <w:r w:rsidDel="00000000" w:rsidR="00000000" w:rsidRPr="00000000">
        <w:rPr>
          <w:rFonts w:ascii="Arial" w:cs="Arial" w:eastAsia="Arial" w:hAnsi="Arial"/>
          <w:color w:val="000000"/>
          <w:sz w:val="24"/>
          <w:szCs w:val="24"/>
          <w:rtl w:val="0"/>
        </w:rPr>
        <w:t xml:space="preserve">) of this Schedule.</w:t>
      </w:r>
    </w:p>
    <w:p w:rsidR="00000000" w:rsidDel="00000000" w:rsidP="00000000" w:rsidRDefault="00000000" w:rsidRPr="00000000" w14:paraId="00000030">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KPI Credit shall be the Buyer’s exclusive financial remedy for a KPI Failure except where:</w:t>
      </w:r>
    </w:p>
    <w:p w:rsidR="00000000" w:rsidDel="00000000" w:rsidP="00000000" w:rsidRDefault="00000000" w:rsidRPr="00000000" w14:paraId="00000031">
      <w:pPr>
        <w:numPr>
          <w:ilvl w:val="2"/>
          <w:numId w:val="2"/>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bookmarkStart w:colFirst="0" w:colLast="0" w:name="_heading=h.1t3h5sf" w:id="1"/>
      <w:bookmarkEnd w:id="1"/>
      <w:r w:rsidDel="00000000" w:rsidR="00000000" w:rsidRPr="00000000">
        <w:rPr>
          <w:rFonts w:ascii="Arial" w:cs="Arial" w:eastAsia="Arial" w:hAnsi="Arial"/>
          <w:color w:val="000000"/>
          <w:sz w:val="24"/>
          <w:szCs w:val="24"/>
          <w:rtl w:val="0"/>
        </w:rPr>
        <w:t xml:space="preserve">the KPI Failure:</w:t>
      </w:r>
    </w:p>
    <w:p w:rsidR="00000000" w:rsidDel="00000000" w:rsidP="00000000" w:rsidRDefault="00000000" w:rsidRPr="00000000" w14:paraId="00000032">
      <w:pPr>
        <w:numPr>
          <w:ilvl w:val="3"/>
          <w:numId w:val="2"/>
        </w:numPr>
        <w:pBdr>
          <w:top w:space="0" w:sz="0" w:val="nil"/>
          <w:left w:space="0" w:sz="0" w:val="nil"/>
          <w:bottom w:space="0" w:sz="0" w:val="nil"/>
          <w:right w:space="0" w:sz="0" w:val="nil"/>
          <w:between w:space="0" w:sz="0" w:val="nil"/>
        </w:pBdr>
        <w:spacing w:before="120" w:lineRule="auto"/>
        <w:ind w:left="288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has arisen due to a Prohibited Act or wilful Default by the Supplier; </w:t>
      </w:r>
    </w:p>
    <w:p w:rsidR="00000000" w:rsidDel="00000000" w:rsidP="00000000" w:rsidRDefault="00000000" w:rsidRPr="00000000" w14:paraId="00000033">
      <w:pPr>
        <w:numPr>
          <w:ilvl w:val="3"/>
          <w:numId w:val="2"/>
        </w:numPr>
        <w:pBdr>
          <w:top w:space="0" w:sz="0" w:val="nil"/>
          <w:left w:space="0" w:sz="0" w:val="nil"/>
          <w:bottom w:space="0" w:sz="0" w:val="nil"/>
          <w:right w:space="0" w:sz="0" w:val="nil"/>
          <w:between w:space="0" w:sz="0" w:val="nil"/>
        </w:pBdr>
        <w:ind w:left="288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results in the corruption or loss of any Government Data; and/or</w:t>
      </w:r>
    </w:p>
    <w:p w:rsidR="00000000" w:rsidDel="00000000" w:rsidP="00000000" w:rsidRDefault="00000000" w:rsidRPr="00000000" w14:paraId="00000034">
      <w:pPr>
        <w:numPr>
          <w:ilvl w:val="3"/>
          <w:numId w:val="2"/>
        </w:numPr>
        <w:pBdr>
          <w:top w:space="0" w:sz="0" w:val="nil"/>
          <w:left w:space="0" w:sz="0" w:val="nil"/>
          <w:bottom w:space="0" w:sz="0" w:val="nil"/>
          <w:right w:space="0" w:sz="0" w:val="nil"/>
          <w:between w:space="0" w:sz="0" w:val="nil"/>
        </w:pBdr>
        <w:spacing w:before="120" w:lineRule="auto"/>
        <w:ind w:left="2880" w:hanging="720"/>
        <w:rPr>
          <w:rFonts w:ascii="Arial" w:cs="Arial" w:eastAsia="Arial" w:hAnsi="Arial"/>
          <w:color w:val="000000"/>
          <w:sz w:val="24"/>
          <w:szCs w:val="24"/>
        </w:rPr>
      </w:pPr>
      <w:bookmarkStart w:colFirst="0" w:colLast="0" w:name="_heading=h.afupuc9c1k3" w:id="2"/>
      <w:bookmarkEnd w:id="2"/>
      <w:r w:rsidDel="00000000" w:rsidR="00000000" w:rsidRPr="00000000">
        <w:rPr>
          <w:rFonts w:ascii="Arial" w:cs="Arial" w:eastAsia="Arial" w:hAnsi="Arial"/>
          <w:color w:val="000000"/>
          <w:sz w:val="24"/>
          <w:szCs w:val="24"/>
          <w:rtl w:val="0"/>
        </w:rPr>
        <w:t xml:space="preserve">results in the Buyer being required to make a compensation payment to one or more third parties; and/or</w:t>
      </w:r>
    </w:p>
    <w:p w:rsidR="00000000" w:rsidDel="00000000" w:rsidP="00000000" w:rsidRDefault="00000000" w:rsidRPr="00000000" w14:paraId="00000035">
      <w:pPr>
        <w:numPr>
          <w:ilvl w:val="2"/>
          <w:numId w:val="2"/>
        </w:numPr>
        <w:pBdr>
          <w:top w:space="0" w:sz="0" w:val="nil"/>
          <w:left w:space="0" w:sz="0" w:val="nil"/>
          <w:bottom w:space="0" w:sz="0" w:val="nil"/>
          <w:right w:space="0" w:sz="0" w:val="nil"/>
          <w:between w:space="0" w:sz="0" w:val="nil"/>
        </w:pBdr>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sz w:val="24"/>
          <w:szCs w:val="24"/>
          <w:rtl w:val="0"/>
        </w:rPr>
        <w:t xml:space="preserve">a Persistent KPI Failure occurs and/or the Buyer is otherwise entitled to or does terminate this Contract pursuant to Clause 13.3 of the General Terms (</w:t>
      </w:r>
      <w:r w:rsidDel="00000000" w:rsidR="00000000" w:rsidRPr="00000000">
        <w:rPr>
          <w:rFonts w:ascii="Arial" w:cs="Arial" w:eastAsia="Arial" w:hAnsi="Arial"/>
          <w:i w:val="1"/>
          <w:iCs w:val="1"/>
          <w:sz w:val="24"/>
          <w:szCs w:val="24"/>
          <w:rtl w:val="0"/>
        </w:rPr>
        <w:t xml:space="preserve">When GCA or the buyer can end a contract</w:t>
      </w:r>
      <w:r w:rsidDel="00000000" w:rsidR="00000000" w:rsidRPr="00000000">
        <w:rPr>
          <w:rFonts w:ascii="Arial" w:cs="Arial" w:eastAsia="Arial" w:hAnsi="Arial"/>
          <w:sz w:val="24"/>
          <w:szCs w:val="24"/>
          <w:rtl w:val="0"/>
        </w:rPr>
        <w:t xml:space="preserve">).</w:t>
      </w:r>
      <w:r w:rsidDel="00000000" w:rsidR="00000000" w:rsidRPr="00000000">
        <w:rPr>
          <w:rtl w:val="0"/>
        </w:rPr>
      </w:r>
    </w:p>
    <w:p w:rsidR="00000000" w:rsidDel="00000000" w:rsidP="00000000" w:rsidRDefault="00000000" w:rsidRPr="00000000" w14:paraId="00000036">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bookmarkStart w:colFirst="0" w:colLast="0" w:name="_heading=h.gjdgxs" w:id="3"/>
      <w:bookmarkEnd w:id="3"/>
      <w:r w:rsidDel="00000000" w:rsidR="00000000" w:rsidRPr="00000000">
        <w:rPr>
          <w:rFonts w:ascii="Arial" w:cs="Arial" w:eastAsia="Arial" w:hAnsi="Arial"/>
          <w:color w:val="000000"/>
          <w:sz w:val="24"/>
          <w:szCs w:val="24"/>
          <w:rtl w:val="0"/>
        </w:rPr>
        <w:t xml:space="preserve">Not more than once in each Contract Year, the Buyer may, on giving the Supplier at least three (3) Months’ notice, change the weighting of KPI Performance Measure in respect of one or more KPIs and the Supplier shall not be entitled to object to, or increase the Charges as a result of such changes, provided that:</w:t>
      </w:r>
    </w:p>
    <w:p w:rsidR="00000000" w:rsidDel="00000000" w:rsidP="00000000" w:rsidRDefault="00000000" w:rsidRPr="00000000" w14:paraId="00000037">
      <w:pPr>
        <w:numPr>
          <w:ilvl w:val="2"/>
          <w:numId w:val="2"/>
        </w:numPr>
        <w:pBdr>
          <w:top w:space="0" w:sz="0" w:val="nil"/>
          <w:left w:space="0" w:sz="0" w:val="nil"/>
          <w:bottom w:space="0" w:sz="0" w:val="nil"/>
          <w:right w:space="0" w:sz="0" w:val="nil"/>
          <w:between w:space="0" w:sz="0" w:val="nil"/>
        </w:pBdr>
        <w:spacing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total number of KPIs applicable at the Start Date does not change; </w:t>
      </w:r>
    </w:p>
    <w:p w:rsidR="00000000" w:rsidDel="00000000" w:rsidP="00000000" w:rsidRDefault="00000000" w:rsidRPr="00000000" w14:paraId="00000038">
      <w:pPr>
        <w:numPr>
          <w:ilvl w:val="2"/>
          <w:numId w:val="2"/>
        </w:numPr>
        <w:pBdr>
          <w:top w:space="0" w:sz="0" w:val="nil"/>
          <w:left w:space="0" w:sz="0" w:val="nil"/>
          <w:bottom w:space="0" w:sz="0" w:val="nil"/>
          <w:right w:space="0" w:sz="0" w:val="nil"/>
          <w:between w:space="0" w:sz="0" w:val="nil"/>
        </w:pBdr>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principal purpose of the change is to reflect changes in the Buyer's business requirements and/or priorities or to reflect changing industry standards; and</w:t>
      </w:r>
    </w:p>
    <w:p w:rsidR="00000000" w:rsidDel="00000000" w:rsidP="00000000" w:rsidRDefault="00000000" w:rsidRPr="00000000" w14:paraId="00000039">
      <w:pPr>
        <w:numPr>
          <w:ilvl w:val="2"/>
          <w:numId w:val="2"/>
        </w:numPr>
        <w:pBdr>
          <w:top w:space="0" w:sz="0" w:val="nil"/>
          <w:left w:space="0" w:sz="0" w:val="nil"/>
          <w:bottom w:space="0" w:sz="0" w:val="nil"/>
          <w:right w:space="0" w:sz="0" w:val="nil"/>
          <w:between w:space="0" w:sz="0" w:val="nil"/>
        </w:pBdr>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there is no change to the At Risk Amount;</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120" w:lineRule="auto"/>
        <w:ind w:left="144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there shall be no increase to the Charges as a result of such changes.</w:t>
      </w:r>
    </w:p>
    <w:p w:rsidR="00000000" w:rsidDel="00000000" w:rsidP="00000000" w:rsidRDefault="00000000" w:rsidRPr="00000000" w14:paraId="0000003B">
      <w:pPr>
        <w:numPr>
          <w:ilvl w:val="1"/>
          <w:numId w:val="2"/>
        </w:numPr>
        <w:pBdr>
          <w:top w:space="0" w:sz="0" w:val="nil"/>
          <w:left w:space="0" w:sz="0" w:val="nil"/>
          <w:bottom w:space="0" w:sz="0" w:val="nil"/>
          <w:right w:space="0" w:sz="0" w:val="nil"/>
          <w:between w:space="0" w:sz="0" w:val="nil"/>
        </w:pBdr>
        <w:spacing w:after="120" w:before="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Where the Buyer makes any changes to </w:t>
      </w:r>
      <w:r w:rsidDel="00000000" w:rsidR="00000000" w:rsidRPr="00000000">
        <w:rPr>
          <w:rFonts w:ascii="Arial" w:cs="Arial" w:eastAsia="Arial" w:hAnsi="Arial"/>
          <w:sz w:val="24"/>
          <w:szCs w:val="24"/>
          <w:rtl w:val="0"/>
        </w:rPr>
        <w:t xml:space="preserve">the KPI Performance Measures,</w:t>
      </w:r>
      <w:r w:rsidDel="00000000" w:rsidR="00000000" w:rsidRPr="00000000">
        <w:rPr>
          <w:rFonts w:ascii="Arial" w:cs="Arial" w:eastAsia="Arial" w:hAnsi="Arial"/>
          <w:color w:val="000000"/>
          <w:sz w:val="24"/>
          <w:szCs w:val="24"/>
          <w:rtl w:val="0"/>
        </w:rPr>
        <w:t xml:space="preserve"> other than those in paragraph 2.5 above, the variation process in clause 27 of the General Terms</w:t>
      </w:r>
      <w:r w:rsidDel="00000000" w:rsidR="00000000" w:rsidRPr="00000000">
        <w:rPr>
          <w:rFonts w:ascii="Arial" w:cs="Arial" w:eastAsia="Arial" w:hAnsi="Arial"/>
          <w:i w:val="1"/>
          <w:iCs w:val="1"/>
          <w:color w:val="000000"/>
          <w:sz w:val="24"/>
          <w:szCs w:val="24"/>
          <w:rtl w:val="0"/>
        </w:rPr>
        <w:t xml:space="preserve"> (Changing the contract) </w:t>
      </w:r>
      <w:r w:rsidDel="00000000" w:rsidR="00000000" w:rsidRPr="00000000">
        <w:rPr>
          <w:rFonts w:ascii="Arial" w:cs="Arial" w:eastAsia="Arial" w:hAnsi="Arial"/>
          <w:color w:val="000000"/>
          <w:sz w:val="24"/>
          <w:szCs w:val="24"/>
          <w:rtl w:val="0"/>
        </w:rPr>
        <w:t xml:space="preserve">will apply.</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tabs>
          <w:tab w:val="left" w:leader="none" w:pos="142"/>
        </w:tabs>
        <w:spacing w:after="120" w:before="240" w:lineRule="auto"/>
        <w:ind w:left="720" w:hanging="720"/>
        <w:rPr>
          <w:rFonts w:ascii="Arial" w:cs="Arial" w:eastAsia="Arial" w:hAnsi="Arial"/>
          <w:b w:val="1"/>
          <w:bCs w:val="1"/>
          <w:color w:val="000000"/>
          <w:sz w:val="24"/>
          <w:szCs w:val="24"/>
        </w:rPr>
      </w:pPr>
      <w:r w:rsidDel="00000000" w:rsidR="00000000" w:rsidRPr="00000000">
        <w:rPr>
          <w:rFonts w:ascii="Arial" w:cs="Arial" w:eastAsia="Arial" w:hAnsi="Arial"/>
          <w:b w:val="1"/>
          <w:bCs w:val="1"/>
          <w:sz w:val="24"/>
          <w:szCs w:val="24"/>
          <w:rtl w:val="0"/>
        </w:rPr>
        <w:t xml:space="preserve">Persistent</w:t>
      </w:r>
      <w:r w:rsidDel="00000000" w:rsidR="00000000" w:rsidRPr="00000000">
        <w:rPr>
          <w:rFonts w:ascii="Arial" w:cs="Arial" w:eastAsia="Arial" w:hAnsi="Arial"/>
          <w:b w:val="1"/>
          <w:bCs w:val="1"/>
          <w:color w:val="000000"/>
          <w:sz w:val="24"/>
          <w:szCs w:val="24"/>
          <w:rtl w:val="0"/>
        </w:rPr>
        <w:t xml:space="preserve"> KPI Failure</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20" w:before="120" w:lineRule="auto"/>
        <w:ind w:left="936" w:hanging="576"/>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On the occurrence of a </w:t>
      </w:r>
      <w:r w:rsidDel="00000000" w:rsidR="00000000" w:rsidRPr="00000000">
        <w:rPr>
          <w:rFonts w:ascii="Arial" w:cs="Arial" w:eastAsia="Arial" w:hAnsi="Arial"/>
          <w:sz w:val="24"/>
          <w:szCs w:val="24"/>
          <w:rtl w:val="0"/>
        </w:rPr>
        <w:t xml:space="preserve">Persistent</w:t>
      </w:r>
      <w:r w:rsidDel="00000000" w:rsidR="00000000" w:rsidRPr="00000000">
        <w:rPr>
          <w:rFonts w:ascii="Arial" w:cs="Arial" w:eastAsia="Arial" w:hAnsi="Arial"/>
          <w:color w:val="000000"/>
          <w:sz w:val="24"/>
          <w:szCs w:val="24"/>
          <w:rtl w:val="0"/>
        </w:rPr>
        <w:t xml:space="preserve"> KPI Failure:</w:t>
      </w:r>
    </w:p>
    <w:p w:rsidR="00000000" w:rsidDel="00000000" w:rsidP="00000000" w:rsidRDefault="00000000" w:rsidRPr="00000000" w14:paraId="0000003E">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any KPI Credits are not applicable against KPIs for Service Periods where that KPI is a Persistent KPI Failure; and</w:t>
      </w:r>
    </w:p>
    <w:p w:rsidR="00000000" w:rsidDel="00000000" w:rsidP="00000000" w:rsidRDefault="00000000" w:rsidRPr="00000000" w14:paraId="0000003F">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shall be entitled to withhold and retain as compensation a sum equal to any Charges relating to the Persistent KPI Failure which would otherwise have been due to the Supplier in respect of that Service Period ("</w:t>
      </w:r>
      <w:r w:rsidDel="00000000" w:rsidR="00000000" w:rsidRPr="00000000">
        <w:rPr>
          <w:rFonts w:ascii="Arial" w:cs="Arial" w:eastAsia="Arial" w:hAnsi="Arial"/>
          <w:b w:val="1"/>
          <w:bCs w:val="1"/>
          <w:color w:val="000000"/>
          <w:sz w:val="24"/>
          <w:szCs w:val="24"/>
          <w:rtl w:val="0"/>
        </w:rPr>
        <w:t xml:space="preserve">Compensation for Persistent KPI Failure</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120" w:before="120" w:lineRule="auto"/>
        <w:ind w:left="1440" w:firstLine="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provided that the operation of this paragraph 3 shall be without prejudice to the right of the Buyer to terminate this Contract and/or to claim damages from the Supplier for Material Default.</w:t>
      </w:r>
    </w:p>
    <w:p w:rsidR="00000000" w:rsidDel="00000000" w:rsidP="00000000" w:rsidRDefault="00000000" w:rsidRPr="00000000" w14:paraId="00000041">
      <w:pPr>
        <w:numPr>
          <w:ilvl w:val="1"/>
          <w:numId w:val="2"/>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is only entitled to withhold sums equal to any Charges pursuant to clause 3.2 in relation to KPIs that relate to the Impacted Services. Sums equal to the Charges may only be withheld from the date a KPI is determined to be a Persistent KPI Failure. </w:t>
      </w:r>
    </w:p>
    <w:p w:rsidR="00000000" w:rsidDel="00000000" w:rsidP="00000000" w:rsidRDefault="00000000" w:rsidRPr="00000000" w14:paraId="00000042">
      <w:pPr>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3">
      <w:pPr>
        <w:keepNext w:val="1"/>
        <w:pBdr>
          <w:top w:space="0" w:sz="0" w:val="nil"/>
          <w:left w:space="0" w:sz="0" w:val="nil"/>
          <w:bottom w:space="0" w:sz="0" w:val="nil"/>
          <w:right w:space="0" w:sz="0" w:val="nil"/>
          <w:between w:space="0" w:sz="0" w:val="nil"/>
        </w:pBdr>
        <w:spacing w:after="240" w:lineRule="auto"/>
        <w:rPr>
          <w:rFonts w:ascii="Arial" w:cs="Arial" w:eastAsia="Arial" w:hAnsi="Arial"/>
          <w:b w:val="1"/>
          <w:bCs w:val="1"/>
          <w:color w:val="000000"/>
          <w:sz w:val="36"/>
          <w:szCs w:val="36"/>
        </w:rPr>
      </w:pPr>
      <w:bookmarkStart w:colFirst="0" w:colLast="0" w:name="_heading=h.1fob9te" w:id="4"/>
      <w:bookmarkEnd w:id="4"/>
      <w:r w:rsidDel="00000000" w:rsidR="00000000" w:rsidRPr="00000000">
        <w:rPr>
          <w:rFonts w:ascii="Arial" w:cs="Arial" w:eastAsia="Arial" w:hAnsi="Arial"/>
          <w:b w:val="1"/>
          <w:bCs w:val="1"/>
          <w:color w:val="000000"/>
          <w:sz w:val="36"/>
          <w:szCs w:val="36"/>
          <w:rtl w:val="0"/>
        </w:rPr>
        <w:t xml:space="preserve">Part A: KPIs and KPI Credits </w:t>
      </w:r>
    </w:p>
    <w:p w:rsidR="00000000" w:rsidDel="00000000" w:rsidP="00000000" w:rsidRDefault="00000000" w:rsidRPr="00000000" w14:paraId="00000044">
      <w:pPr>
        <w:numPr>
          <w:ilvl w:val="0"/>
          <w:numId w:val="4"/>
        </w:numPr>
        <w:pBdr>
          <w:top w:space="0" w:sz="0" w:val="nil"/>
          <w:left w:space="0" w:sz="0" w:val="nil"/>
          <w:bottom w:space="0" w:sz="0" w:val="nil"/>
          <w:right w:space="0" w:sz="0" w:val="nil"/>
          <w:between w:space="0" w:sz="0" w:val="nil"/>
        </w:pBdr>
        <w:tabs>
          <w:tab w:val="left" w:leader="none" w:pos="142"/>
        </w:tabs>
        <w:spacing w:after="120" w:before="240" w:lineRule="auto"/>
        <w:ind w:left="720" w:hanging="72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KPIs</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120" w:before="120" w:lineRule="auto"/>
        <w:ind w:left="720" w:hanging="576"/>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the level of performance of the Supplier:</w:t>
      </w:r>
    </w:p>
    <w:p w:rsidR="00000000" w:rsidDel="00000000" w:rsidP="00000000" w:rsidRDefault="00000000" w:rsidRPr="00000000" w14:paraId="00000046">
      <w:pPr>
        <w:numPr>
          <w:ilvl w:val="1"/>
          <w:numId w:val="4"/>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is likely to or fails to meet any KPI Performance Measure; or</w:t>
      </w:r>
    </w:p>
    <w:p w:rsidR="00000000" w:rsidDel="00000000" w:rsidP="00000000" w:rsidRDefault="00000000" w:rsidRPr="00000000" w14:paraId="00000047">
      <w:pPr>
        <w:numPr>
          <w:ilvl w:val="1"/>
          <w:numId w:val="4"/>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is likely to cause or causes </w:t>
      </w:r>
      <w:r w:rsidDel="00000000" w:rsidR="00000000" w:rsidRPr="00000000">
        <w:rPr>
          <w:rFonts w:ascii="Arial" w:cs="Arial" w:eastAsia="Arial" w:hAnsi="Arial"/>
          <w:sz w:val="24"/>
          <w:szCs w:val="24"/>
          <w:rtl w:val="0"/>
        </w:rPr>
        <w:t xml:space="preserve">a Persistent KPI Failure to</w:t>
      </w:r>
      <w:r w:rsidDel="00000000" w:rsidR="00000000" w:rsidRPr="00000000">
        <w:rPr>
          <w:rFonts w:ascii="Arial" w:cs="Arial" w:eastAsia="Arial" w:hAnsi="Arial"/>
          <w:color w:val="000000"/>
          <w:sz w:val="24"/>
          <w:szCs w:val="24"/>
          <w:rtl w:val="0"/>
        </w:rPr>
        <w:t xml:space="preserve"> occur, </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120" w:before="120" w:lineRule="auto"/>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immediately notify the Buyer in writing and the Buyer, in its absolute discretion and without limiting any other of its rights, may:</w:t>
      </w:r>
    </w:p>
    <w:p w:rsidR="00000000" w:rsidDel="00000000" w:rsidP="00000000" w:rsidRDefault="00000000" w:rsidRPr="00000000" w14:paraId="00000049">
      <w:pPr>
        <w:numPr>
          <w:ilvl w:val="2"/>
          <w:numId w:val="5"/>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require the Supplier to immediately take all preventative and/or remedial action that is reasonable to mitigate the impact on the Buyer and to rectify or prevent a KPI Failure or Persistent KPI Failure from taking place or recurring; </w:t>
      </w:r>
    </w:p>
    <w:p w:rsidR="00000000" w:rsidDel="00000000" w:rsidP="00000000" w:rsidRDefault="00000000" w:rsidRPr="00000000" w14:paraId="0000004A">
      <w:pPr>
        <w:numPr>
          <w:ilvl w:val="2"/>
          <w:numId w:val="5"/>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instruct the Supplier to comply with the Rectification Plan Process; </w:t>
      </w:r>
    </w:p>
    <w:p w:rsidR="00000000" w:rsidDel="00000000" w:rsidP="00000000" w:rsidRDefault="00000000" w:rsidRPr="00000000" w14:paraId="0000004B">
      <w:pPr>
        <w:numPr>
          <w:ilvl w:val="2"/>
          <w:numId w:val="5"/>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a KPI Failure has occurred, deduct the applicable KPI Credits payable by the Supplier to the Buyer; and/or</w:t>
      </w:r>
    </w:p>
    <w:p w:rsidR="00000000" w:rsidDel="00000000" w:rsidP="00000000" w:rsidRDefault="00000000" w:rsidRPr="00000000" w14:paraId="0000004C">
      <w:pPr>
        <w:numPr>
          <w:ilvl w:val="2"/>
          <w:numId w:val="5"/>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a Persistent KPI Failure has occurred, exercise its right to Compensation for Persistent KPI Failure (including the right to terminate for Material Default).</w:t>
      </w:r>
    </w:p>
    <w:p w:rsidR="00000000" w:rsidDel="00000000" w:rsidP="00000000" w:rsidRDefault="00000000" w:rsidRPr="00000000" w14:paraId="0000004D">
      <w:pPr>
        <w:numPr>
          <w:ilvl w:val="0"/>
          <w:numId w:val="4"/>
        </w:numPr>
        <w:pBdr>
          <w:top w:space="0" w:sz="0" w:val="nil"/>
          <w:left w:space="0" w:sz="0" w:val="nil"/>
          <w:bottom w:space="0" w:sz="0" w:val="nil"/>
          <w:right w:space="0" w:sz="0" w:val="nil"/>
          <w:between w:space="0" w:sz="0" w:val="nil"/>
        </w:pBdr>
        <w:tabs>
          <w:tab w:val="left" w:leader="none" w:pos="142"/>
        </w:tabs>
        <w:spacing w:after="120" w:before="240" w:lineRule="auto"/>
        <w:ind w:left="720" w:hanging="72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KPI Credits</w:t>
      </w:r>
    </w:p>
    <w:p w:rsidR="00000000" w:rsidDel="00000000" w:rsidP="00000000" w:rsidRDefault="00000000" w:rsidRPr="00000000" w14:paraId="0000004E">
      <w:pPr>
        <w:numPr>
          <w:ilvl w:val="1"/>
          <w:numId w:val="4"/>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shall use the Performance Monitoring Reports supplied by the Supplier to verify the calculation and accuracy of the KPI Credits, if any, applicable to each Service Period.</w:t>
      </w:r>
    </w:p>
    <w:p w:rsidR="00000000" w:rsidDel="00000000" w:rsidP="00000000" w:rsidRDefault="00000000" w:rsidRPr="00000000" w14:paraId="0000004F">
      <w:pPr>
        <w:numPr>
          <w:ilvl w:val="1"/>
          <w:numId w:val="4"/>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sz w:val="24"/>
          <w:szCs w:val="24"/>
        </w:rPr>
      </w:pPr>
      <w:r w:rsidDel="00000000" w:rsidR="00000000" w:rsidRPr="00000000">
        <w:rPr>
          <w:rFonts w:ascii="Arial" w:cs="Arial" w:eastAsia="Arial" w:hAnsi="Arial"/>
          <w:color w:val="000000"/>
          <w:sz w:val="24"/>
          <w:szCs w:val="24"/>
          <w:rtl w:val="0"/>
        </w:rPr>
        <w:t xml:space="preserve">KPI Credits are a reduction of the amounts payable in respect of the Deliverables and do not include VAT. The Supplier shall </w:t>
      </w:r>
      <w:r w:rsidDel="00000000" w:rsidR="00000000" w:rsidRPr="00000000">
        <w:rPr>
          <w:rFonts w:ascii="Arial" w:cs="Arial" w:eastAsia="Arial" w:hAnsi="Arial"/>
          <w:sz w:val="24"/>
          <w:szCs w:val="24"/>
          <w:rtl w:val="0"/>
        </w:rPr>
        <w:t xml:space="preserve">off set</w:t>
      </w:r>
      <w:r w:rsidDel="00000000" w:rsidR="00000000" w:rsidRPr="00000000">
        <w:rPr>
          <w:rFonts w:ascii="Arial" w:cs="Arial" w:eastAsia="Arial" w:hAnsi="Arial"/>
          <w:color w:val="000000"/>
          <w:sz w:val="24"/>
          <w:szCs w:val="24"/>
          <w:rtl w:val="0"/>
        </w:rPr>
        <w:t xml:space="preserve"> the value of any KPI Credits against the appropriate invoice in accordance with </w:t>
      </w:r>
      <w:r w:rsidDel="00000000" w:rsidR="00000000" w:rsidRPr="00000000">
        <w:rPr>
          <w:rFonts w:ascii="Arial" w:cs="Arial" w:eastAsia="Arial" w:hAnsi="Arial"/>
          <w:sz w:val="24"/>
          <w:szCs w:val="24"/>
          <w:rtl w:val="0"/>
        </w:rPr>
        <w:t xml:space="preserve">the relevant </w:t>
      </w:r>
      <w:r w:rsidDel="00000000" w:rsidR="00000000" w:rsidRPr="00000000">
        <w:rPr>
          <w:rFonts w:ascii="Arial" w:cs="Arial" w:eastAsia="Arial" w:hAnsi="Arial"/>
          <w:color w:val="000000"/>
          <w:sz w:val="24"/>
          <w:szCs w:val="24"/>
          <w:rtl w:val="0"/>
        </w:rPr>
        <w:t xml:space="preserve">calculation formula below</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50">
      <w:pPr>
        <w:numPr>
          <w:ilvl w:val="0"/>
          <w:numId w:val="4"/>
        </w:numPr>
        <w:pBdr>
          <w:top w:space="0" w:sz="0" w:val="nil"/>
          <w:left w:space="0" w:sz="0" w:val="nil"/>
          <w:bottom w:space="0" w:sz="0" w:val="nil"/>
          <w:right w:space="0" w:sz="0" w:val="nil"/>
          <w:between w:space="0" w:sz="0" w:val="nil"/>
        </w:pBdr>
        <w:spacing w:after="240" w:lineRule="auto"/>
        <w:ind w:left="720" w:hanging="720"/>
        <w:jc w:val="both"/>
        <w:rPr>
          <w:rFonts w:ascii="Arial" w:cs="Arial" w:eastAsia="Arial" w:hAnsi="Arial"/>
          <w:color w:val="000000"/>
        </w:rPr>
      </w:pPr>
      <w:bookmarkStart w:colFirst="0" w:colLast="0" w:name="_heading=h.17dp8vu" w:id="5"/>
      <w:bookmarkEnd w:id="5"/>
      <w:r w:rsidDel="00000000" w:rsidR="00000000" w:rsidRPr="00000000">
        <w:rPr>
          <w:rFonts w:ascii="Arial" w:cs="Arial" w:eastAsia="Arial" w:hAnsi="Arial"/>
          <w:b w:val="1"/>
          <w:bCs w:val="1"/>
          <w:sz w:val="24"/>
          <w:szCs w:val="24"/>
          <w:rtl w:val="0"/>
        </w:rPr>
        <w:t xml:space="preserve">At Risk Amount Calculation</w:t>
      </w:r>
      <w:r w:rsidDel="00000000" w:rsidR="00000000" w:rsidRPr="00000000">
        <w:rPr>
          <w:rtl w:val="0"/>
        </w:rPr>
      </w:r>
    </w:p>
    <w:p w:rsidR="00000000" w:rsidDel="00000000" w:rsidP="00000000" w:rsidRDefault="00000000" w:rsidRPr="00000000" w14:paraId="00000051">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bookmarkStart w:colFirst="0" w:colLast="0" w:name="_heading=h.3rdcrjn" w:id="6"/>
      <w:bookmarkEnd w:id="6"/>
      <w:r w:rsidDel="00000000" w:rsidR="00000000" w:rsidRPr="00000000">
        <w:rPr>
          <w:rFonts w:ascii="Arial" w:cs="Arial" w:eastAsia="Arial" w:hAnsi="Arial"/>
          <w:color w:val="000000"/>
          <w:sz w:val="24"/>
          <w:szCs w:val="24"/>
          <w:rtl w:val="0"/>
        </w:rPr>
        <w:t xml:space="preserve">At Risk Amount</w:t>
      </w:r>
    </w:p>
    <w:p w:rsidR="00000000" w:rsidDel="00000000" w:rsidP="00000000" w:rsidRDefault="00000000" w:rsidRPr="00000000" w14:paraId="00000052">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bookmarkStart w:colFirst="0" w:colLast="0" w:name="_heading=h.26in1rg" w:id="7"/>
      <w:bookmarkEnd w:id="7"/>
      <w:r w:rsidDel="00000000" w:rsidR="00000000" w:rsidRPr="00000000">
        <w:rPr>
          <w:rFonts w:ascii="Arial" w:cs="Arial" w:eastAsia="Arial" w:hAnsi="Arial"/>
          <w:color w:val="000000"/>
          <w:sz w:val="24"/>
          <w:szCs w:val="24"/>
          <w:rtl w:val="0"/>
        </w:rPr>
        <w:t xml:space="preserve">For a Service Period, the At Risk Amount shall be calculated in accordance with Table 2, of the KPI Credits tab of the </w:t>
      </w:r>
      <w:r w:rsidDel="00000000" w:rsidR="00000000" w:rsidRPr="00000000">
        <w:rPr>
          <w:rFonts w:ascii="Arial" w:cs="Arial" w:eastAsia="Arial" w:hAnsi="Arial"/>
          <w:color w:val="222222"/>
          <w:sz w:val="24"/>
          <w:szCs w:val="24"/>
          <w:highlight w:val="white"/>
          <w:rtl w:val="0"/>
        </w:rPr>
        <w:t xml:space="preserve">KPI Model</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53">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bookmarkStart w:colFirst="0" w:colLast="0" w:name="_heading=h.lnxbz9" w:id="8"/>
      <w:bookmarkEnd w:id="8"/>
      <w:r w:rsidDel="00000000" w:rsidR="00000000" w:rsidRPr="00000000">
        <w:rPr>
          <w:rFonts w:ascii="Arial" w:cs="Arial" w:eastAsia="Arial" w:hAnsi="Arial"/>
          <w:color w:val="000000"/>
          <w:sz w:val="24"/>
          <w:szCs w:val="24"/>
          <w:rtl w:val="0"/>
        </w:rPr>
        <w:t xml:space="preserve">KPI At Risk Amount </w:t>
      </w:r>
    </w:p>
    <w:p w:rsidR="00000000" w:rsidDel="00000000" w:rsidP="00000000" w:rsidRDefault="00000000" w:rsidRPr="00000000" w14:paraId="00000054">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KPI At Risk Amount shall be calculated as follows: for each KPI, the At Risk Amount shall be apportioned to it in accordance with the KPI Weightings in the column headed KPI Weighting in the KPI Table 1 of the KPI Performance Measures tab of the KPI Model.</w:t>
      </w:r>
    </w:p>
    <w:p w:rsidR="00000000" w:rsidDel="00000000" w:rsidP="00000000" w:rsidRDefault="00000000" w:rsidRPr="00000000" w14:paraId="00000055">
      <w:pPr>
        <w:numPr>
          <w:ilvl w:val="0"/>
          <w:numId w:val="4"/>
        </w:numPr>
        <w:pBdr>
          <w:top w:space="0" w:sz="0" w:val="nil"/>
          <w:left w:space="0" w:sz="0" w:val="nil"/>
          <w:bottom w:space="0" w:sz="0" w:val="nil"/>
          <w:right w:space="0" w:sz="0" w:val="nil"/>
          <w:between w:space="0" w:sz="0" w:val="nil"/>
        </w:pBdr>
        <w:spacing w:after="240" w:lineRule="auto"/>
        <w:ind w:left="720" w:hanging="720"/>
        <w:jc w:val="both"/>
        <w:rPr>
          <w:rFonts w:ascii="Arial" w:cs="Arial" w:eastAsia="Arial" w:hAnsi="Arial"/>
          <w:color w:val="000000"/>
        </w:rPr>
      </w:pPr>
      <w:bookmarkStart w:colFirst="0" w:colLast="0" w:name="_heading=h.1ksv4uv" w:id="9"/>
      <w:bookmarkEnd w:id="9"/>
      <w:r w:rsidDel="00000000" w:rsidR="00000000" w:rsidRPr="00000000">
        <w:rPr>
          <w:rFonts w:ascii="Arial" w:cs="Arial" w:eastAsia="Arial" w:hAnsi="Arial"/>
          <w:b w:val="1"/>
          <w:bCs w:val="1"/>
          <w:color w:val="000000"/>
          <w:rtl w:val="0"/>
        </w:rPr>
        <w:t xml:space="preserve">KPI Credit Ratchet</w:t>
      </w:r>
      <w:r w:rsidDel="00000000" w:rsidR="00000000" w:rsidRPr="00000000">
        <w:rPr>
          <w:rtl w:val="0"/>
        </w:rPr>
      </w:r>
    </w:p>
    <w:p w:rsidR="00000000" w:rsidDel="00000000" w:rsidP="00000000" w:rsidRDefault="00000000" w:rsidRPr="00000000" w14:paraId="00000056">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bookmarkStart w:colFirst="0" w:colLast="0" w:name="_heading=h.44sinio" w:id="10"/>
      <w:bookmarkEnd w:id="10"/>
      <w:r w:rsidDel="00000000" w:rsidR="00000000" w:rsidRPr="00000000">
        <w:rPr>
          <w:rFonts w:ascii="Arial" w:cs="Arial" w:eastAsia="Arial" w:hAnsi="Arial"/>
          <w:color w:val="000000"/>
          <w:sz w:val="24"/>
          <w:szCs w:val="24"/>
          <w:rtl w:val="0"/>
        </w:rPr>
        <w:t xml:space="preserve">A ratchet will apply to the calculation of KPI Credits for frequent and repeated individual KPI Failures (</w:t>
      </w:r>
      <w:r w:rsidDel="00000000" w:rsidR="00000000" w:rsidRPr="00000000">
        <w:rPr>
          <w:rFonts w:ascii="Arial" w:cs="Arial" w:eastAsia="Arial" w:hAnsi="Arial"/>
          <w:b w:val="1"/>
          <w:bCs w:val="1"/>
          <w:color w:val="000000"/>
          <w:sz w:val="24"/>
          <w:szCs w:val="24"/>
          <w:rtl w:val="0"/>
        </w:rPr>
        <w:t xml:space="preserve">"Ratchet"</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57">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Ratchet will be applied to the calculation of individual  KPI Credits if one or both of the following circumstances occur:</w:t>
      </w:r>
    </w:p>
    <w:p w:rsidR="00000000" w:rsidDel="00000000" w:rsidP="00000000" w:rsidRDefault="00000000" w:rsidRPr="00000000" w14:paraId="00000058">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KPI Failures occur in relation to any one or more of the same individual KPIs in consecutive Service Periods; and</w:t>
      </w:r>
    </w:p>
    <w:p w:rsidR="00000000" w:rsidDel="00000000" w:rsidP="00000000" w:rsidRDefault="00000000" w:rsidRPr="00000000" w14:paraId="00000059">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KPI Failures occur in relation to the same individual KPI in any four (4) or more of the immediately preceding twelve (12) Service Periods.</w:t>
      </w:r>
    </w:p>
    <w:p w:rsidR="00000000" w:rsidDel="00000000" w:rsidP="00000000" w:rsidRDefault="00000000" w:rsidRPr="00000000" w14:paraId="0000005A">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value of the Ratchet and when it is to be applied pursuant to Paragraph 4.2, </w:t>
      </w:r>
      <w:r w:rsidDel="00000000" w:rsidR="00000000" w:rsidRPr="00000000">
        <w:rPr>
          <w:rFonts w:ascii="Arial" w:cs="Arial" w:eastAsia="Arial" w:hAnsi="Arial"/>
          <w:color w:val="222222"/>
          <w:sz w:val="24"/>
          <w:szCs w:val="24"/>
          <w:highlight w:val="white"/>
          <w:rtl w:val="0"/>
        </w:rPr>
        <w:t xml:space="preserve">is set out in the KPI Credits tab of the KPI Model</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5B">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When the Ratchet is to be applied, the relevant individual KPI Credit shall be the number of individual KPI Credits that would normally accrue for an initial individual KPI Failure multiplied by the value of the Ratchet, for example:</w:t>
      </w:r>
    </w:p>
    <w:p w:rsidR="00000000" w:rsidDel="00000000" w:rsidP="00000000" w:rsidRDefault="00000000" w:rsidRPr="00000000" w14:paraId="0000005C">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a KPI Failure in respect of any one or more individual KPIs occurs in two (2) consecutive Service Periods, the individual KPI Credits for each of the KPI Failures in the second of such Service Periods will be 1.5 times the individual KPI Credit that would have been applicable to them for an initial KPI Failure (refer to table 1 in 4.4.3); and</w:t>
      </w:r>
    </w:p>
    <w:p w:rsidR="00000000" w:rsidDel="00000000" w:rsidP="00000000" w:rsidRDefault="00000000" w:rsidRPr="00000000" w14:paraId="0000005D">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a KPI Failure in respect of any one or more indi</w:t>
      </w:r>
      <w:r w:rsidDel="00000000" w:rsidR="00000000" w:rsidRPr="00000000">
        <w:rPr>
          <w:rFonts w:ascii="Arial" w:cs="Arial" w:eastAsia="Arial" w:hAnsi="Arial"/>
          <w:sz w:val="24"/>
          <w:szCs w:val="24"/>
          <w:rtl w:val="0"/>
        </w:rPr>
        <w:t xml:space="preserve">vidual </w:t>
      </w:r>
      <w:r w:rsidDel="00000000" w:rsidR="00000000" w:rsidRPr="00000000">
        <w:rPr>
          <w:rFonts w:ascii="Arial" w:cs="Arial" w:eastAsia="Arial" w:hAnsi="Arial"/>
          <w:color w:val="000000"/>
          <w:sz w:val="24"/>
          <w:szCs w:val="24"/>
          <w:rtl w:val="0"/>
        </w:rPr>
        <w:t xml:space="preserve">KPIs in any four (4) Service Periods in the immediately preceding twelve (12) Service Periods, the individual KPI Credits for each of the KPI Failures in that fourth Service Period will be 1.75 times the individual KPI Credit that would have been applicable to them for an initial KPI Failure (refer to table 1 in 4.4.3).</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144"/>
        </w:tabs>
        <w:spacing w:after="12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144"/>
        </w:tabs>
        <w:spacing w:after="12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144"/>
        </w:tabs>
        <w:spacing w:after="12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144"/>
        </w:tabs>
        <w:spacing w:after="12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144"/>
        </w:tabs>
        <w:spacing w:after="120" w:lineRule="auto"/>
        <w:jc w:val="both"/>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63">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Illustration of Ratchets to be applied in table form;</w:t>
      </w:r>
    </w:p>
    <w:tbl>
      <w:tblPr>
        <w:tblStyle w:val="Table2"/>
        <w:tblW w:w="7653.0" w:type="dxa"/>
        <w:jc w:val="left"/>
        <w:tblInd w:w="14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0"/>
        <w:gridCol w:w="1843"/>
        <w:gridCol w:w="1842"/>
        <w:gridCol w:w="2268"/>
        <w:tblGridChange w:id="0">
          <w:tblGrid>
            <w:gridCol w:w="1700"/>
            <w:gridCol w:w="1843"/>
            <w:gridCol w:w="1842"/>
            <w:gridCol w:w="2268"/>
          </w:tblGrid>
        </w:tblGridChange>
      </w:tblGrid>
      <w:tr>
        <w:trPr>
          <w:cantSplit w:val="0"/>
          <w:trHeight w:val="840" w:hRule="atLeast"/>
          <w:tblHeader w:val="0"/>
        </w:trPr>
        <w:tc>
          <w:tcPr>
            <w:tcBorders>
              <w:top w:color="000000" w:space="0" w:sz="8"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64">
            <w:pPr>
              <w:spacing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Table 1: RATCHET OPTIONS</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5">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Ratchet Value</w:t>
            </w:r>
          </w:p>
        </w:tc>
        <w:tc>
          <w:tcPr>
            <w:tcBorders>
              <w:top w:color="000000" w:space="0" w:sz="8"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6">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Consecutive Failure</w:t>
            </w:r>
          </w:p>
        </w:tc>
        <w:tc>
          <w:tcPr>
            <w:tcBorders>
              <w:top w:color="000000" w:space="0" w:sz="8"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67">
            <w:pPr>
              <w:spacing w:line="276"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Failure over a 12 Month Rolling Period</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68">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Default</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9">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A">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 </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6B">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 </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6C">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Ratchet 1</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6D">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6E">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6F">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3</w:t>
            </w:r>
          </w:p>
        </w:tc>
      </w:tr>
      <w:tr>
        <w:trPr>
          <w:cantSplit w:val="0"/>
          <w:trHeight w:val="255" w:hRule="atLeast"/>
          <w:tblHeader w:val="0"/>
        </w:trPr>
        <w:tc>
          <w:tcPr>
            <w:tcBorders>
              <w:top w:color="000000" w:space="0" w:sz="0" w:val="nil"/>
              <w:left w:color="000000" w:space="0" w:sz="8" w:val="single"/>
              <w:bottom w:color="000000" w:space="0" w:sz="4" w:val="single"/>
              <w:right w:color="000000" w:space="0" w:sz="4" w:val="single"/>
            </w:tcBorders>
            <w:vAlign w:val="center"/>
          </w:tcPr>
          <w:p w:rsidR="00000000" w:rsidDel="00000000" w:rsidP="00000000" w:rsidRDefault="00000000" w:rsidRPr="00000000" w14:paraId="00000070">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Ratchet 2</w:t>
            </w:r>
          </w:p>
        </w:tc>
        <w:tc>
          <w:tcPr>
            <w:tcBorders>
              <w:top w:color="000000" w:space="0" w:sz="0" w:val="nil"/>
              <w:left w:color="000000" w:space="0" w:sz="0" w:val="nil"/>
              <w:bottom w:color="000000" w:space="0" w:sz="4" w:val="single"/>
              <w:right w:color="000000" w:space="0" w:sz="4" w:val="single"/>
            </w:tcBorders>
            <w:vAlign w:val="center"/>
          </w:tcPr>
          <w:p w:rsidR="00000000" w:rsidDel="00000000" w:rsidP="00000000" w:rsidRDefault="00000000" w:rsidRPr="00000000" w14:paraId="00000071">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1.75</w:t>
            </w:r>
          </w:p>
        </w:tc>
        <w:tc>
          <w:tcPr>
            <w:tcBorders>
              <w:top w:color="000000" w:space="0" w:sz="4" w:val="single"/>
              <w:left w:color="000000" w:space="0" w:sz="0" w:val="nil"/>
              <w:bottom w:color="000000" w:space="0" w:sz="4" w:val="single"/>
              <w:right w:color="000000" w:space="0" w:sz="4" w:val="single"/>
            </w:tcBorders>
            <w:vAlign w:val="center"/>
          </w:tcPr>
          <w:p w:rsidR="00000000" w:rsidDel="00000000" w:rsidP="00000000" w:rsidRDefault="00000000" w:rsidRPr="00000000" w14:paraId="00000072">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tcBorders>
              <w:top w:color="000000" w:space="0" w:sz="4" w:val="single"/>
              <w:left w:color="000000" w:space="0" w:sz="0" w:val="nil"/>
              <w:bottom w:color="000000" w:space="0" w:sz="4" w:val="single"/>
              <w:right w:color="000000" w:space="0" w:sz="8" w:val="single"/>
            </w:tcBorders>
            <w:vAlign w:val="center"/>
          </w:tcPr>
          <w:p w:rsidR="00000000" w:rsidDel="00000000" w:rsidP="00000000" w:rsidRDefault="00000000" w:rsidRPr="00000000" w14:paraId="00000073">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4,5</w:t>
            </w:r>
          </w:p>
        </w:tc>
      </w:tr>
      <w:tr>
        <w:trPr>
          <w:cantSplit w:val="0"/>
          <w:trHeight w:val="270" w:hRule="atLeast"/>
          <w:tblHeader w:val="0"/>
        </w:trPr>
        <w:tc>
          <w:tcPr>
            <w:tcBorders>
              <w:top w:color="000000" w:space="0" w:sz="0" w:val="nil"/>
              <w:left w:color="000000" w:space="0" w:sz="8" w:val="single"/>
              <w:bottom w:color="000000" w:space="0" w:sz="8" w:val="single"/>
              <w:right w:color="000000" w:space="0" w:sz="4" w:val="single"/>
            </w:tcBorders>
            <w:vAlign w:val="center"/>
          </w:tcPr>
          <w:p w:rsidR="00000000" w:rsidDel="00000000" w:rsidP="00000000" w:rsidRDefault="00000000" w:rsidRPr="00000000" w14:paraId="00000074">
            <w:pPr>
              <w:spacing w:line="276" w:lineRule="auto"/>
              <w:rPr>
                <w:rFonts w:ascii="Arial" w:cs="Arial" w:eastAsia="Arial" w:hAnsi="Arial"/>
                <w:color w:val="000000"/>
              </w:rPr>
            </w:pPr>
            <w:r w:rsidDel="00000000" w:rsidR="00000000" w:rsidRPr="00000000">
              <w:rPr>
                <w:rFonts w:ascii="Arial" w:cs="Arial" w:eastAsia="Arial" w:hAnsi="Arial"/>
                <w:color w:val="000000"/>
                <w:rtl w:val="0"/>
              </w:rPr>
              <w:t xml:space="preserve">Ratchet 3</w:t>
            </w:r>
          </w:p>
        </w:tc>
        <w:tc>
          <w:tcPr>
            <w:tcBorders>
              <w:top w:color="000000" w:space="0" w:sz="0" w:val="nil"/>
              <w:left w:color="000000" w:space="0" w:sz="0" w:val="nil"/>
              <w:bottom w:color="000000" w:space="0" w:sz="8" w:val="single"/>
              <w:right w:color="000000" w:space="0" w:sz="4" w:val="single"/>
            </w:tcBorders>
            <w:vAlign w:val="center"/>
          </w:tcPr>
          <w:p w:rsidR="00000000" w:rsidDel="00000000" w:rsidP="00000000" w:rsidRDefault="00000000" w:rsidRPr="00000000" w14:paraId="00000075">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tcBorders>
              <w:top w:color="000000" w:space="0" w:sz="4" w:val="single"/>
              <w:left w:color="000000" w:space="0" w:sz="0" w:val="nil"/>
              <w:bottom w:color="000000" w:space="0" w:sz="8" w:val="single"/>
              <w:right w:color="000000" w:space="0" w:sz="4" w:val="single"/>
            </w:tcBorders>
            <w:vAlign w:val="center"/>
          </w:tcPr>
          <w:p w:rsidR="00000000" w:rsidDel="00000000" w:rsidP="00000000" w:rsidRDefault="00000000" w:rsidRPr="00000000" w14:paraId="00000076">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4</w:t>
            </w:r>
          </w:p>
        </w:tc>
        <w:tc>
          <w:tcPr>
            <w:tcBorders>
              <w:top w:color="000000" w:space="0" w:sz="4" w:val="single"/>
              <w:left w:color="000000" w:space="0" w:sz="0" w:val="nil"/>
              <w:bottom w:color="000000" w:space="0" w:sz="8" w:val="single"/>
              <w:right w:color="000000" w:space="0" w:sz="8" w:val="single"/>
            </w:tcBorders>
            <w:vAlign w:val="center"/>
          </w:tcPr>
          <w:p w:rsidR="00000000" w:rsidDel="00000000" w:rsidP="00000000" w:rsidRDefault="00000000" w:rsidRPr="00000000" w14:paraId="00000077">
            <w:pPr>
              <w:spacing w:line="276" w:lineRule="auto"/>
              <w:jc w:val="center"/>
              <w:rPr>
                <w:rFonts w:ascii="Arial" w:cs="Arial" w:eastAsia="Arial" w:hAnsi="Arial"/>
                <w:color w:val="000000"/>
              </w:rPr>
            </w:pPr>
            <w:r w:rsidDel="00000000" w:rsidR="00000000" w:rsidRPr="00000000">
              <w:rPr>
                <w:rFonts w:ascii="Arial" w:cs="Arial" w:eastAsia="Arial" w:hAnsi="Arial"/>
                <w:color w:val="000000"/>
                <w:rtl w:val="0"/>
              </w:rPr>
              <w:t xml:space="preserve">6,7,8,9,10,11,12</w:t>
            </w:r>
          </w:p>
        </w:tc>
      </w:tr>
    </w:tbl>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79">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If more than one Ratchet applies to an indi</w:t>
      </w:r>
      <w:r w:rsidDel="00000000" w:rsidR="00000000" w:rsidRPr="00000000">
        <w:rPr>
          <w:rFonts w:ascii="Arial" w:cs="Arial" w:eastAsia="Arial" w:hAnsi="Arial"/>
          <w:sz w:val="24"/>
          <w:szCs w:val="24"/>
          <w:rtl w:val="0"/>
        </w:rPr>
        <w:t xml:space="preserve">vidual</w:t>
      </w:r>
      <w:r w:rsidDel="00000000" w:rsidR="00000000" w:rsidRPr="00000000">
        <w:rPr>
          <w:rFonts w:ascii="Arial" w:cs="Arial" w:eastAsia="Arial" w:hAnsi="Arial"/>
          <w:color w:val="000000"/>
          <w:sz w:val="24"/>
          <w:szCs w:val="24"/>
          <w:rtl w:val="0"/>
        </w:rPr>
        <w:t xml:space="preserve"> KPI Failure in the same Service Period, the Ratchet resulting in the higher individual KPI Credit will be used.</w:t>
      </w:r>
    </w:p>
    <w:p w:rsidR="00000000" w:rsidDel="00000000" w:rsidP="00000000" w:rsidRDefault="00000000" w:rsidRPr="00000000" w14:paraId="0000007A">
      <w:pPr>
        <w:numPr>
          <w:ilvl w:val="0"/>
          <w:numId w:val="4"/>
        </w:numPr>
        <w:pBdr>
          <w:top w:space="0" w:sz="0" w:val="nil"/>
          <w:left w:space="0" w:sz="0" w:val="nil"/>
          <w:bottom w:space="0" w:sz="0" w:val="nil"/>
          <w:right w:space="0" w:sz="0" w:val="nil"/>
          <w:between w:space="0" w:sz="0" w:val="nil"/>
        </w:pBdr>
        <w:spacing w:after="240" w:lineRule="auto"/>
        <w:ind w:left="720" w:hanging="720"/>
        <w:jc w:val="both"/>
        <w:rPr>
          <w:rFonts w:ascii="Arial" w:cs="Arial" w:eastAsia="Arial" w:hAnsi="Arial"/>
          <w:color w:val="000000"/>
        </w:rPr>
      </w:pPr>
      <w:bookmarkStart w:colFirst="0" w:colLast="0" w:name="_heading=h.z337ya" w:id="11"/>
      <w:bookmarkEnd w:id="11"/>
      <w:r w:rsidDel="00000000" w:rsidR="00000000" w:rsidRPr="00000000">
        <w:rPr>
          <w:rFonts w:ascii="Arial" w:cs="Arial" w:eastAsia="Arial" w:hAnsi="Arial"/>
          <w:b w:val="1"/>
          <w:bCs w:val="1"/>
          <w:color w:val="000000"/>
          <w:sz w:val="24"/>
          <w:szCs w:val="24"/>
          <w:rtl w:val="0"/>
        </w:rPr>
        <w:t xml:space="preserve">KPI Credit Earn Back</w:t>
      </w:r>
      <w:r w:rsidDel="00000000" w:rsidR="00000000" w:rsidRPr="00000000">
        <w:rPr>
          <w:rtl w:val="0"/>
        </w:rPr>
      </w:r>
    </w:p>
    <w:p w:rsidR="00000000" w:rsidDel="00000000" w:rsidP="00000000" w:rsidRDefault="00000000" w:rsidRPr="00000000" w14:paraId="0000007B">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bookmarkStart w:colFirst="0" w:colLast="0" w:name="_heading=h.3j2qqm3" w:id="12"/>
      <w:bookmarkEnd w:id="12"/>
      <w:r w:rsidDel="00000000" w:rsidR="00000000" w:rsidRPr="00000000">
        <w:rPr>
          <w:rFonts w:ascii="Arial" w:cs="Arial" w:eastAsia="Arial" w:hAnsi="Arial"/>
          <w:color w:val="000000"/>
          <w:sz w:val="24"/>
          <w:szCs w:val="24"/>
          <w:rtl w:val="0"/>
        </w:rPr>
        <w:t xml:space="preserve">If:</w:t>
      </w:r>
    </w:p>
    <w:p w:rsidR="00000000" w:rsidDel="00000000" w:rsidP="00000000" w:rsidRDefault="00000000" w:rsidRPr="00000000" w14:paraId="0000007C">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bookmarkStart w:colFirst="0" w:colLast="0" w:name="_heading=h.1y810tw" w:id="13"/>
      <w:bookmarkEnd w:id="13"/>
      <w:r w:rsidDel="00000000" w:rsidR="00000000" w:rsidRPr="00000000">
        <w:rPr>
          <w:rFonts w:ascii="Arial" w:cs="Arial" w:eastAsia="Arial" w:hAnsi="Arial"/>
          <w:color w:val="000000"/>
          <w:sz w:val="24"/>
          <w:szCs w:val="24"/>
          <w:rtl w:val="0"/>
        </w:rPr>
        <w:t xml:space="preserve">in respect of a Service Period the Supplier has been liable to pay (and has paid) a, in</w:t>
      </w:r>
      <w:r w:rsidDel="00000000" w:rsidR="00000000" w:rsidRPr="00000000">
        <w:rPr>
          <w:rFonts w:ascii="Arial" w:cs="Arial" w:eastAsia="Arial" w:hAnsi="Arial"/>
          <w:sz w:val="24"/>
          <w:szCs w:val="24"/>
          <w:rtl w:val="0"/>
        </w:rPr>
        <w:t xml:space="preserve">dividual</w:t>
      </w:r>
      <w:r w:rsidDel="00000000" w:rsidR="00000000" w:rsidRPr="00000000">
        <w:rPr>
          <w:rFonts w:ascii="Arial" w:cs="Arial" w:eastAsia="Arial" w:hAnsi="Arial"/>
          <w:color w:val="000000"/>
          <w:sz w:val="24"/>
          <w:szCs w:val="24"/>
          <w:rtl w:val="0"/>
        </w:rPr>
        <w:t xml:space="preserve"> KPI Credit in relation to a KPI; and</w:t>
      </w:r>
    </w:p>
    <w:p w:rsidR="00000000" w:rsidDel="00000000" w:rsidP="00000000" w:rsidRDefault="00000000" w:rsidRPr="00000000" w14:paraId="0000007D">
      <w:pPr>
        <w:numPr>
          <w:ilvl w:val="2"/>
          <w:numId w:val="4"/>
        </w:numPr>
        <w:pBdr>
          <w:top w:space="0" w:sz="0" w:val="nil"/>
          <w:left w:space="0" w:sz="0" w:val="nil"/>
          <w:bottom w:space="0" w:sz="0" w:val="nil"/>
          <w:right w:space="0" w:sz="0" w:val="nil"/>
          <w:between w:space="0" w:sz="0" w:val="nil"/>
        </w:pBdr>
        <w:tabs>
          <w:tab w:val="left" w:leader="none" w:pos="144"/>
          <w:tab w:val="left" w:leader="none" w:pos="142"/>
        </w:tabs>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in the next Service Period, the Supplier is not liable to pay an indi</w:t>
      </w:r>
      <w:r w:rsidDel="00000000" w:rsidR="00000000" w:rsidRPr="00000000">
        <w:rPr>
          <w:rFonts w:ascii="Arial" w:cs="Arial" w:eastAsia="Arial" w:hAnsi="Arial"/>
          <w:sz w:val="24"/>
          <w:szCs w:val="24"/>
          <w:rtl w:val="0"/>
        </w:rPr>
        <w:t xml:space="preserve">vidual</w:t>
      </w:r>
      <w:r w:rsidDel="00000000" w:rsidR="00000000" w:rsidRPr="00000000">
        <w:rPr>
          <w:rFonts w:ascii="Arial" w:cs="Arial" w:eastAsia="Arial" w:hAnsi="Arial"/>
          <w:color w:val="000000"/>
          <w:sz w:val="24"/>
          <w:szCs w:val="24"/>
          <w:rtl w:val="0"/>
        </w:rPr>
        <w:t xml:space="preserve"> KPI Credit in relation to the same KPI that was the subject of such individual KPI Credits in the previous Service Period,</w:t>
      </w:r>
    </w:p>
    <w:p w:rsidR="00000000" w:rsidDel="00000000" w:rsidP="00000000" w:rsidRDefault="00000000" w:rsidRPr="00000000" w14:paraId="0000007E">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be entitled to recover a proportion of such individual KPI Credit (</w:t>
      </w:r>
      <w:r w:rsidDel="00000000" w:rsidR="00000000" w:rsidRPr="00000000">
        <w:rPr>
          <w:rFonts w:ascii="Arial" w:cs="Arial" w:eastAsia="Arial" w:hAnsi="Arial"/>
          <w:b w:val="1"/>
          <w:bCs w:val="1"/>
          <w:color w:val="000000"/>
          <w:sz w:val="24"/>
          <w:szCs w:val="24"/>
          <w:rtl w:val="0"/>
        </w:rPr>
        <w:t xml:space="preserve">"Earn </w:t>
      </w:r>
      <w:r w:rsidDel="00000000" w:rsidR="00000000" w:rsidRPr="00000000">
        <w:rPr>
          <w:rFonts w:ascii="Arial" w:cs="Arial" w:eastAsia="Arial" w:hAnsi="Arial"/>
          <w:b w:val="1"/>
          <w:bCs w:val="1"/>
          <w:sz w:val="24"/>
          <w:szCs w:val="24"/>
          <w:rtl w:val="0"/>
        </w:rPr>
        <w:t xml:space="preserve">B</w:t>
      </w:r>
      <w:r w:rsidDel="00000000" w:rsidR="00000000" w:rsidRPr="00000000">
        <w:rPr>
          <w:rFonts w:ascii="Arial" w:cs="Arial" w:eastAsia="Arial" w:hAnsi="Arial"/>
          <w:b w:val="1"/>
          <w:bCs w:val="1"/>
          <w:color w:val="000000"/>
          <w:sz w:val="24"/>
          <w:szCs w:val="24"/>
          <w:rtl w:val="0"/>
        </w:rPr>
        <w:t xml:space="preserve">ack"</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7F">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amount of the Earn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color w:val="000000"/>
          <w:sz w:val="24"/>
          <w:szCs w:val="24"/>
          <w:rtl w:val="0"/>
        </w:rPr>
        <w:t xml:space="preserve">ack shall be calculated as the product of the individual KPI Credit paid in the previous Service Period in relation to the relevant individual KPI and the Earn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color w:val="000000"/>
          <w:sz w:val="24"/>
          <w:szCs w:val="24"/>
          <w:rtl w:val="0"/>
        </w:rPr>
        <w:t xml:space="preserve">ack %.</w:t>
      </w:r>
    </w:p>
    <w:p w:rsidR="00000000" w:rsidDel="00000000" w:rsidP="00000000" w:rsidRDefault="00000000" w:rsidRPr="00000000" w14:paraId="00000080">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recover any Earn </w:t>
      </w:r>
      <w:r w:rsidDel="00000000" w:rsidR="00000000" w:rsidRPr="00000000">
        <w:rPr>
          <w:rFonts w:ascii="Arial" w:cs="Arial" w:eastAsia="Arial" w:hAnsi="Arial"/>
          <w:sz w:val="24"/>
          <w:szCs w:val="24"/>
          <w:rtl w:val="0"/>
        </w:rPr>
        <w:t xml:space="preserve">B</w:t>
      </w:r>
      <w:r w:rsidDel="00000000" w:rsidR="00000000" w:rsidRPr="00000000">
        <w:rPr>
          <w:rFonts w:ascii="Arial" w:cs="Arial" w:eastAsia="Arial" w:hAnsi="Arial"/>
          <w:color w:val="000000"/>
          <w:sz w:val="24"/>
          <w:szCs w:val="24"/>
          <w:rtl w:val="0"/>
        </w:rPr>
        <w:t xml:space="preserve">ack to which it is entitled under this Paragraph 5 in accordance with Call-Off Schedule 5 (</w:t>
      </w:r>
      <w:r w:rsidDel="00000000" w:rsidR="00000000" w:rsidRPr="00000000">
        <w:rPr>
          <w:rFonts w:ascii="Arial" w:cs="Arial" w:eastAsia="Arial" w:hAnsi="Arial"/>
          <w:i w:val="1"/>
          <w:iCs w:val="1"/>
          <w:color w:val="000000"/>
          <w:sz w:val="24"/>
          <w:szCs w:val="24"/>
          <w:rtl w:val="0"/>
        </w:rPr>
        <w:t xml:space="preserve">Call-Off Pricing</w:t>
      </w:r>
      <w:r w:rsidDel="00000000" w:rsidR="00000000" w:rsidRPr="00000000">
        <w:rPr>
          <w:rFonts w:ascii="Arial" w:cs="Arial" w:eastAsia="Arial" w:hAnsi="Arial"/>
          <w:color w:val="000000"/>
          <w:sz w:val="24"/>
          <w:szCs w:val="24"/>
          <w:rtl w:val="0"/>
        </w:rPr>
        <w:t xml:space="preserve">).</w:t>
      </w:r>
    </w:p>
    <w:p w:rsidR="00000000" w:rsidDel="00000000" w:rsidP="00000000" w:rsidRDefault="00000000" w:rsidRPr="00000000" w14:paraId="00000081">
      <w:pPr>
        <w:numPr>
          <w:ilvl w:val="0"/>
          <w:numId w:val="4"/>
        </w:numPr>
        <w:pBdr>
          <w:top w:space="0" w:sz="0" w:val="nil"/>
          <w:left w:space="0" w:sz="0" w:val="nil"/>
          <w:bottom w:space="0" w:sz="0" w:val="nil"/>
          <w:right w:space="0" w:sz="0" w:val="nil"/>
          <w:between w:space="0" w:sz="0" w:val="nil"/>
        </w:pBdr>
        <w:spacing w:after="240" w:lineRule="auto"/>
        <w:ind w:left="720" w:hanging="720"/>
        <w:jc w:val="both"/>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KPI Holiday </w:t>
      </w:r>
    </w:p>
    <w:p w:rsidR="00000000" w:rsidDel="00000000" w:rsidP="00000000" w:rsidRDefault="00000000" w:rsidRPr="00000000" w14:paraId="00000082">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shall have the option to include a KPI Holiday Period at the start of a Contract. If a KPI Holiday Period will not be used, the Buyer shall enter a ‘0’ into the KPI Holiday Period entry in the Order Form for KPI Holiday Period. If a KPI Holiday Period is to be used, the Buyer will enter the length of the KPI Holiday Period in the KPI Holiday Period entry in the Order Form.</w:t>
      </w:r>
    </w:p>
    <w:p w:rsidR="00000000" w:rsidDel="00000000" w:rsidP="00000000" w:rsidRDefault="00000000" w:rsidRPr="00000000" w14:paraId="00000083">
      <w:pPr>
        <w:numPr>
          <w:ilvl w:val="1"/>
          <w:numId w:val="4"/>
        </w:numPr>
        <w:pBdr>
          <w:top w:space="0" w:sz="0" w:val="nil"/>
          <w:left w:space="0" w:sz="0" w:val="nil"/>
          <w:bottom w:space="0" w:sz="0" w:val="nil"/>
          <w:right w:space="0" w:sz="0" w:val="nil"/>
          <w:between w:space="0" w:sz="0" w:val="nil"/>
        </w:pBdr>
        <w:tabs>
          <w:tab w:val="left" w:leader="none" w:pos="144"/>
        </w:tabs>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During a KPI Holiday Period all KPIs shall continue to be reported by the Supplier but no KPI Credits shall be applied nor shall the Ratchet be </w:t>
      </w:r>
      <w:r w:rsidDel="00000000" w:rsidR="00000000" w:rsidRPr="00000000">
        <w:rPr>
          <w:rFonts w:ascii="Arial" w:cs="Arial" w:eastAsia="Arial" w:hAnsi="Arial"/>
          <w:sz w:val="24"/>
          <w:szCs w:val="24"/>
          <w:rtl w:val="0"/>
        </w:rPr>
        <w:t xml:space="preserve">applied at the</w:t>
      </w:r>
      <w:r w:rsidDel="00000000" w:rsidR="00000000" w:rsidRPr="00000000">
        <w:rPr>
          <w:rFonts w:ascii="Arial" w:cs="Arial" w:eastAsia="Arial" w:hAnsi="Arial"/>
          <w:color w:val="000000"/>
          <w:sz w:val="24"/>
          <w:szCs w:val="24"/>
          <w:rtl w:val="0"/>
        </w:rPr>
        <w:t xml:space="preserve"> end of the KPI Holiday Period. </w:t>
      </w:r>
    </w:p>
    <w:p w:rsidR="00000000" w:rsidDel="00000000" w:rsidP="00000000" w:rsidRDefault="00000000" w:rsidRPr="00000000" w14:paraId="00000084">
      <w:pPr>
        <w:numPr>
          <w:ilvl w:val="0"/>
          <w:numId w:val="4"/>
        </w:numPr>
        <w:tabs>
          <w:tab w:val="left" w:leader="none" w:pos="144"/>
        </w:tabs>
        <w:spacing w:after="120" w:lineRule="auto"/>
        <w:ind w:left="720" w:hanging="720"/>
        <w:jc w:val="both"/>
        <w:rPr>
          <w:b w:val="1"/>
          <w:bCs w:val="1"/>
        </w:rPr>
      </w:pPr>
      <w:bookmarkStart w:colFirst="0" w:colLast="0" w:name="_heading=h.35nkun2" w:id="14"/>
      <w:bookmarkEnd w:id="14"/>
      <w:r w:rsidDel="00000000" w:rsidR="00000000" w:rsidRPr="00000000">
        <w:rPr>
          <w:rFonts w:ascii="Arial" w:cs="Arial" w:eastAsia="Arial" w:hAnsi="Arial"/>
          <w:b w:val="1"/>
          <w:bCs w:val="1"/>
          <w:sz w:val="24"/>
          <w:szCs w:val="24"/>
          <w:rtl w:val="0"/>
        </w:rPr>
        <w:t xml:space="preserve">KPI Credit Calculation</w:t>
      </w:r>
      <w:r w:rsidDel="00000000" w:rsidR="00000000" w:rsidRPr="00000000">
        <w:rPr>
          <w:rtl w:val="0"/>
        </w:rPr>
      </w:r>
    </w:p>
    <w:p w:rsidR="00000000" w:rsidDel="00000000" w:rsidP="00000000" w:rsidRDefault="00000000" w:rsidRPr="00000000" w14:paraId="00000085">
      <w:pPr>
        <w:numPr>
          <w:ilvl w:val="1"/>
          <w:numId w:val="4"/>
        </w:numPr>
        <w:tabs>
          <w:tab w:val="left" w:leader="none" w:pos="144"/>
        </w:tabs>
        <w:spacing w:after="120" w:lineRule="auto"/>
        <w:ind w:left="1440" w:hanging="720"/>
        <w:jc w:val="both"/>
        <w:rPr/>
      </w:pPr>
      <w:r w:rsidDel="00000000" w:rsidR="00000000" w:rsidRPr="00000000">
        <w:rPr>
          <w:rFonts w:ascii="Arial" w:cs="Arial" w:eastAsia="Arial" w:hAnsi="Arial"/>
          <w:sz w:val="24"/>
          <w:szCs w:val="24"/>
          <w:rtl w:val="0"/>
        </w:rPr>
        <w:t xml:space="preserve">The individual KPI Credit to be applied to a KPI in a Service Period for a KPI Failure shall be calculated in accordance with the KPI Measures tab of the KPI Model by:</w:t>
      </w:r>
      <w:r w:rsidDel="00000000" w:rsidR="00000000" w:rsidRPr="00000000">
        <w:rPr>
          <w:rtl w:val="0"/>
        </w:rPr>
      </w:r>
    </w:p>
    <w:p w:rsidR="00000000" w:rsidDel="00000000" w:rsidP="00000000" w:rsidRDefault="00000000" w:rsidRPr="00000000" w14:paraId="00000086">
      <w:pPr>
        <w:numPr>
          <w:ilvl w:val="2"/>
          <w:numId w:val="4"/>
        </w:numPr>
        <w:tabs>
          <w:tab w:val="left" w:leader="none" w:pos="144"/>
        </w:tabs>
        <w:spacing w:after="120" w:lineRule="auto"/>
        <w:ind w:left="2160" w:hanging="720"/>
        <w:jc w:val="both"/>
        <w:rPr/>
      </w:pPr>
      <w:r w:rsidDel="00000000" w:rsidR="00000000" w:rsidRPr="00000000">
        <w:rPr>
          <w:rFonts w:ascii="Arial" w:cs="Arial" w:eastAsia="Arial" w:hAnsi="Arial"/>
          <w:sz w:val="24"/>
          <w:szCs w:val="24"/>
          <w:rtl w:val="0"/>
        </w:rPr>
        <w:t xml:space="preserve">deducting from 100% the actual standard of performance (as a percentage, calculated using the KPI Credits tab of the KPI Model) achieved by the Supplier against the individual KPI Performance Measure in that Service Period; and </w:t>
      </w:r>
      <w:r w:rsidDel="00000000" w:rsidR="00000000" w:rsidRPr="00000000">
        <w:rPr>
          <w:rtl w:val="0"/>
        </w:rPr>
      </w:r>
    </w:p>
    <w:p w:rsidR="00000000" w:rsidDel="00000000" w:rsidP="00000000" w:rsidRDefault="00000000" w:rsidRPr="00000000" w14:paraId="00000087">
      <w:pPr>
        <w:numPr>
          <w:ilvl w:val="2"/>
          <w:numId w:val="4"/>
        </w:numPr>
        <w:tabs>
          <w:tab w:val="left" w:leader="none" w:pos="144"/>
        </w:tabs>
        <w:spacing w:after="120" w:lineRule="auto"/>
        <w:ind w:left="2160" w:hanging="720"/>
        <w:jc w:val="both"/>
        <w:rPr/>
      </w:pPr>
      <w:r w:rsidDel="00000000" w:rsidR="00000000" w:rsidRPr="00000000">
        <w:rPr>
          <w:rFonts w:ascii="Arial" w:cs="Arial" w:eastAsia="Arial" w:hAnsi="Arial"/>
          <w:sz w:val="24"/>
          <w:szCs w:val="24"/>
          <w:rtl w:val="0"/>
        </w:rPr>
        <w:t xml:space="preserve">multiplying the resultant percentage by the individual KPI At Risk Amount, and;</w:t>
      </w:r>
      <w:r w:rsidDel="00000000" w:rsidR="00000000" w:rsidRPr="00000000">
        <w:rPr>
          <w:rtl w:val="0"/>
        </w:rPr>
      </w:r>
    </w:p>
    <w:p w:rsidR="00000000" w:rsidDel="00000000" w:rsidP="00000000" w:rsidRDefault="00000000" w:rsidRPr="00000000" w14:paraId="00000088">
      <w:pPr>
        <w:numPr>
          <w:ilvl w:val="2"/>
          <w:numId w:val="4"/>
        </w:numPr>
        <w:tabs>
          <w:tab w:val="left" w:leader="none" w:pos="144"/>
        </w:tabs>
        <w:spacing w:after="120" w:lineRule="auto"/>
        <w:ind w:left="2160" w:hanging="72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applying a KPI Holiday (where applicable), and;</w:t>
      </w:r>
    </w:p>
    <w:p w:rsidR="00000000" w:rsidDel="00000000" w:rsidP="00000000" w:rsidRDefault="00000000" w:rsidRPr="00000000" w14:paraId="00000089">
      <w:pPr>
        <w:numPr>
          <w:ilvl w:val="2"/>
          <w:numId w:val="4"/>
        </w:numPr>
        <w:tabs>
          <w:tab w:val="left" w:leader="none" w:pos="144"/>
        </w:tabs>
        <w:spacing w:after="120" w:lineRule="auto"/>
        <w:ind w:left="2160" w:hanging="720"/>
        <w:jc w:val="both"/>
        <w:rPr/>
      </w:pPr>
      <w:r w:rsidDel="00000000" w:rsidR="00000000" w:rsidRPr="00000000">
        <w:rPr>
          <w:rFonts w:ascii="Arial" w:cs="Arial" w:eastAsia="Arial" w:hAnsi="Arial"/>
          <w:sz w:val="24"/>
          <w:szCs w:val="24"/>
          <w:rtl w:val="0"/>
        </w:rPr>
        <w:t xml:space="preserve">applying Ratchet amount (where applicable), and;</w:t>
      </w:r>
      <w:r w:rsidDel="00000000" w:rsidR="00000000" w:rsidRPr="00000000">
        <w:rPr>
          <w:rtl w:val="0"/>
        </w:rPr>
      </w:r>
    </w:p>
    <w:p w:rsidR="00000000" w:rsidDel="00000000" w:rsidP="00000000" w:rsidRDefault="00000000" w:rsidRPr="00000000" w14:paraId="0000008A">
      <w:pPr>
        <w:numPr>
          <w:ilvl w:val="2"/>
          <w:numId w:val="4"/>
        </w:numPr>
        <w:tabs>
          <w:tab w:val="left" w:leader="none" w:pos="144"/>
        </w:tabs>
        <w:spacing w:after="120" w:lineRule="auto"/>
        <w:ind w:left="2160" w:hanging="720"/>
        <w:jc w:val="both"/>
        <w:rPr/>
      </w:pPr>
      <w:r w:rsidDel="00000000" w:rsidR="00000000" w:rsidRPr="00000000">
        <w:rPr>
          <w:rFonts w:ascii="Arial" w:cs="Arial" w:eastAsia="Arial" w:hAnsi="Arial"/>
          <w:sz w:val="24"/>
          <w:szCs w:val="24"/>
          <w:rtl w:val="0"/>
        </w:rPr>
        <w:t xml:space="preserve">applying Earn back amount (where applicable)</w:t>
      </w:r>
      <w:r w:rsidDel="00000000" w:rsidR="00000000" w:rsidRPr="00000000">
        <w:rPr>
          <w:rtl w:val="0"/>
        </w:rPr>
      </w:r>
    </w:p>
    <w:p w:rsidR="00000000" w:rsidDel="00000000" w:rsidP="00000000" w:rsidRDefault="00000000" w:rsidRPr="00000000" w14:paraId="0000008B">
      <w:pPr>
        <w:numPr>
          <w:ilvl w:val="1"/>
          <w:numId w:val="4"/>
        </w:numPr>
        <w:tabs>
          <w:tab w:val="left" w:leader="none" w:pos="144"/>
        </w:tabs>
        <w:spacing w:after="120" w:lineRule="auto"/>
        <w:ind w:left="1440" w:hanging="720"/>
        <w:jc w:val="both"/>
        <w:rPr>
          <w:rFonts w:ascii="Arial" w:cs="Arial" w:eastAsia="Arial" w:hAnsi="Arial"/>
          <w:color w:val="000000"/>
        </w:rPr>
      </w:pPr>
      <w:r w:rsidDel="00000000" w:rsidR="00000000" w:rsidRPr="00000000">
        <w:rPr>
          <w:rFonts w:ascii="Arial" w:cs="Arial" w:eastAsia="Arial" w:hAnsi="Arial"/>
          <w:sz w:val="24"/>
          <w:szCs w:val="24"/>
          <w:rtl w:val="0"/>
        </w:rPr>
        <w:t xml:space="preserve">Adding the resulting individual KPI Credits that have Ratchet and Earn back applied (where applicable) together results in the total KPI Credit to be applied in accordance with Paragraph 2.</w:t>
      </w:r>
      <w:r w:rsidDel="00000000" w:rsidR="00000000" w:rsidRPr="00000000">
        <w:rPr>
          <w:rtl w:val="0"/>
        </w:rPr>
      </w:r>
    </w:p>
    <w:p w:rsidR="00000000" w:rsidDel="00000000" w:rsidP="00000000" w:rsidRDefault="00000000" w:rsidRPr="00000000" w14:paraId="0000008C">
      <w:pPr>
        <w:numPr>
          <w:ilvl w:val="0"/>
          <w:numId w:val="4"/>
        </w:numPr>
        <w:pBdr>
          <w:top w:space="0" w:sz="0" w:val="nil"/>
          <w:left w:space="0" w:sz="0" w:val="nil"/>
          <w:bottom w:space="0" w:sz="0" w:val="nil"/>
          <w:right w:space="0" w:sz="0" w:val="nil"/>
          <w:between w:space="0" w:sz="0" w:val="nil"/>
        </w:pBdr>
        <w:spacing w:after="240" w:lineRule="auto"/>
        <w:ind w:left="720" w:hanging="720"/>
        <w:jc w:val="both"/>
        <w:rPr>
          <w:rFonts w:ascii="Arial" w:cs="Arial" w:eastAsia="Arial" w:hAnsi="Arial"/>
          <w:color w:val="000000"/>
        </w:rPr>
      </w:pPr>
      <w:r w:rsidDel="00000000" w:rsidR="00000000" w:rsidRPr="00000000">
        <w:rPr>
          <w:rFonts w:ascii="Arial" w:cs="Arial" w:eastAsia="Arial" w:hAnsi="Arial"/>
          <w:b w:val="1"/>
          <w:bCs w:val="1"/>
          <w:color w:val="000000"/>
          <w:sz w:val="24"/>
          <w:szCs w:val="24"/>
          <w:rtl w:val="0"/>
        </w:rPr>
        <w:t xml:space="preserve">Persistent KPI Failure</w:t>
      </w:r>
      <w:r w:rsidDel="00000000" w:rsidR="00000000" w:rsidRPr="00000000">
        <w:rPr>
          <w:rtl w:val="0"/>
        </w:rPr>
      </w:r>
    </w:p>
    <w:p w:rsidR="00000000" w:rsidDel="00000000" w:rsidP="00000000" w:rsidRDefault="00000000" w:rsidRPr="00000000" w14:paraId="0000008D">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Persistent KPI Failure shall arise when one or both of the following takes place:</w:t>
      </w:r>
    </w:p>
    <w:p w:rsidR="00000000" w:rsidDel="00000000" w:rsidP="00000000" w:rsidRDefault="00000000" w:rsidRPr="00000000" w14:paraId="0000008E">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bookmarkStart w:colFirst="0" w:colLast="0" w:name="_heading=h.3znysh7" w:id="15"/>
      <w:bookmarkEnd w:id="15"/>
      <w:r w:rsidDel="00000000" w:rsidR="00000000" w:rsidRPr="00000000">
        <w:rPr>
          <w:rFonts w:ascii="Arial" w:cs="Arial" w:eastAsia="Arial" w:hAnsi="Arial"/>
          <w:color w:val="000000"/>
          <w:sz w:val="24"/>
          <w:szCs w:val="24"/>
          <w:rtl w:val="0"/>
        </w:rPr>
        <w:t xml:space="preserve">a KPI Failure in respect of any one or more of the KPIs occurs in five (5) consecutive Service Periods;</w:t>
      </w:r>
    </w:p>
    <w:p w:rsidR="00000000" w:rsidDel="00000000" w:rsidP="00000000" w:rsidRDefault="00000000" w:rsidRPr="00000000" w14:paraId="0000008F">
      <w:pPr>
        <w:numPr>
          <w:ilvl w:val="2"/>
          <w:numId w:val="4"/>
        </w:numPr>
        <w:pBdr>
          <w:top w:space="0" w:sz="0" w:val="nil"/>
          <w:left w:space="0" w:sz="0" w:val="nil"/>
          <w:bottom w:space="0" w:sz="0" w:val="nil"/>
          <w:right w:space="0" w:sz="0" w:val="nil"/>
          <w:between w:space="0" w:sz="0" w:val="nil"/>
        </w:pBdr>
        <w:tabs>
          <w:tab w:val="left" w:leader="none" w:pos="144"/>
        </w:tabs>
        <w:spacing w:after="120" w:lineRule="auto"/>
        <w:ind w:left="216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KPI Failure in respect of any one or more of the KPIs occurs in any seven (7) Service Periods in the immediately preceding twelve (12) Service Periods.</w:t>
      </w:r>
    </w:p>
    <w:p w:rsidR="00000000" w:rsidDel="00000000" w:rsidP="00000000" w:rsidRDefault="00000000" w:rsidRPr="00000000" w14:paraId="00000090">
      <w:pPr>
        <w:numPr>
          <w:ilvl w:val="1"/>
          <w:numId w:val="4"/>
        </w:numPr>
        <w:pBdr>
          <w:top w:space="0" w:sz="0" w:val="nil"/>
          <w:left w:space="0" w:sz="0" w:val="nil"/>
          <w:bottom w:space="0" w:sz="0" w:val="nil"/>
          <w:right w:space="0" w:sz="0" w:val="nil"/>
          <w:between w:space="0" w:sz="0" w:val="nil"/>
        </w:pBdr>
        <w:tabs>
          <w:tab w:val="left" w:leader="none" w:pos="144"/>
        </w:tabs>
        <w:spacing w:after="120" w:lineRule="auto"/>
        <w:ind w:left="1440" w:hanging="720"/>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Persistent KPI Failure shall constitute a Material Default of this Contract by the Supplier.</w:t>
      </w:r>
    </w:p>
    <w:p w:rsidR="00000000" w:rsidDel="00000000" w:rsidP="00000000" w:rsidRDefault="00000000" w:rsidRPr="00000000" w14:paraId="00000091">
      <w:pPr>
        <w:rPr>
          <w:rFonts w:ascii="Arial" w:cs="Arial" w:eastAsia="Arial" w:hAnsi="Arial"/>
          <w:color w:val="000000"/>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spacing w:after="120" w:before="120" w:lineRule="auto"/>
        <w:jc w:val="center"/>
        <w:rPr>
          <w:rFonts w:ascii="Arial" w:cs="Arial" w:eastAsia="Arial" w:hAnsi="Arial"/>
        </w:rPr>
      </w:pPr>
      <w:bookmarkStart w:colFirst="0" w:colLast="0" w:name="_heading=h.tyjcwt" w:id="16"/>
      <w:bookmarkEnd w:id="16"/>
      <w:r w:rsidDel="00000000" w:rsidR="00000000" w:rsidRPr="00000000">
        <w:rPr>
          <w:rFonts w:ascii="Arial" w:cs="Arial" w:eastAsia="Arial" w:hAnsi="Arial"/>
          <w:b w:val="1"/>
          <w:bCs w:val="1"/>
          <w:color w:val="000000"/>
          <w:sz w:val="36"/>
          <w:szCs w:val="36"/>
          <w:rtl w:val="0"/>
        </w:rPr>
        <w:t xml:space="preserve">Annex A to Part A – KPI Model</w:t>
      </w:r>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spacing w:after="120" w:before="120" w:lineRule="auto"/>
        <w:jc w:val="center"/>
        <w:rPr>
          <w:rFonts w:ascii="Arial" w:cs="Arial" w:eastAsia="Arial" w:hAnsi="Arial"/>
        </w:rPr>
      </w:pPr>
      <w:bookmarkStart w:colFirst="0" w:colLast="0" w:name="_heading=h.4d34og8" w:id="17"/>
      <w:bookmarkEnd w:id="17"/>
      <w:r w:rsidDel="00000000" w:rsidR="00000000" w:rsidRPr="00000000">
        <w:rPr>
          <w:rFonts w:ascii="Arial" w:cs="Arial" w:eastAsia="Arial" w:hAnsi="Arial"/>
        </w:rPr>
        <w:drawing>
          <wp:inline distB="0" distT="0" distL="114300" distR="114300">
            <wp:extent cx="952500" cy="6223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525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rPr>
      </w:pPr>
      <w:bookmarkStart w:colFirst="0" w:colLast="0" w:name="_heading=h.2jxsxqh" w:id="18"/>
      <w:bookmarkEnd w:id="18"/>
      <w:r w:rsidDel="00000000" w:rsidR="00000000" w:rsidRPr="00000000">
        <w:rPr>
          <w:rFonts w:ascii="Arial" w:cs="Arial" w:eastAsia="Arial" w:hAnsi="Arial"/>
          <w:b w:val="1"/>
          <w:bCs w:val="1"/>
          <w:i w:val="1"/>
          <w:iCs w:val="1"/>
          <w:sz w:val="24"/>
          <w:szCs w:val="24"/>
          <w:highlight w:val="yellow"/>
          <w:rtl w:val="0"/>
        </w:rPr>
        <w:t xml:space="preserve">[Buyer guidance: </w:t>
      </w:r>
      <w:r w:rsidDel="00000000" w:rsidR="00000000" w:rsidRPr="00000000">
        <w:rPr>
          <w:rFonts w:ascii="Arial" w:cs="Arial" w:eastAsia="Arial" w:hAnsi="Arial"/>
          <w:i w:val="1"/>
          <w:iCs w:val="1"/>
          <w:sz w:val="24"/>
          <w:szCs w:val="24"/>
          <w:highlight w:val="yellow"/>
          <w:rtl w:val="0"/>
        </w:rPr>
        <w:t xml:space="preserve">Procurement specific Key Performance Indicators (or KPIs) and formulae, including Key Performance Indicators relating to Social Value, should be incorporated into the KPI Model. In line with the </w:t>
      </w:r>
      <w:hyperlink r:id="rId8">
        <w:r w:rsidDel="00000000" w:rsidR="00000000" w:rsidRPr="00000000">
          <w:rPr>
            <w:rFonts w:ascii="Arial" w:cs="Arial" w:eastAsia="Arial" w:hAnsi="Arial"/>
            <w:i w:val="1"/>
            <w:iCs w:val="1"/>
            <w:sz w:val="24"/>
            <w:szCs w:val="24"/>
            <w:highlight w:val="yellow"/>
            <w:rtl w:val="0"/>
          </w:rPr>
          <w:t xml:space="preserve">Sourcing Playbook</w:t>
        </w:r>
      </w:hyperlink>
      <w:r w:rsidDel="00000000" w:rsidR="00000000" w:rsidRPr="00000000">
        <w:rPr>
          <w:rFonts w:ascii="Arial" w:cs="Arial" w:eastAsia="Arial" w:hAnsi="Arial"/>
          <w:i w:val="1"/>
          <w:iCs w:val="1"/>
          <w:sz w:val="24"/>
          <w:szCs w:val="24"/>
          <w:highlight w:val="yellow"/>
          <w:rtl w:val="0"/>
        </w:rPr>
        <w:t xml:space="preserve">, it is HMG’s intention to publish the top Key Performance Indicators for the Government’s most important contracts. Where this publication requirement applies to this Contract, the Buyer must select at least three Key Performance Indicators which shall be publishable and must also select the single most important Social Value KPI, which shall also be publishable (four Key Performance Indicators in total). Buyers can indicate which are publishable in the KPI Model.</w:t>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u w:val="single"/>
        </w:rPr>
      </w:pPr>
      <w:r w:rsidDel="00000000" w:rsidR="00000000" w:rsidRPr="00000000">
        <w:rPr>
          <w:rFonts w:ascii="Arial" w:cs="Arial" w:eastAsia="Arial" w:hAnsi="Arial"/>
          <w:i w:val="1"/>
          <w:iCs w:val="1"/>
          <w:sz w:val="24"/>
          <w:szCs w:val="24"/>
          <w:highlight w:val="yellow"/>
          <w:u w:val="single"/>
          <w:rtl w:val="0"/>
        </w:rPr>
        <w:t xml:space="preserve">Key Performance Indicators (“KPIs”) and the Procurement Act 2023</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rPr>
      </w:pPr>
      <w:r w:rsidDel="00000000" w:rsidR="00000000" w:rsidRPr="00000000">
        <w:rPr>
          <w:rFonts w:ascii="Arial" w:cs="Arial" w:eastAsia="Arial" w:hAnsi="Arial"/>
          <w:i w:val="1"/>
          <w:iCs w:val="1"/>
          <w:sz w:val="24"/>
          <w:szCs w:val="24"/>
          <w:highlight w:val="yellow"/>
          <w:rtl w:val="0"/>
        </w:rPr>
        <w:t xml:space="preserve">The Procurement Act 2023 and the Procurement Regulations 2024 set out important provisions for contracts with an estimated value of more than £5 million as follows: </w:t>
      </w:r>
    </w:p>
    <w:p w:rsidR="00000000" w:rsidDel="00000000" w:rsidP="00000000" w:rsidRDefault="00000000" w:rsidRPr="00000000" w14:paraId="00000097">
      <w:pPr>
        <w:numPr>
          <w:ilvl w:val="0"/>
          <w:numId w:val="6"/>
        </w:numPr>
        <w:pBdr>
          <w:top w:space="0" w:sz="0" w:val="nil"/>
          <w:left w:space="0" w:sz="0" w:val="nil"/>
          <w:bottom w:space="0" w:sz="0" w:val="nil"/>
          <w:right w:space="0" w:sz="0" w:val="nil"/>
          <w:between w:space="0" w:sz="0" w:val="nil"/>
        </w:pBdr>
        <w:spacing w:after="120" w:before="120" w:lineRule="auto"/>
        <w:ind w:left="720" w:hanging="360"/>
        <w:rPr>
          <w:rFonts w:ascii="Arial" w:cs="Arial" w:eastAsia="Arial" w:hAnsi="Arial"/>
          <w:i w:val="1"/>
          <w:iCs w:val="1"/>
          <w:color w:val="000000"/>
          <w:sz w:val="24"/>
          <w:szCs w:val="24"/>
          <w:highlight w:val="yellow"/>
        </w:rPr>
      </w:pPr>
      <w:r w:rsidDel="00000000" w:rsidR="00000000" w:rsidRPr="00000000">
        <w:rPr>
          <w:rFonts w:ascii="Arial" w:cs="Arial" w:eastAsia="Arial" w:hAnsi="Arial"/>
          <w:i w:val="1"/>
          <w:iCs w:val="1"/>
          <w:color w:val="000000"/>
          <w:sz w:val="24"/>
          <w:szCs w:val="24"/>
          <w:highlight w:val="yellow"/>
          <w:rtl w:val="0"/>
        </w:rPr>
        <w:t xml:space="preserve">Section 52(1) of the Procurement Act 2023 requires a Buyer to set </w:t>
      </w:r>
      <w:r w:rsidDel="00000000" w:rsidR="00000000" w:rsidRPr="00000000">
        <w:rPr>
          <w:rFonts w:ascii="Arial" w:cs="Arial" w:eastAsia="Arial" w:hAnsi="Arial"/>
          <w:i w:val="1"/>
          <w:iCs w:val="1"/>
          <w:color w:val="000000"/>
          <w:sz w:val="24"/>
          <w:szCs w:val="24"/>
          <w:highlight w:val="yellow"/>
          <w:u w:val="single"/>
          <w:rtl w:val="0"/>
        </w:rPr>
        <w:t xml:space="preserve">at least 3 KPIs</w:t>
      </w:r>
      <w:r w:rsidDel="00000000" w:rsidR="00000000" w:rsidRPr="00000000">
        <w:rPr>
          <w:rFonts w:ascii="Arial" w:cs="Arial" w:eastAsia="Arial" w:hAnsi="Arial"/>
          <w:i w:val="1"/>
          <w:iCs w:val="1"/>
          <w:color w:val="000000"/>
          <w:sz w:val="24"/>
          <w:szCs w:val="24"/>
          <w:highlight w:val="yellow"/>
          <w:rtl w:val="0"/>
        </w:rPr>
        <w:t xml:space="preserve"> unless it considers that KPIs will not appropriately assess a supplier’s performance. </w:t>
      </w:r>
    </w:p>
    <w:p w:rsidR="00000000" w:rsidDel="00000000" w:rsidP="00000000" w:rsidRDefault="00000000" w:rsidRPr="00000000" w14:paraId="00000098">
      <w:pPr>
        <w:numPr>
          <w:ilvl w:val="0"/>
          <w:numId w:val="6"/>
        </w:numPr>
        <w:pBdr>
          <w:top w:space="0" w:sz="0" w:val="nil"/>
          <w:left w:space="0" w:sz="0" w:val="nil"/>
          <w:bottom w:space="0" w:sz="0" w:val="nil"/>
          <w:right w:space="0" w:sz="0" w:val="nil"/>
          <w:between w:space="0" w:sz="0" w:val="nil"/>
        </w:pBdr>
        <w:spacing w:after="120" w:before="120" w:lineRule="auto"/>
        <w:ind w:left="720" w:hanging="360"/>
        <w:rPr>
          <w:rFonts w:ascii="Arial" w:cs="Arial" w:eastAsia="Arial" w:hAnsi="Arial"/>
          <w:i w:val="1"/>
          <w:iCs w:val="1"/>
          <w:color w:val="000000"/>
          <w:sz w:val="24"/>
          <w:szCs w:val="24"/>
          <w:highlight w:val="yellow"/>
        </w:rPr>
      </w:pPr>
      <w:r w:rsidDel="00000000" w:rsidR="00000000" w:rsidRPr="00000000">
        <w:rPr>
          <w:rFonts w:ascii="Arial" w:cs="Arial" w:eastAsia="Arial" w:hAnsi="Arial"/>
          <w:i w:val="1"/>
          <w:iCs w:val="1"/>
          <w:color w:val="000000"/>
          <w:sz w:val="24"/>
          <w:szCs w:val="24"/>
          <w:highlight w:val="yellow"/>
          <w:rtl w:val="0"/>
        </w:rPr>
        <w:t xml:space="preserve">Section 52(3) of the Procurement Act 2023 requires Buyers to publish all of the KPIs set under section 52(1). In most cases, Buyers will satisfy this by complying with the obligation in section 53(3) of the of the Procurement Act 2023 which says they must publish a copy of any contract with an estimated value of more than £5 million. </w:t>
      </w:r>
    </w:p>
    <w:p w:rsidR="00000000" w:rsidDel="00000000" w:rsidP="00000000" w:rsidRDefault="00000000" w:rsidRPr="00000000" w14:paraId="00000099">
      <w:pPr>
        <w:numPr>
          <w:ilvl w:val="0"/>
          <w:numId w:val="6"/>
        </w:numPr>
        <w:pBdr>
          <w:top w:space="0" w:sz="0" w:val="nil"/>
          <w:left w:space="0" w:sz="0" w:val="nil"/>
          <w:bottom w:space="0" w:sz="0" w:val="nil"/>
          <w:right w:space="0" w:sz="0" w:val="nil"/>
          <w:between w:space="0" w:sz="0" w:val="nil"/>
        </w:pBdr>
        <w:spacing w:after="120" w:before="120" w:lineRule="auto"/>
        <w:ind w:left="720" w:hanging="360"/>
        <w:rPr>
          <w:rFonts w:ascii="Arial" w:cs="Arial" w:eastAsia="Arial" w:hAnsi="Arial"/>
          <w:i w:val="1"/>
          <w:iCs w:val="1"/>
          <w:color w:val="000000"/>
          <w:sz w:val="24"/>
          <w:szCs w:val="24"/>
          <w:highlight w:val="yellow"/>
        </w:rPr>
      </w:pPr>
      <w:r w:rsidDel="00000000" w:rsidR="00000000" w:rsidRPr="00000000">
        <w:rPr>
          <w:rFonts w:ascii="Arial" w:cs="Arial" w:eastAsia="Arial" w:hAnsi="Arial"/>
          <w:i w:val="1"/>
          <w:iCs w:val="1"/>
          <w:color w:val="000000"/>
          <w:sz w:val="24"/>
          <w:szCs w:val="24"/>
          <w:highlight w:val="yellow"/>
          <w:rtl w:val="0"/>
        </w:rPr>
        <w:t xml:space="preserve">In respect of contract details notices under the Procurement Regulations 2024:</w:t>
      </w:r>
    </w:p>
    <w:p w:rsidR="00000000" w:rsidDel="00000000" w:rsidP="00000000" w:rsidRDefault="00000000" w:rsidRPr="00000000" w14:paraId="0000009A">
      <w:pPr>
        <w:numPr>
          <w:ilvl w:val="1"/>
          <w:numId w:val="6"/>
        </w:numPr>
        <w:pBdr>
          <w:top w:space="0" w:sz="0" w:val="nil"/>
          <w:left w:space="0" w:sz="0" w:val="nil"/>
          <w:bottom w:space="0" w:sz="0" w:val="nil"/>
          <w:right w:space="0" w:sz="0" w:val="nil"/>
          <w:between w:space="0" w:sz="0" w:val="nil"/>
        </w:pBdr>
        <w:spacing w:after="120" w:before="120" w:lineRule="auto"/>
        <w:ind w:left="1440" w:hanging="360"/>
        <w:rPr>
          <w:rFonts w:ascii="Arial" w:cs="Arial" w:eastAsia="Arial" w:hAnsi="Arial"/>
          <w:i w:val="1"/>
          <w:iCs w:val="1"/>
          <w:color w:val="000000"/>
          <w:sz w:val="24"/>
          <w:szCs w:val="24"/>
          <w:highlight w:val="yellow"/>
        </w:rPr>
      </w:pPr>
      <w:r w:rsidDel="00000000" w:rsidR="00000000" w:rsidRPr="00000000">
        <w:rPr>
          <w:rFonts w:ascii="Arial" w:cs="Arial" w:eastAsia="Arial" w:hAnsi="Arial"/>
          <w:i w:val="1"/>
          <w:iCs w:val="1"/>
          <w:color w:val="000000"/>
          <w:sz w:val="24"/>
          <w:szCs w:val="24"/>
          <w:highlight w:val="yellow"/>
          <w:rtl w:val="0"/>
        </w:rPr>
        <w:t xml:space="preserve">Regulation 32(2)(r) and regulation 35(2)(a) provides that a Buyer must include a description of the 3 KPIs the Buyer regards, at the time the contract details notice is published, as most material to performance of the contract obligations. </w:t>
      </w:r>
    </w:p>
    <w:p w:rsidR="00000000" w:rsidDel="00000000" w:rsidP="00000000" w:rsidRDefault="00000000" w:rsidRPr="00000000" w14:paraId="0000009B">
      <w:pPr>
        <w:numPr>
          <w:ilvl w:val="1"/>
          <w:numId w:val="6"/>
        </w:numPr>
        <w:pBdr>
          <w:top w:space="0" w:sz="0" w:val="nil"/>
          <w:left w:space="0" w:sz="0" w:val="nil"/>
          <w:bottom w:space="0" w:sz="0" w:val="nil"/>
          <w:right w:space="0" w:sz="0" w:val="nil"/>
          <w:between w:space="0" w:sz="0" w:val="nil"/>
        </w:pBdr>
        <w:spacing w:after="120" w:before="120" w:lineRule="auto"/>
        <w:ind w:left="1440" w:hanging="360"/>
        <w:rPr>
          <w:rFonts w:ascii="Arial" w:cs="Arial" w:eastAsia="Arial" w:hAnsi="Arial"/>
          <w:i w:val="1"/>
          <w:iCs w:val="1"/>
          <w:color w:val="000000"/>
          <w:sz w:val="24"/>
          <w:szCs w:val="24"/>
          <w:highlight w:val="yellow"/>
        </w:rPr>
      </w:pPr>
      <w:r w:rsidDel="00000000" w:rsidR="00000000" w:rsidRPr="00000000">
        <w:rPr>
          <w:rFonts w:ascii="Arial" w:cs="Arial" w:eastAsia="Arial" w:hAnsi="Arial"/>
          <w:i w:val="1"/>
          <w:iCs w:val="1"/>
          <w:color w:val="000000"/>
          <w:sz w:val="24"/>
          <w:szCs w:val="24"/>
          <w:highlight w:val="yellow"/>
          <w:rtl w:val="0"/>
        </w:rPr>
        <w:t xml:space="preserve">Regulation 32(2)(s) and regulation 35(2)(a) instructs Buyers who have deemed KPIs not appropriate for assessing the performance of their contract, to explain why. Section 71(2) of the Procurement Act 2023 requires a Buyer to assess and publish performance against the KPIs at least once in every period of twelve months throughout the life of the contract, and on termination of the contract. </w:t>
      </w:r>
    </w:p>
    <w:p w:rsidR="00000000" w:rsidDel="00000000" w:rsidP="00000000" w:rsidRDefault="00000000" w:rsidRPr="00000000" w14:paraId="0000009C">
      <w:pPr>
        <w:numPr>
          <w:ilvl w:val="0"/>
          <w:numId w:val="6"/>
        </w:numPr>
        <w:pBdr>
          <w:top w:space="0" w:sz="0" w:val="nil"/>
          <w:left w:space="0" w:sz="0" w:val="nil"/>
          <w:bottom w:space="0" w:sz="0" w:val="nil"/>
          <w:right w:space="0" w:sz="0" w:val="nil"/>
          <w:between w:space="0" w:sz="0" w:val="nil"/>
        </w:pBdr>
        <w:spacing w:after="120" w:before="120" w:lineRule="auto"/>
        <w:ind w:left="720" w:hanging="360"/>
        <w:rPr>
          <w:rFonts w:ascii="Arial" w:cs="Arial" w:eastAsia="Arial" w:hAnsi="Arial"/>
          <w:i w:val="1"/>
          <w:iCs w:val="1"/>
          <w:color w:val="000000"/>
          <w:sz w:val="24"/>
          <w:szCs w:val="24"/>
          <w:highlight w:val="yellow"/>
        </w:rPr>
      </w:pPr>
      <w:r w:rsidDel="00000000" w:rsidR="00000000" w:rsidRPr="00000000">
        <w:rPr>
          <w:rFonts w:ascii="Arial" w:cs="Arial" w:eastAsia="Arial" w:hAnsi="Arial"/>
          <w:i w:val="1"/>
          <w:iCs w:val="1"/>
          <w:color w:val="000000"/>
          <w:sz w:val="24"/>
          <w:szCs w:val="24"/>
          <w:highlight w:val="yellow"/>
          <w:rtl w:val="0"/>
        </w:rPr>
        <w:t xml:space="preserve">In respect of contract performance notices under the Procurement Regulations 2024:</w:t>
      </w:r>
    </w:p>
    <w:p w:rsidR="00000000" w:rsidDel="00000000" w:rsidP="00000000" w:rsidRDefault="00000000" w:rsidRPr="00000000" w14:paraId="0000009D">
      <w:pPr>
        <w:numPr>
          <w:ilvl w:val="1"/>
          <w:numId w:val="6"/>
        </w:numPr>
        <w:pBdr>
          <w:top w:space="0" w:sz="0" w:val="nil"/>
          <w:left w:space="0" w:sz="0" w:val="nil"/>
          <w:bottom w:space="0" w:sz="0" w:val="nil"/>
          <w:right w:space="0" w:sz="0" w:val="nil"/>
          <w:between w:space="0" w:sz="0" w:val="nil"/>
        </w:pBdr>
        <w:spacing w:after="120" w:before="120" w:lineRule="auto"/>
        <w:ind w:left="1440" w:hanging="360"/>
        <w:rPr>
          <w:rFonts w:ascii="Arial" w:cs="Arial" w:eastAsia="Arial" w:hAnsi="Arial"/>
          <w:i w:val="1"/>
          <w:iCs w:val="1"/>
          <w:color w:val="000000"/>
          <w:sz w:val="24"/>
          <w:szCs w:val="24"/>
          <w:highlight w:val="yellow"/>
        </w:rPr>
      </w:pPr>
      <w:r w:rsidDel="00000000" w:rsidR="00000000" w:rsidRPr="00000000">
        <w:rPr>
          <w:rFonts w:ascii="Arial" w:cs="Arial" w:eastAsia="Arial" w:hAnsi="Arial"/>
          <w:i w:val="1"/>
          <w:iCs w:val="1"/>
          <w:color w:val="000000"/>
          <w:sz w:val="24"/>
          <w:szCs w:val="24"/>
          <w:highlight w:val="yellow"/>
          <w:rtl w:val="0"/>
        </w:rPr>
        <w:t xml:space="preserve">Regulation 39(4)(d) and (e) provide that a Buyer must include a description of the 3 KPIs that it regards as most material to performance of the contract obligations at the time the contract performance notice is published and a statement that the notice is being used to set out the Buyer’s assessment of performance against those 3 KPIs.</w:t>
      </w:r>
    </w:p>
    <w:p w:rsidR="00000000" w:rsidDel="00000000" w:rsidP="00000000" w:rsidRDefault="00000000" w:rsidRPr="00000000" w14:paraId="0000009E">
      <w:pPr>
        <w:numPr>
          <w:ilvl w:val="0"/>
          <w:numId w:val="6"/>
        </w:numPr>
        <w:pBdr>
          <w:top w:space="0" w:sz="0" w:val="nil"/>
          <w:left w:space="0" w:sz="0" w:val="nil"/>
          <w:bottom w:space="0" w:sz="0" w:val="nil"/>
          <w:right w:space="0" w:sz="0" w:val="nil"/>
          <w:between w:space="0" w:sz="0" w:val="nil"/>
        </w:pBdr>
        <w:spacing w:after="120" w:before="120" w:lineRule="auto"/>
        <w:ind w:left="720" w:hanging="360"/>
        <w:rPr>
          <w:rFonts w:ascii="Arial" w:cs="Arial" w:eastAsia="Arial" w:hAnsi="Arial"/>
          <w:i w:val="1"/>
          <w:iCs w:val="1"/>
          <w:color w:val="000000"/>
          <w:sz w:val="24"/>
          <w:szCs w:val="24"/>
          <w:highlight w:val="yellow"/>
        </w:rPr>
      </w:pPr>
      <w:r w:rsidDel="00000000" w:rsidR="00000000" w:rsidRPr="00000000">
        <w:rPr>
          <w:rFonts w:ascii="Arial" w:cs="Arial" w:eastAsia="Arial" w:hAnsi="Arial"/>
          <w:i w:val="1"/>
          <w:iCs w:val="1"/>
          <w:color w:val="000000"/>
          <w:sz w:val="24"/>
          <w:szCs w:val="24"/>
          <w:highlight w:val="yellow"/>
          <w:rtl w:val="0"/>
        </w:rPr>
        <w:t xml:space="preserve"> It is worth noting that a Social Value KPI may be one included as one of these 3 KPIs reported in the contract detail notice, and contract performance notices, should a Buyer regard it as most material to performance of the contract at the time.</w:t>
      </w:r>
    </w:p>
    <w:p w:rsidR="00000000" w:rsidDel="00000000" w:rsidP="00000000" w:rsidRDefault="00000000" w:rsidRPr="00000000" w14:paraId="0000009F">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rPr>
      </w:pPr>
      <w:r w:rsidDel="00000000" w:rsidR="00000000" w:rsidRPr="00000000">
        <w:rPr>
          <w:rFonts w:ascii="Arial" w:cs="Arial" w:eastAsia="Arial" w:hAnsi="Arial"/>
          <w:i w:val="1"/>
          <w:iCs w:val="1"/>
          <w:sz w:val="24"/>
          <w:szCs w:val="24"/>
          <w:highlight w:val="yellow"/>
          <w:rtl w:val="0"/>
        </w:rPr>
        <w:t xml:space="preserve">It is possible that the KPIs selected as the top 3 may change throughout the life of the contract, meaning that those appearing in future contract performance notices may be different to those published at the time of contract award and within the contract details notice. </w:t>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rPr>
      </w:pPr>
      <w:r w:rsidDel="00000000" w:rsidR="00000000" w:rsidRPr="00000000">
        <w:rPr>
          <w:rFonts w:ascii="Arial" w:cs="Arial" w:eastAsia="Arial" w:hAnsi="Arial"/>
          <w:i w:val="1"/>
          <w:iCs w:val="1"/>
          <w:sz w:val="24"/>
          <w:szCs w:val="24"/>
          <w:highlight w:val="yellow"/>
          <w:rtl w:val="0"/>
        </w:rPr>
        <w:t xml:space="preserve">Buyers should note the exemptions in sections 94 and 99 of the Procurement Act 2023. If a Buyer withholds information under section 94 of the Procurement Act 2023, it must publish the fact that the information is being withheld and which sub-section of section 94 it is being withheld under. </w:t>
      </w:r>
    </w:p>
    <w:p w:rsidR="00000000" w:rsidDel="00000000" w:rsidP="00000000" w:rsidRDefault="00000000" w:rsidRPr="00000000" w14:paraId="000000A1">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rPr>
      </w:pPr>
      <w:r w:rsidDel="00000000" w:rsidR="00000000" w:rsidRPr="00000000">
        <w:rPr>
          <w:rFonts w:ascii="Arial" w:cs="Arial" w:eastAsia="Arial" w:hAnsi="Arial"/>
          <w:i w:val="1"/>
          <w:iCs w:val="1"/>
          <w:sz w:val="24"/>
          <w:szCs w:val="24"/>
          <w:highlight w:val="yellow"/>
          <w:rtl w:val="0"/>
        </w:rPr>
        <w:t xml:space="preserve">These obligations (and applicable exemptions) on publishing KPIs have been incorporated into the defined term of “Transparency Information” within this contract, and it is expected that performance against any KPIs set under the contract can be published. Buyers should refer to the KPI guidance published on Gov.uk (</w:t>
      </w:r>
      <w:hyperlink r:id="rId9">
        <w:r w:rsidDel="00000000" w:rsidR="00000000" w:rsidRPr="00000000">
          <w:rPr>
            <w:rFonts w:ascii="Arial" w:cs="Arial" w:eastAsia="Arial" w:hAnsi="Arial"/>
            <w:i w:val="1"/>
            <w:iCs w:val="1"/>
            <w:color w:val="0000ff"/>
            <w:sz w:val="24"/>
            <w:szCs w:val="24"/>
            <w:highlight w:val="yellow"/>
            <w:u w:val="single"/>
            <w:rtl w:val="0"/>
          </w:rPr>
          <w:t xml:space="preserve">https://www.gov.uk/government/publications/procurement-act-2023-guidance-documents-manage-phase/guidance-key-performance-indicators-html</w:t>
        </w:r>
      </w:hyperlink>
      <w:r w:rsidDel="00000000" w:rsidR="00000000" w:rsidRPr="00000000">
        <w:rPr>
          <w:rFonts w:ascii="Arial" w:cs="Arial" w:eastAsia="Arial" w:hAnsi="Arial"/>
          <w:i w:val="1"/>
          <w:iCs w:val="1"/>
          <w:sz w:val="24"/>
          <w:szCs w:val="24"/>
          <w:highlight w:val="yellow"/>
          <w:rtl w:val="0"/>
        </w:rPr>
        <w:t xml:space="preserve">) for further information.</w:t>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u w:val="single"/>
        </w:rPr>
      </w:pPr>
      <w:r w:rsidDel="00000000" w:rsidR="00000000" w:rsidRPr="00000000">
        <w:rPr>
          <w:rFonts w:ascii="Arial" w:cs="Arial" w:eastAsia="Arial" w:hAnsi="Arial"/>
          <w:i w:val="1"/>
          <w:iCs w:val="1"/>
          <w:sz w:val="24"/>
          <w:szCs w:val="24"/>
          <w:highlight w:val="yellow"/>
          <w:u w:val="single"/>
          <w:rtl w:val="0"/>
        </w:rPr>
        <w:t xml:space="preserve">Commercial Playbooks and KPIs</w:t>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rPr>
      </w:pPr>
      <w:r w:rsidDel="00000000" w:rsidR="00000000" w:rsidRPr="00000000">
        <w:rPr>
          <w:rFonts w:ascii="Arial" w:cs="Arial" w:eastAsia="Arial" w:hAnsi="Arial"/>
          <w:i w:val="1"/>
          <w:iCs w:val="1"/>
          <w:sz w:val="24"/>
          <w:szCs w:val="24"/>
          <w:highlight w:val="yellow"/>
          <w:rtl w:val="0"/>
        </w:rPr>
        <w:t xml:space="preserve">The Procurement Act 2023 expands the current KPI reporting requirement policy for Central Government Buyers and associated Arm's Length Bodies ("ALBs"). The requirements in the Procurement Act are in addition to (and so do not replace) those set out in the Commercial Playbooks. Please refer to the guidance in the KPI model. </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rPr>
      </w:pPr>
      <w:r w:rsidDel="00000000" w:rsidR="00000000" w:rsidRPr="00000000">
        <w:rPr>
          <w:rFonts w:ascii="Arial" w:cs="Arial" w:eastAsia="Arial" w:hAnsi="Arial"/>
          <w:i w:val="1"/>
          <w:iCs w:val="1"/>
          <w:sz w:val="24"/>
          <w:szCs w:val="24"/>
          <w:highlight w:val="yellow"/>
          <w:rtl w:val="0"/>
        </w:rPr>
        <w:t xml:space="preserve">For example, where a Buyer is a Central Government Department or ALB, they must in line with the </w:t>
      </w:r>
      <w:hyperlink r:id="rId10">
        <w:r w:rsidDel="00000000" w:rsidR="00000000" w:rsidRPr="00000000">
          <w:rPr>
            <w:rFonts w:ascii="Arial" w:cs="Arial" w:eastAsia="Arial" w:hAnsi="Arial"/>
            <w:i w:val="1"/>
            <w:iCs w:val="1"/>
            <w:sz w:val="24"/>
            <w:szCs w:val="24"/>
            <w:highlight w:val="yellow"/>
            <w:rtl w:val="0"/>
          </w:rPr>
          <w:t xml:space="preserve">Sourcing Playbook</w:t>
        </w:r>
      </w:hyperlink>
      <w:r w:rsidDel="00000000" w:rsidR="00000000" w:rsidRPr="00000000">
        <w:rPr>
          <w:rFonts w:ascii="Arial" w:cs="Arial" w:eastAsia="Arial" w:hAnsi="Arial"/>
          <w:i w:val="1"/>
          <w:iCs w:val="1"/>
          <w:sz w:val="24"/>
          <w:szCs w:val="24"/>
          <w:highlight w:val="yellow"/>
          <w:rtl w:val="0"/>
        </w:rPr>
        <w:t xml:space="preserve">, publish the top 3 operational KPIs for the Government’s most important contracts on a quarterly basis; and</w:t>
      </w:r>
    </w:p>
    <w:p w:rsidR="00000000" w:rsidDel="00000000" w:rsidP="00000000" w:rsidRDefault="00000000" w:rsidRPr="00000000" w14:paraId="000000A5">
      <w:pPr>
        <w:pBdr>
          <w:top w:space="0" w:sz="0" w:val="nil"/>
          <w:left w:space="0" w:sz="0" w:val="nil"/>
          <w:bottom w:space="0" w:sz="0" w:val="nil"/>
          <w:right w:space="0" w:sz="0" w:val="nil"/>
          <w:between w:space="0" w:sz="0" w:val="nil"/>
        </w:pBdr>
        <w:spacing w:after="120" w:before="120" w:lineRule="auto"/>
        <w:rPr>
          <w:rFonts w:ascii="Arial" w:cs="Arial" w:eastAsia="Arial" w:hAnsi="Arial"/>
          <w:i w:val="1"/>
          <w:iCs w:val="1"/>
          <w:sz w:val="24"/>
          <w:szCs w:val="24"/>
          <w:highlight w:val="yellow"/>
        </w:rPr>
      </w:pPr>
      <w:r w:rsidDel="00000000" w:rsidR="00000000" w:rsidRPr="00000000">
        <w:rPr>
          <w:rFonts w:ascii="Arial" w:cs="Arial" w:eastAsia="Arial" w:hAnsi="Arial"/>
          <w:i w:val="1"/>
          <w:iCs w:val="1"/>
          <w:sz w:val="24"/>
          <w:szCs w:val="24"/>
          <w:highlight w:val="yellow"/>
          <w:rtl w:val="0"/>
        </w:rPr>
        <w:t xml:space="preserve">where the Digital, Data and Technology Playbook (DDAT) </w:t>
      </w:r>
      <w:hyperlink r:id="rId11">
        <w:r w:rsidDel="00000000" w:rsidR="00000000" w:rsidRPr="00000000">
          <w:rPr>
            <w:rFonts w:ascii="Arial" w:cs="Arial" w:eastAsia="Arial" w:hAnsi="Arial"/>
            <w:i w:val="1"/>
            <w:iCs w:val="1"/>
            <w:color w:val="0000ff"/>
            <w:sz w:val="24"/>
            <w:szCs w:val="24"/>
            <w:highlight w:val="yellow"/>
            <w:u w:val="single"/>
            <w:rtl w:val="0"/>
          </w:rPr>
          <w:t xml:space="preserve">(https://www.gov.uk/government/publications/the-digital-data-and-technology-playbook</w:t>
        </w:r>
      </w:hyperlink>
      <w:r w:rsidDel="00000000" w:rsidR="00000000" w:rsidRPr="00000000">
        <w:rPr>
          <w:rFonts w:ascii="Arial" w:cs="Arial" w:eastAsia="Arial" w:hAnsi="Arial"/>
          <w:i w:val="1"/>
          <w:iCs w:val="1"/>
          <w:sz w:val="24"/>
          <w:szCs w:val="24"/>
          <w:highlight w:val="yellow"/>
          <w:rtl w:val="0"/>
        </w:rPr>
        <w:t xml:space="preserve">) applies to the Contract, comply with the DDAT policy requirements to publish 4 mandatory DDAT KPIs on a regular basis.</w:t>
      </w:r>
    </w:p>
    <w:p w:rsidR="00000000" w:rsidDel="00000000" w:rsidP="00000000" w:rsidRDefault="00000000" w:rsidRPr="00000000" w14:paraId="000000A6">
      <w:pPr>
        <w:rPr>
          <w:rFonts w:ascii="Arial" w:cs="Arial" w:eastAsia="Arial" w:hAnsi="Arial"/>
          <w:b w:val="1"/>
          <w:bCs w:val="1"/>
          <w:i w:val="1"/>
          <w:iCs w:val="1"/>
          <w:highlight w:val="yellow"/>
        </w:rPr>
      </w:pPr>
      <w:r w:rsidDel="00000000" w:rsidR="00000000" w:rsidRPr="00000000">
        <w:br w:type="page"/>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after="120" w:before="120" w:lineRule="auto"/>
        <w:rPr>
          <w:rFonts w:ascii="Arial" w:cs="Arial" w:eastAsia="Arial" w:hAnsi="Arial"/>
        </w:rPr>
      </w:pPr>
      <w:r w:rsidDel="00000000" w:rsidR="00000000" w:rsidRPr="00000000">
        <w:rPr>
          <w:rFonts w:ascii="Arial" w:cs="Arial" w:eastAsia="Arial" w:hAnsi="Arial"/>
          <w:b w:val="1"/>
          <w:bCs w:val="1"/>
          <w:color w:val="000000"/>
          <w:sz w:val="36"/>
          <w:szCs w:val="36"/>
          <w:rtl w:val="0"/>
        </w:rPr>
        <w:t xml:space="preserve">Part B: Performance Monitoring </w:t>
      </w:r>
      <w:r w:rsidDel="00000000" w:rsidR="00000000" w:rsidRPr="00000000">
        <w:rPr>
          <w:rtl w:val="0"/>
        </w:rPr>
      </w:r>
    </w:p>
    <w:p w:rsidR="00000000" w:rsidDel="00000000" w:rsidP="00000000" w:rsidRDefault="00000000" w:rsidRPr="00000000" w14:paraId="000000A8">
      <w:pPr>
        <w:numPr>
          <w:ilvl w:val="0"/>
          <w:numId w:val="3"/>
        </w:numPr>
        <w:pBdr>
          <w:top w:space="0" w:sz="0" w:val="nil"/>
          <w:left w:space="0" w:sz="0" w:val="nil"/>
          <w:bottom w:space="0" w:sz="0" w:val="nil"/>
          <w:right w:space="0" w:sz="0" w:val="nil"/>
          <w:between w:space="0" w:sz="0" w:val="nil"/>
        </w:pBdr>
        <w:tabs>
          <w:tab w:val="left" w:leader="none" w:pos="142"/>
        </w:tabs>
        <w:spacing w:after="120" w:before="240" w:lineRule="auto"/>
        <w:ind w:left="720" w:hanging="72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Performance Monitoring and Performance Review</w:t>
      </w:r>
    </w:p>
    <w:p w:rsidR="00000000" w:rsidDel="00000000" w:rsidP="00000000" w:rsidRDefault="00000000" w:rsidRPr="00000000" w14:paraId="000000A9">
      <w:pPr>
        <w:numPr>
          <w:ilvl w:val="1"/>
          <w:numId w:val="3"/>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bookmarkStart w:colFirst="0" w:colLast="0" w:name="_heading=h.4i7ojhp" w:id="19"/>
      <w:bookmarkEnd w:id="19"/>
      <w:r w:rsidDel="00000000" w:rsidR="00000000" w:rsidRPr="00000000">
        <w:rPr>
          <w:rFonts w:ascii="Arial" w:cs="Arial" w:eastAsia="Arial" w:hAnsi="Arial"/>
          <w:color w:val="000000"/>
          <w:sz w:val="24"/>
          <w:szCs w:val="24"/>
          <w:rtl w:val="0"/>
        </w:rPr>
        <w:t xml:space="preserve">Within twenty (20) Working Days of the Start Date the Supplier shall provide the Buyer with details of how the process in respect of the monitoring and reporting of KPIs will operate between the Parties and the Parties will endeavour to agree such process as soon as reasonably possible.</w:t>
      </w:r>
    </w:p>
    <w:p w:rsidR="00000000" w:rsidDel="00000000" w:rsidP="00000000" w:rsidRDefault="00000000" w:rsidRPr="00000000" w14:paraId="000000AA">
      <w:pPr>
        <w:keepNext w:val="1"/>
        <w:numPr>
          <w:ilvl w:val="1"/>
          <w:numId w:val="3"/>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provide the Buyer with performance monitoring reports in the same format as that in the KPI Model ("</w:t>
      </w:r>
      <w:r w:rsidDel="00000000" w:rsidR="00000000" w:rsidRPr="00000000">
        <w:rPr>
          <w:rFonts w:ascii="Arial" w:cs="Arial" w:eastAsia="Arial" w:hAnsi="Arial"/>
          <w:b w:val="1"/>
          <w:bCs w:val="1"/>
          <w:color w:val="000000"/>
          <w:sz w:val="24"/>
          <w:szCs w:val="24"/>
          <w:rtl w:val="0"/>
        </w:rPr>
        <w:t xml:space="preserve">Performance Monitoring Reports</w:t>
      </w:r>
      <w:r w:rsidDel="00000000" w:rsidR="00000000" w:rsidRPr="00000000">
        <w:rPr>
          <w:rFonts w:ascii="Arial" w:cs="Arial" w:eastAsia="Arial" w:hAnsi="Arial"/>
          <w:color w:val="000000"/>
          <w:sz w:val="24"/>
          <w:szCs w:val="24"/>
          <w:rtl w:val="0"/>
        </w:rPr>
        <w:t xml:space="preserve">") in accordance with the process and timescales agreed pursuant to paragraph </w:t>
      </w:r>
      <w:r w:rsidDel="00000000" w:rsidR="00000000" w:rsidRPr="00000000">
        <w:rPr>
          <w:rFonts w:ascii="Arial" w:cs="Arial" w:eastAsia="Arial" w:hAnsi="Arial"/>
          <w:sz w:val="24"/>
          <w:szCs w:val="24"/>
          <w:rtl w:val="0"/>
        </w:rPr>
        <w:t xml:space="preserve">1</w:t>
      </w:r>
      <w:r w:rsidDel="00000000" w:rsidR="00000000" w:rsidRPr="00000000">
        <w:rPr>
          <w:rFonts w:ascii="Arial" w:cs="Arial" w:eastAsia="Arial" w:hAnsi="Arial"/>
          <w:color w:val="000000"/>
          <w:sz w:val="24"/>
          <w:szCs w:val="24"/>
          <w:rtl w:val="0"/>
        </w:rPr>
        <w:t xml:space="preserve">.1 of Part B of this Schedule which shall contain, as a minimum, the following information in respect of the relevant Service Period just ended:</w:t>
      </w:r>
    </w:p>
    <w:p w:rsidR="00000000" w:rsidDel="00000000" w:rsidP="00000000" w:rsidRDefault="00000000" w:rsidRPr="00000000" w14:paraId="000000AB">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each KPI, the actual performance achieved over the KPI for the relevant Service Period;</w:t>
      </w:r>
    </w:p>
    <w:p w:rsidR="00000000" w:rsidDel="00000000" w:rsidP="00000000" w:rsidRDefault="00000000" w:rsidRPr="00000000" w14:paraId="000000AC">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 summary of all failures to achieve KPIs that occurred during that Service Period;</w:t>
      </w:r>
    </w:p>
    <w:p w:rsidR="00000000" w:rsidDel="00000000" w:rsidP="00000000" w:rsidRDefault="00000000" w:rsidRPr="00000000" w14:paraId="000000AD">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details of any Persistent KPI Failures;</w:t>
      </w:r>
    </w:p>
    <w:p w:rsidR="00000000" w:rsidDel="00000000" w:rsidP="00000000" w:rsidRDefault="00000000" w:rsidRPr="00000000" w14:paraId="000000AE">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for any Persistent failures, actions taken to resolve the underlying cause and prevent recurrence;</w:t>
      </w:r>
    </w:p>
    <w:p w:rsidR="00000000" w:rsidDel="00000000" w:rsidP="00000000" w:rsidRDefault="00000000" w:rsidRPr="00000000" w14:paraId="000000AF">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KPI Credits to be applied in respect of the relevant Service Period indicating the KPI Failures and KPIs to which the KPI Credits relate; and</w:t>
      </w:r>
    </w:p>
    <w:p w:rsidR="00000000" w:rsidDel="00000000" w:rsidP="00000000" w:rsidRDefault="00000000" w:rsidRPr="00000000" w14:paraId="000000B0">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such other details as the Buyer may reasonably require from time to time.</w:t>
      </w:r>
    </w:p>
    <w:p w:rsidR="00000000" w:rsidDel="00000000" w:rsidP="00000000" w:rsidRDefault="00000000" w:rsidRPr="00000000" w14:paraId="000000B1">
      <w:pPr>
        <w:keepNext w:val="1"/>
        <w:numPr>
          <w:ilvl w:val="1"/>
          <w:numId w:val="3"/>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Parties shall attend meetings to discuss Performance Monitoring Reports ("</w:t>
      </w:r>
      <w:r w:rsidDel="00000000" w:rsidR="00000000" w:rsidRPr="00000000">
        <w:rPr>
          <w:rFonts w:ascii="Arial" w:cs="Arial" w:eastAsia="Arial" w:hAnsi="Arial"/>
          <w:b w:val="1"/>
          <w:bCs w:val="1"/>
          <w:color w:val="000000"/>
          <w:sz w:val="24"/>
          <w:szCs w:val="24"/>
          <w:rtl w:val="0"/>
        </w:rPr>
        <w:t xml:space="preserve">Performance Review Meetings</w:t>
      </w:r>
      <w:r w:rsidDel="00000000" w:rsidR="00000000" w:rsidRPr="00000000">
        <w:rPr>
          <w:rFonts w:ascii="Arial" w:cs="Arial" w:eastAsia="Arial" w:hAnsi="Arial"/>
          <w:color w:val="000000"/>
          <w:sz w:val="24"/>
          <w:szCs w:val="24"/>
          <w:rtl w:val="0"/>
        </w:rPr>
        <w:t xml:space="preserve">") on a Monthly basis. The Performance Review Meetings will be the forum for the review by the Supplier and the Buyer of the Performance Monitoring Reports. The Performance Review Meetings shall:</w:t>
      </w:r>
    </w:p>
    <w:p w:rsidR="00000000" w:rsidDel="00000000" w:rsidP="00000000" w:rsidRDefault="00000000" w:rsidRPr="00000000" w14:paraId="000000B2">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take place within one (1) week of the Performance Monitoring Reports being issued by the Supplier at such location and time (within normal business hours) as the Buyer shall reasonably require;</w:t>
      </w:r>
    </w:p>
    <w:p w:rsidR="00000000" w:rsidDel="00000000" w:rsidP="00000000" w:rsidRDefault="00000000" w:rsidRPr="00000000" w14:paraId="000000B3">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be attended by the Supplier's Representative and the Buyer’s Representative; and</w:t>
      </w:r>
    </w:p>
    <w:p w:rsidR="00000000" w:rsidDel="00000000" w:rsidP="00000000" w:rsidRDefault="00000000" w:rsidRPr="00000000" w14:paraId="000000B4">
      <w:pPr>
        <w:numPr>
          <w:ilvl w:val="2"/>
          <w:numId w:val="3"/>
        </w:numPr>
        <w:pBdr>
          <w:top w:space="0" w:sz="0" w:val="nil"/>
          <w:left w:space="0" w:sz="0" w:val="nil"/>
          <w:bottom w:space="0" w:sz="0" w:val="nil"/>
          <w:right w:space="0" w:sz="0" w:val="nil"/>
          <w:between w:space="0" w:sz="0" w:val="nil"/>
        </w:pBdr>
        <w:spacing w:after="120" w:before="120" w:lineRule="auto"/>
        <w:ind w:left="216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be fully minuted by the Supplier and the minutes will be circulated by the Supplier to all attendees at the relevant meeting and also to the Buyer’s Representative and any other recipients agreed at the relevant meeting. </w:t>
      </w:r>
    </w:p>
    <w:p w:rsidR="00000000" w:rsidDel="00000000" w:rsidP="00000000" w:rsidRDefault="00000000" w:rsidRPr="00000000" w14:paraId="000000B5">
      <w:pPr>
        <w:numPr>
          <w:ilvl w:val="1"/>
          <w:numId w:val="3"/>
        </w:numPr>
        <w:pBdr>
          <w:top w:space="0" w:sz="0" w:val="nil"/>
          <w:left w:space="0" w:sz="0" w:val="nil"/>
          <w:bottom w:space="0" w:sz="0" w:val="nil"/>
          <w:right w:space="0" w:sz="0" w:val="nil"/>
          <w:between w:space="0" w:sz="0" w:val="nil"/>
        </w:pBdr>
        <w:tabs>
          <w:tab w:val="left" w:leader="none" w:pos="144"/>
        </w:tabs>
        <w:spacing w:after="120" w:lineRule="auto"/>
        <w:ind w:left="1440" w:hanging="545"/>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minutes of the preceding Month's Performance Review Meeting will be agreed and signed by both the Supplier's Representative and the Buyer’s Representative at each meeting.</w:t>
      </w:r>
    </w:p>
    <w:p w:rsidR="00000000" w:rsidDel="00000000" w:rsidP="00000000" w:rsidRDefault="00000000" w:rsidRPr="00000000" w14:paraId="000000B6">
      <w:pPr>
        <w:numPr>
          <w:ilvl w:val="1"/>
          <w:numId w:val="3"/>
        </w:numPr>
        <w:pBdr>
          <w:top w:space="0" w:sz="0" w:val="nil"/>
          <w:left w:space="0" w:sz="0" w:val="nil"/>
          <w:bottom w:space="0" w:sz="0" w:val="nil"/>
          <w:right w:space="0" w:sz="0" w:val="nil"/>
          <w:between w:space="0" w:sz="0" w:val="nil"/>
        </w:pBdr>
        <w:tabs>
          <w:tab w:val="left" w:leader="none" w:pos="144"/>
        </w:tabs>
        <w:spacing w:after="120" w:lineRule="auto"/>
        <w:ind w:left="1440" w:hanging="545"/>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shall provide to the Buyer such documentation as the Buyer may reasonably require in order to verify the level of the performance by the Supplier and the calculations of the amount of KPI Credits for any specified Service Period.</w:t>
      </w:r>
    </w:p>
    <w:p w:rsidR="00000000" w:rsidDel="00000000" w:rsidP="00000000" w:rsidRDefault="00000000" w:rsidRPr="00000000" w14:paraId="000000B7">
      <w:pPr>
        <w:numPr>
          <w:ilvl w:val="1"/>
          <w:numId w:val="3"/>
        </w:numPr>
        <w:pBdr>
          <w:top w:space="0" w:sz="0" w:val="nil"/>
          <w:left w:space="0" w:sz="0" w:val="nil"/>
          <w:bottom w:space="0" w:sz="0" w:val="nil"/>
          <w:right w:space="0" w:sz="0" w:val="nil"/>
          <w:between w:space="0" w:sz="0" w:val="nil"/>
        </w:pBdr>
        <w:tabs>
          <w:tab w:val="left" w:leader="none" w:pos="144"/>
        </w:tabs>
        <w:spacing w:after="120" w:lineRule="auto"/>
        <w:ind w:left="1440" w:hanging="545"/>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Annex A to Part A of this Schedule describes how the levels of performance under the KPI Performance Measures will be mapped to the performance ratings prescribed under Regulation 39(5) of the Procurement Regulations 2024, if applicable. The mapping set out in the KPI Model will be applied by the Buyer when publishing relevant Transparency Information relating to the KPIs and/or the Supplier's performance against the relevant KPIs pursuant to Section 52(3) and/or Section 71(2) of the Procurement Act 2023 and the associated Regulations.</w:t>
      </w:r>
    </w:p>
    <w:p w:rsidR="00000000" w:rsidDel="00000000" w:rsidP="00000000" w:rsidRDefault="00000000" w:rsidRPr="00000000" w14:paraId="000000B8">
      <w:pPr>
        <w:numPr>
          <w:ilvl w:val="1"/>
          <w:numId w:val="3"/>
        </w:numPr>
        <w:pBdr>
          <w:top w:space="0" w:sz="0" w:val="nil"/>
          <w:left w:space="0" w:sz="0" w:val="nil"/>
          <w:bottom w:space="0" w:sz="0" w:val="nil"/>
          <w:right w:space="0" w:sz="0" w:val="nil"/>
          <w:between w:space="0" w:sz="0" w:val="nil"/>
        </w:pBdr>
        <w:tabs>
          <w:tab w:val="left" w:leader="none" w:pos="144"/>
        </w:tabs>
        <w:spacing w:after="120" w:lineRule="auto"/>
        <w:ind w:left="1440" w:hanging="545"/>
        <w:jc w:val="both"/>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Supplier acknowledges and agrees that, each time the Buyer conducts an assessment of the Supplier’s performance against a KPI, the Buyer may publish information as required by Law in relation to that assessment.</w:t>
      </w:r>
    </w:p>
    <w:p w:rsidR="00000000" w:rsidDel="00000000" w:rsidP="00000000" w:rsidRDefault="00000000" w:rsidRPr="00000000" w14:paraId="000000B9">
      <w:pPr>
        <w:numPr>
          <w:ilvl w:val="0"/>
          <w:numId w:val="3"/>
        </w:numPr>
        <w:pBdr>
          <w:top w:space="0" w:sz="0" w:val="nil"/>
          <w:left w:space="0" w:sz="0" w:val="nil"/>
          <w:bottom w:space="0" w:sz="0" w:val="nil"/>
          <w:right w:space="0" w:sz="0" w:val="nil"/>
          <w:between w:space="0" w:sz="0" w:val="nil"/>
        </w:pBdr>
        <w:tabs>
          <w:tab w:val="left" w:leader="none" w:pos="142"/>
        </w:tabs>
        <w:spacing w:after="120" w:lineRule="auto"/>
        <w:ind w:left="720" w:hanging="720"/>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Satisfaction Surveys</w:t>
      </w:r>
    </w:p>
    <w:p w:rsidR="00000000" w:rsidDel="00000000" w:rsidP="00000000" w:rsidRDefault="00000000" w:rsidRPr="00000000" w14:paraId="000000BA">
      <w:pPr>
        <w:numPr>
          <w:ilvl w:val="1"/>
          <w:numId w:val="3"/>
        </w:numPr>
        <w:pBdr>
          <w:top w:space="0" w:sz="0" w:val="nil"/>
          <w:left w:space="0" w:sz="0" w:val="nil"/>
          <w:bottom w:space="0" w:sz="0" w:val="nil"/>
          <w:right w:space="0" w:sz="0" w:val="nil"/>
          <w:between w:space="0" w:sz="0" w:val="nil"/>
        </w:pBdr>
        <w:spacing w:after="120" w:before="120" w:lineRule="auto"/>
        <w:ind w:left="1440" w:hanging="720"/>
        <w:rPr>
          <w:rFonts w:ascii="Arial" w:cs="Arial" w:eastAsia="Arial" w:hAnsi="Arial"/>
          <w:color w:val="000000"/>
          <w:sz w:val="24"/>
          <w:szCs w:val="24"/>
        </w:rPr>
      </w:pPr>
      <w:r w:rsidDel="00000000" w:rsidR="00000000" w:rsidRPr="00000000">
        <w:rPr>
          <w:rFonts w:ascii="Arial" w:cs="Arial" w:eastAsia="Arial" w:hAnsi="Arial"/>
          <w:color w:val="000000"/>
          <w:sz w:val="24"/>
          <w:szCs w:val="24"/>
          <w:rtl w:val="0"/>
        </w:rPr>
        <w:t xml:space="preserve">The Buyer may undertake satisfaction surveys in respect of the Supplier's provision of the Deliverables. The Buyer shall be entitled to notify the Supplier of any aspects of their performance of the provision of the Deliverables which the responses to the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atisfaction </w:t>
      </w:r>
      <w:r w:rsidDel="00000000" w:rsidR="00000000" w:rsidRPr="00000000">
        <w:rPr>
          <w:rFonts w:ascii="Arial" w:cs="Arial" w:eastAsia="Arial" w:hAnsi="Arial"/>
          <w:sz w:val="24"/>
          <w:szCs w:val="24"/>
          <w:rtl w:val="0"/>
        </w:rPr>
        <w:t xml:space="preserve">s</w:t>
      </w:r>
      <w:r w:rsidDel="00000000" w:rsidR="00000000" w:rsidRPr="00000000">
        <w:rPr>
          <w:rFonts w:ascii="Arial" w:cs="Arial" w:eastAsia="Arial" w:hAnsi="Arial"/>
          <w:color w:val="000000"/>
          <w:sz w:val="24"/>
          <w:szCs w:val="24"/>
          <w:rtl w:val="0"/>
        </w:rPr>
        <w:t xml:space="preserve">urveys reasonably suggest are not in accordance with this Contract.</w:t>
      </w:r>
    </w:p>
    <w:p w:rsidR="00000000" w:rsidDel="00000000" w:rsidP="00000000" w:rsidRDefault="00000000" w:rsidRPr="00000000" w14:paraId="000000BB">
      <w:pPr>
        <w:pBdr>
          <w:top w:space="0" w:sz="0" w:val="nil"/>
          <w:left w:space="0" w:sz="0" w:val="nil"/>
          <w:bottom w:space="0" w:sz="0" w:val="nil"/>
          <w:right w:space="0" w:sz="0" w:val="nil"/>
          <w:between w:space="0" w:sz="0" w:val="nil"/>
        </w:pBdr>
        <w:spacing w:after="120" w:before="120" w:lineRule="auto"/>
        <w:ind w:left="936" w:hanging="576"/>
        <w:jc w:val="both"/>
        <w:rPr>
          <w:rFonts w:ascii="Arial" w:cs="Arial" w:eastAsia="Arial" w:hAnsi="Arial"/>
          <w:color w:val="000000"/>
          <w:sz w:val="24"/>
          <w:szCs w:val="24"/>
        </w:rPr>
      </w:pPr>
      <w:bookmarkStart w:colFirst="0" w:colLast="0" w:name="_heading=h.30j0zll" w:id="20"/>
      <w:bookmarkEnd w:id="20"/>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6838" w:w="11906" w:orient="portrait"/>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tabs>
        <w:tab w:val="center" w:leader="none" w:pos="4513"/>
        <w:tab w:val="right" w:leader="none" w:pos="9026"/>
      </w:tabs>
      <w:spacing w:after="0" w:lineRule="auto"/>
      <w:jc w:val="both"/>
      <w:rPr/>
    </w:pPr>
    <w:r w:rsidDel="00000000" w:rsidR="00000000" w:rsidRPr="00000000">
      <w:rPr>
        <w:rtl w:val="0"/>
      </w:rPr>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Framework Ref: RM6378</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3820"/>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v1.0</w:t>
      <w:tab/>
      <w:tab/>
      <w:tab/>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Model Version: v1.0</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tabs>
        <w:tab w:val="center" w:leader="none" w:pos="4513"/>
        <w:tab w:val="right" w:leader="none" w:pos="9026"/>
      </w:tabs>
      <w:spacing w:after="0" w:line="240" w:lineRule="auto"/>
      <w:jc w:val="both"/>
      <w:rPr/>
    </w:pPr>
    <w:r w:rsidDel="00000000" w:rsidR="00000000" w:rsidRPr="00000000">
      <w:rPr>
        <w:rtl w:val="0"/>
      </w:rPr>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Framework Ref: RM</w:t>
      <w:tab/>
      <w:t xml:space="preserve">                      </w:t>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Project Version: v1.0</w:t>
      <w:tab/>
      <w:tab/>
      <w:tab/>
    </w:r>
    <w:r w:rsidDel="00000000" w:rsidR="00000000" w:rsidRPr="00000000">
      <w:rPr>
        <w:rFonts w:ascii="Arial" w:cs="Arial" w:eastAsia="Arial" w:hAnsi="Arial"/>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Fonts w:ascii="Arial" w:cs="Arial" w:eastAsia="Arial" w:hAnsi="Arial"/>
        <w:color w:val="000000"/>
        <w:sz w:val="20"/>
        <w:szCs w:val="20"/>
        <w:rtl w:val="0"/>
      </w:rPr>
      <w:t xml:space="preserve">Model Version: v2.9</w:t>
      <w:tab/>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rPr>
    </w:pPr>
    <w:r w:rsidDel="00000000" w:rsidR="00000000" w:rsidRPr="00000000">
      <w:rPr>
        <w:rFonts w:ascii="Arial" w:cs="Arial" w:eastAsia="Arial" w:hAnsi="Arial"/>
        <w:b w:val="1"/>
        <w:bCs w:val="1"/>
        <w:color w:val="000000"/>
        <w:rtl w:val="0"/>
      </w:rPr>
      <w:t xml:space="preserve">Call-Off Schedule 14 (</w:t>
    </w:r>
    <w:r w:rsidDel="00000000" w:rsidR="00000000" w:rsidRPr="00000000">
      <w:rPr>
        <w:rFonts w:ascii="Arial" w:cs="Arial" w:eastAsia="Arial" w:hAnsi="Arial"/>
        <w:b w:val="1"/>
        <w:bCs w:val="1"/>
        <w:rtl w:val="0"/>
      </w:rPr>
      <w:t xml:space="preserve">Key Performance Indicators</w:t>
    </w:r>
    <w:r w:rsidDel="00000000" w:rsidR="00000000" w:rsidRPr="00000000">
      <w:rPr>
        <w:rFonts w:ascii="Arial" w:cs="Arial" w:eastAsia="Arial" w:hAnsi="Arial"/>
        <w:b w:val="1"/>
        <w:bCs w:val="1"/>
        <w:color w:val="000000"/>
        <w:rtl w:val="0"/>
      </w:rPr>
      <w:t xml:space="preserve">)</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Call-Off Ref:</w:t>
    </w:r>
  </w:p>
  <w:p w:rsidR="00000000" w:rsidDel="00000000" w:rsidP="00000000" w:rsidRDefault="00000000" w:rsidRPr="00000000" w14:paraId="000000BF">
    <w:pPr>
      <w:pBdr>
        <w:top w:space="0" w:sz="0" w:val="nil"/>
        <w:left w:space="0" w:sz="0" w:val="nil"/>
        <w:bottom w:space="0" w:sz="0" w:val="nil"/>
        <w:right w:space="0" w:sz="0" w:val="nil"/>
        <w:between w:space="0" w:sz="0" w:val="nil"/>
      </w:pBdr>
      <w:tabs>
        <w:tab w:val="center" w:leader="none" w:pos="4513"/>
        <w:tab w:val="right" w:leader="none" w:pos="9026"/>
      </w:tabs>
      <w:spacing w:after="0" w:lineRule="auto"/>
      <w:rPr>
        <w:rFonts w:ascii="Arial" w:cs="Arial" w:eastAsia="Arial" w:hAnsi="Arial"/>
        <w:color w:val="000000"/>
      </w:rPr>
    </w:pPr>
    <w:r w:rsidDel="00000000" w:rsidR="00000000" w:rsidRPr="00000000">
      <w:rPr>
        <w:rFonts w:ascii="Arial" w:cs="Arial" w:eastAsia="Arial" w:hAnsi="Arial"/>
        <w:color w:val="000000"/>
        <w:rtl w:val="0"/>
      </w:rPr>
      <w:t xml:space="preserve">Crown Copyright 20</w:t>
    </w:r>
    <w:r w:rsidDel="00000000" w:rsidR="00000000" w:rsidRPr="00000000">
      <w:rPr>
        <w:rFonts w:ascii="Arial" w:cs="Arial" w:eastAsia="Arial" w:hAnsi="Arial"/>
        <w:rtl w:val="0"/>
      </w:rPr>
      <w:t xml:space="preserve">21</w:t>
    </w:r>
    <w:r w:rsidDel="00000000" w:rsidR="00000000" w:rsidRPr="00000000">
      <w:rPr>
        <w:rtl w:val="0"/>
      </w:rPr>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72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160"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Arial" w:cs="Arial" w:eastAsia="Arial" w:hAnsi="Arial"/>
        <w:b w:val="0"/>
        <w:bCs w:val="0"/>
        <w:i w:val="0"/>
        <w:iCs w:val="0"/>
        <w:smallCaps w:val="0"/>
        <w:strike w:val="0"/>
        <w:color w:val="000000"/>
        <w:sz w:val="22"/>
        <w:szCs w:val="22"/>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3">
    <w:lvl w:ilvl="0">
      <w:start w:val="1"/>
      <w:numFmt w:val="decimal"/>
      <w:lvlText w:val="%1."/>
      <w:lvlJc w:val="left"/>
      <w:pPr>
        <w:ind w:left="720" w:hanging="72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160"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4">
    <w:lvl w:ilvl="0">
      <w:start w:val="1"/>
      <w:numFmt w:val="decimal"/>
      <w:lvlText w:val="%1."/>
      <w:lvlJc w:val="left"/>
      <w:pPr>
        <w:ind w:left="720" w:hanging="720"/>
      </w:pPr>
      <w:rPr>
        <w:rFonts w:ascii="Arial" w:cs="Arial" w:eastAsia="Arial" w:hAnsi="Arial"/>
        <w:b w:val="1"/>
        <w:bCs w:val="1"/>
        <w:i w:val="0"/>
        <w:iCs w:val="0"/>
        <w:smallCaps w:val="0"/>
        <w:strike w:val="0"/>
        <w:color w:val="000000"/>
        <w:sz w:val="24"/>
        <w:szCs w:val="24"/>
        <w:u w:val="none"/>
        <w:vertAlign w:val="baseline"/>
      </w:rPr>
    </w:lvl>
    <w:lvl w:ilvl="1">
      <w:start w:val="1"/>
      <w:numFmt w:val="decimal"/>
      <w:lvlText w:val="%1.%2"/>
      <w:lvlJc w:val="left"/>
      <w:pPr>
        <w:ind w:left="1440" w:hanging="720"/>
      </w:pPr>
      <w:rPr>
        <w:rFonts w:ascii="Arial" w:cs="Arial" w:eastAsia="Arial" w:hAnsi="Arial"/>
        <w:b w:val="0"/>
        <w:bCs w:val="0"/>
        <w:i w:val="0"/>
        <w:iCs w:val="0"/>
        <w:smallCaps w:val="0"/>
        <w:strike w:val="0"/>
        <w:color w:val="000000"/>
        <w:sz w:val="24"/>
        <w:szCs w:val="24"/>
        <w:u w:val="none"/>
        <w:vertAlign w:val="baseline"/>
      </w:rPr>
    </w:lvl>
    <w:lvl w:ilvl="2">
      <w:start w:val="1"/>
      <w:numFmt w:val="decimal"/>
      <w:lvlText w:val="%1.%2.%3"/>
      <w:lvlJc w:val="left"/>
      <w:pPr>
        <w:ind w:left="2160"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Arial" w:cs="Arial" w:eastAsia="Arial" w:hAnsi="Arial"/>
        <w:b w:val="0"/>
        <w:bCs w:val="0"/>
        <w:i w:val="0"/>
        <w:iCs w:val="0"/>
        <w:smallCaps w:val="0"/>
        <w:strike w:val="0"/>
        <w:color w:val="000000"/>
        <w:sz w:val="22"/>
        <w:szCs w:val="22"/>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5">
    <w:lvl w:ilvl="0">
      <w:start w:val="1"/>
      <w:numFmt w:val="decimal"/>
      <w:lvlText w:val="%1."/>
      <w:lvlJc w:val="left"/>
      <w:pPr>
        <w:ind w:left="720" w:hanging="720"/>
      </w:pPr>
      <w:rPr>
        <w:rFonts w:ascii="Calibri" w:cs="Calibri" w:eastAsia="Calibri" w:hAnsi="Calibri"/>
        <w:b w:val="1"/>
        <w:bCs w:val="1"/>
        <w:i w:val="0"/>
        <w:iCs w:val="0"/>
        <w:smallCaps w:val="0"/>
        <w:strike w:val="0"/>
        <w:color w:val="000000"/>
        <w:sz w:val="22"/>
        <w:szCs w:val="22"/>
        <w:u w:val="none"/>
        <w:vertAlign w:val="baseline"/>
      </w:rPr>
    </w:lvl>
    <w:lvl w:ilvl="1">
      <w:start w:val="1"/>
      <w:numFmt w:val="lowerLetter"/>
      <w:lvlText w:val="%2)"/>
      <w:lvlJc w:val="left"/>
      <w:pPr>
        <w:ind w:left="1440" w:hanging="720"/>
      </w:pPr>
      <w:rPr>
        <w:b w:val="0"/>
        <w:bCs w:val="0"/>
        <w:i w:val="0"/>
        <w:iCs w:val="0"/>
        <w:smallCaps w:val="0"/>
        <w:strike w:val="0"/>
        <w:color w:val="000000"/>
        <w:sz w:val="22"/>
        <w:szCs w:val="22"/>
        <w:u w:val="none"/>
        <w:vertAlign w:val="baseline"/>
      </w:rPr>
    </w:lvl>
    <w:lvl w:ilvl="2">
      <w:start w:val="1"/>
      <w:numFmt w:val="decimal"/>
      <w:lvlText w:val="%1.2.%3"/>
      <w:lvlJc w:val="left"/>
      <w:pPr>
        <w:ind w:left="2160" w:hanging="720"/>
      </w:pPr>
      <w:rPr>
        <w:rFonts w:ascii="Arial" w:cs="Arial" w:eastAsia="Arial" w:hAnsi="Arial"/>
        <w:b w:val="0"/>
        <w:bCs w:val="0"/>
        <w:i w:val="0"/>
        <w:iCs w:val="0"/>
        <w:smallCaps w:val="0"/>
        <w:strike w:val="0"/>
        <w:color w:val="000000"/>
        <w:sz w:val="24"/>
        <w:szCs w:val="24"/>
        <w:u w:val="none"/>
        <w:vertAlign w:val="baseline"/>
      </w:rPr>
    </w:lvl>
    <w:lvl w:ilvl="3">
      <w:start w:val="1"/>
      <w:numFmt w:val="lowerLetter"/>
      <w:lvlText w:val="(%4)"/>
      <w:lvlJc w:val="left"/>
      <w:pPr>
        <w:ind w:left="2880" w:hanging="720"/>
      </w:pPr>
      <w:rPr>
        <w:rFonts w:ascii="Calibri" w:cs="Calibri" w:eastAsia="Calibri" w:hAnsi="Calibri"/>
        <w:b w:val="0"/>
        <w:bCs w:val="0"/>
        <w:i w:val="0"/>
        <w:iCs w:val="0"/>
        <w:smallCaps w:val="0"/>
        <w:strike w:val="0"/>
        <w:color w:val="000000"/>
        <w:sz w:val="22"/>
        <w:szCs w:val="22"/>
        <w:u w:val="none"/>
        <w:vertAlign w:val="baseline"/>
      </w:rPr>
    </w:lvl>
    <w:lvl w:ilvl="4">
      <w:start w:val="1"/>
      <w:numFmt w:val="lowerRoman"/>
      <w:lvlText w:val="(%5)"/>
      <w:lvlJc w:val="left"/>
      <w:pPr>
        <w:ind w:left="3600" w:hanging="720"/>
      </w:pPr>
      <w:rPr>
        <w:b w:val="0"/>
        <w:bCs w:val="0"/>
        <w:i w:val="0"/>
        <w:iCs w:val="0"/>
        <w:smallCaps w:val="0"/>
        <w:strike w:val="0"/>
        <w:color w:val="000000"/>
        <w:u w:val="none"/>
        <w:vertAlign w:val="baseline"/>
      </w:rPr>
    </w:lvl>
    <w:lvl w:ilvl="5">
      <w:start w:val="1"/>
      <w:numFmt w:val="upperLetter"/>
      <w:lvlText w:val="(%6)"/>
      <w:lvlJc w:val="left"/>
      <w:pPr>
        <w:ind w:left="1440" w:hanging="1080"/>
      </w:pPr>
      <w:rPr>
        <w:b w:val="0"/>
        <w:bCs w:val="0"/>
        <w:i w:val="0"/>
        <w:iCs w:val="0"/>
        <w:smallCaps w:val="0"/>
        <w:strike w:val="0"/>
        <w:color w:val="000000"/>
        <w:u w:val="none"/>
        <w:vertAlign w:val="baseline"/>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2160" w:hanging="1800"/>
      </w:pPr>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wfllp0365-my.sharepoint.com/personal/douglas_jefferies_dwf_law/Documents/Desktop/DJ%20Desktop%20Mar23/PSC%20documents%2003.02.24/Call-Off%20Schedules/(https:/www.gov.uk/government/publications/the-digital-data-and-technology-playbook" TargetMode="External"/><Relationship Id="rId10" Type="http://schemas.openxmlformats.org/officeDocument/2006/relationships/hyperlink" Target="https://www.gov.uk/government/publications/the-sourcing-and-consultancy-playbooks"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gov.uk/government/publications/procurement-act-2023-guidance-documents-manage-phase/guidance-key-performance-indicators-html" TargetMode="External"/><Relationship Id="rId15" Type="http://schemas.openxmlformats.org/officeDocument/2006/relationships/footer" Target="footer2.xml"/><Relationship Id="rId14" Type="http://schemas.openxmlformats.org/officeDocument/2006/relationships/header" Target="header1.xml"/><Relationship Id="rId17"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gov.uk/government/publications/the-sourcing-and-consultancy-playbook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Q1tBNJ9ZtMaRWRpPpozLh7fA5Q==">CgMxLjAyCWguMmV0OTJwMDIJaC4xdDNoNXNmMg1oLmFmdXB1YzljMWszMghoLmdqZGd4czIJaC4xZm9iOXRlMgloLjE3ZHA4dnUyCWguM3JkY3JqbjIJaC4yNmluMXJnMghoLmxueGJ6OTIJaC4xa3N2NHV2MgloLjQ0c2luaW8yCGguejMzN3lhMgloLjNqMnFxbTMyCWguMXk4MTB0dzIJaC4zNW5rdW4yMgloLjN6bnlzaDcyCGgudHlqY3d0MgloLjRkMzRvZzgyCWguMmp4c3hxaDIJaC40aTdvamhwMgloLjMwajB6bGw4AHIhMURiOGliSlBEbHFfUFdzbnBMaDM5VTBHWm10OFRmZy1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CurrentVersion">
    <vt:lpwstr>17 November 2017 D1V8</vt:lpwstr>
  </property>
</Properties>
</file>