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120" w:before="120" w:lineRule="auto"/>
        <w:rPr>
          <w:b w:val="1"/>
          <w:sz w:val="36"/>
          <w:szCs w:val="36"/>
        </w:rPr>
      </w:pPr>
      <w:r w:rsidDel="00000000" w:rsidR="00000000" w:rsidRPr="00000000">
        <w:rPr>
          <w:b w:val="1"/>
          <w:sz w:val="36"/>
          <w:szCs w:val="36"/>
          <w:rtl w:val="0"/>
        </w:rPr>
        <w:t xml:space="preserve">Call-Off Schedule 18 (Background Checks) </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tabs>
          <w:tab w:val="left" w:leader="none" w:pos="142"/>
        </w:tabs>
        <w:spacing w:after="120" w:before="120" w:lineRule="auto"/>
        <w:rPr>
          <w:b w:val="1"/>
          <w:i w:val="1"/>
          <w:color w:val="000000"/>
          <w:highlight w:val="yellow"/>
        </w:rPr>
      </w:pPr>
      <w:r w:rsidDel="00000000" w:rsidR="00000000" w:rsidRPr="00000000">
        <w:rPr>
          <w:rtl w:val="0"/>
        </w:rPr>
      </w:r>
    </w:p>
    <w:p w:rsidR="00000000" w:rsidDel="00000000" w:rsidP="00000000" w:rsidRDefault="00000000" w:rsidRPr="00000000" w14:paraId="00000003">
      <w:pPr>
        <w:keepNext w:val="1"/>
        <w:pBdr>
          <w:top w:space="0" w:sz="0" w:val="nil"/>
          <w:left w:space="0" w:sz="0" w:val="nil"/>
          <w:bottom w:space="0" w:sz="0" w:val="nil"/>
          <w:right w:space="0" w:sz="0" w:val="nil"/>
          <w:between w:space="0" w:sz="0" w:val="nil"/>
        </w:pBdr>
        <w:tabs>
          <w:tab w:val="left" w:leader="none" w:pos="142"/>
        </w:tabs>
        <w:spacing w:after="120" w:before="120" w:lineRule="auto"/>
        <w:rPr>
          <w:i w:val="1"/>
          <w:highlight w:val="yellow"/>
        </w:rPr>
      </w:pPr>
      <w:r w:rsidDel="00000000" w:rsidR="00000000" w:rsidRPr="00000000">
        <w:rPr>
          <w:b w:val="1"/>
          <w:i w:val="1"/>
          <w:color w:val="000000"/>
          <w:highlight w:val="yellow"/>
          <w:rtl w:val="0"/>
        </w:rPr>
        <w:t xml:space="preserve">[Buyer Guidance: </w:t>
      </w:r>
      <w:r w:rsidDel="00000000" w:rsidR="00000000" w:rsidRPr="00000000">
        <w:rPr>
          <w:i w:val="1"/>
          <w:color w:val="000000"/>
          <w:highlight w:val="yellow"/>
          <w:rtl w:val="0"/>
        </w:rPr>
        <w:t xml:space="preserve">When you should use this Schedule.</w:t>
      </w:r>
      <w:r w:rsidDel="00000000" w:rsidR="00000000" w:rsidRPr="00000000">
        <w:rPr>
          <w:i w:val="1"/>
          <w:highlight w:val="yellow"/>
          <w:rtl w:val="0"/>
        </w:rPr>
        <w:t xml:space="preserve"> </w:t>
      </w:r>
    </w:p>
    <w:p w:rsidR="00000000" w:rsidDel="00000000" w:rsidP="00000000" w:rsidRDefault="00000000" w:rsidRPr="00000000" w14:paraId="00000004">
      <w:pPr>
        <w:keepNext w:val="1"/>
        <w:pBdr>
          <w:top w:space="0" w:sz="0" w:val="nil"/>
          <w:left w:space="0" w:sz="0" w:val="nil"/>
          <w:bottom w:space="0" w:sz="0" w:val="nil"/>
          <w:right w:space="0" w:sz="0" w:val="nil"/>
          <w:between w:space="0" w:sz="0" w:val="nil"/>
        </w:pBdr>
        <w:tabs>
          <w:tab w:val="left" w:leader="none" w:pos="142"/>
        </w:tabs>
        <w:spacing w:after="120" w:before="120" w:lineRule="auto"/>
        <w:rPr>
          <w:i w:val="1"/>
          <w:color w:val="000000"/>
          <w:highlight w:val="yellow"/>
        </w:rPr>
      </w:pPr>
      <w:r w:rsidDel="00000000" w:rsidR="00000000" w:rsidRPr="00000000">
        <w:rPr>
          <w:i w:val="1"/>
          <w:color w:val="000000"/>
          <w:highlight w:val="yellow"/>
          <w:rtl w:val="0"/>
        </w:rPr>
        <w:t xml:space="preserve">This Schedule should be used where Supplier Staff involved in the performance of this Contract will, or is likely to, have access to children, vulnerable persons or other members of the public to whom the Buyer owes a special duty of care.]</w:t>
      </w:r>
    </w:p>
    <w:p w:rsidR="00000000" w:rsidDel="00000000" w:rsidP="00000000" w:rsidRDefault="00000000" w:rsidRPr="00000000" w14:paraId="00000005">
      <w:pPr>
        <w:keepNext w:val="1"/>
        <w:numPr>
          <w:ilvl w:val="0"/>
          <w:numId w:val="1"/>
        </w:numPr>
        <w:pBdr>
          <w:top w:space="0" w:sz="0" w:val="nil"/>
          <w:left w:space="0" w:sz="0" w:val="nil"/>
          <w:bottom w:space="0" w:sz="0" w:val="nil"/>
          <w:right w:space="0" w:sz="0" w:val="nil"/>
          <w:between w:space="0" w:sz="0" w:val="nil"/>
        </w:pBdr>
        <w:tabs>
          <w:tab w:val="left" w:leader="none" w:pos="426"/>
        </w:tabs>
        <w:spacing w:after="120" w:before="120" w:lineRule="auto"/>
        <w:ind w:left="426" w:hanging="426"/>
        <w:rPr>
          <w:b w:val="1"/>
          <w:smallCaps w:val="1"/>
          <w:color w:val="000000"/>
        </w:rPr>
      </w:pPr>
      <w:bookmarkStart w:colFirst="0" w:colLast="0" w:name="_heading=h.gjdgxs" w:id="0"/>
      <w:bookmarkEnd w:id="0"/>
      <w:r w:rsidDel="00000000" w:rsidR="00000000" w:rsidRPr="00000000">
        <w:rPr>
          <w:b w:val="1"/>
          <w:color w:val="000000"/>
          <w:rtl w:val="0"/>
        </w:rPr>
        <w:t xml:space="preserve">Definitions</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142"/>
        </w:tabs>
        <w:spacing w:after="120" w:before="120" w:lineRule="auto"/>
        <w:ind w:left="425" w:firstLine="0"/>
        <w:rPr>
          <w:color w:val="000000"/>
        </w:rPr>
      </w:pPr>
      <w:r w:rsidDel="00000000" w:rsidR="00000000" w:rsidRPr="00000000">
        <w:rPr>
          <w:color w:val="000000"/>
          <w:rtl w:val="0"/>
        </w:rPr>
        <w:t xml:space="preserve">In this Schedule, the following words shall have the following meanings and they</w:t>
      </w:r>
      <w:r w:rsidDel="00000000" w:rsidR="00000000" w:rsidRPr="00000000">
        <w:rPr>
          <w:rtl w:val="0"/>
        </w:rPr>
        <w:t xml:space="preserve"> </w:t>
      </w:r>
      <w:r w:rsidDel="00000000" w:rsidR="00000000" w:rsidRPr="00000000">
        <w:rPr>
          <w:color w:val="000000"/>
          <w:rtl w:val="0"/>
        </w:rPr>
        <w:t xml:space="preserve">shall supplement Schedule 1 </w:t>
      </w:r>
      <w:r w:rsidDel="00000000" w:rsidR="00000000" w:rsidRPr="00000000">
        <w:rPr>
          <w:i w:val="1"/>
          <w:color w:val="000000"/>
          <w:rtl w:val="0"/>
        </w:rPr>
        <w:t xml:space="preserve">(Definitions)</w:t>
      </w:r>
      <w:r w:rsidDel="00000000" w:rsidR="00000000" w:rsidRPr="00000000">
        <w:rPr>
          <w:color w:val="000000"/>
          <w:rtl w:val="0"/>
        </w:rPr>
        <w:t xml:space="preserve">:</w:t>
      </w:r>
    </w:p>
    <w:p w:rsidR="00000000" w:rsidDel="00000000" w:rsidP="00000000" w:rsidRDefault="00000000" w:rsidRPr="00000000" w14:paraId="00000007">
      <w:pPr>
        <w:spacing w:after="120" w:before="120" w:lineRule="auto"/>
        <w:ind w:left="3596" w:hanging="3170"/>
        <w:rPr>
          <w:color w:val="000000"/>
        </w:rPr>
      </w:pPr>
      <w:r w:rsidDel="00000000" w:rsidR="00000000" w:rsidRPr="00000000">
        <w:rPr>
          <w:b w:val="1"/>
          <w:color w:val="000000"/>
          <w:rtl w:val="0"/>
        </w:rPr>
        <w:t xml:space="preserve">“Relevant Conviction”</w:t>
      </w:r>
      <w:r w:rsidDel="00000000" w:rsidR="00000000" w:rsidRPr="00000000">
        <w:rPr>
          <w:color w:val="000000"/>
          <w:rtl w:val="0"/>
        </w:rPr>
        <w:t xml:space="preserve"> </w:t>
        <w:tab/>
        <w:t xml:space="preserve">for the purposes of this Call-Off Schedule 18 </w:t>
      </w:r>
      <w:r w:rsidDel="00000000" w:rsidR="00000000" w:rsidRPr="00000000">
        <w:rPr>
          <w:i w:val="1"/>
          <w:color w:val="000000"/>
          <w:rtl w:val="0"/>
        </w:rPr>
        <w:t xml:space="preserve">(Background Checks)</w:t>
      </w:r>
      <w:r w:rsidDel="00000000" w:rsidR="00000000" w:rsidRPr="00000000">
        <w:rPr>
          <w:color w:val="000000"/>
          <w:rtl w:val="0"/>
        </w:rPr>
        <w:t xml:space="preserve"> any conviction listed in Annex 1 to this Schedule; and </w:t>
      </w:r>
    </w:p>
    <w:p w:rsidR="00000000" w:rsidDel="00000000" w:rsidP="00000000" w:rsidRDefault="00000000" w:rsidRPr="00000000" w14:paraId="00000008">
      <w:pPr>
        <w:spacing w:after="120" w:before="120" w:lineRule="auto"/>
        <w:ind w:left="3596" w:hanging="3170"/>
        <w:rPr>
          <w:color w:val="000000"/>
        </w:rPr>
      </w:pPr>
      <w:r w:rsidDel="00000000" w:rsidR="00000000" w:rsidRPr="00000000">
        <w:rPr>
          <w:b w:val="1"/>
          <w:color w:val="000000"/>
          <w:rtl w:val="0"/>
        </w:rPr>
        <w:t xml:space="preserve">"Relevant Role" </w:t>
        <w:tab/>
      </w:r>
      <w:r w:rsidDel="00000000" w:rsidR="00000000" w:rsidRPr="00000000">
        <w:rPr>
          <w:color w:val="000000"/>
          <w:rtl w:val="0"/>
        </w:rPr>
        <w:t xml:space="preserve">an</w:t>
      </w:r>
      <w:r w:rsidDel="00000000" w:rsidR="00000000" w:rsidRPr="00000000">
        <w:rPr>
          <w:b w:val="1"/>
          <w:color w:val="000000"/>
          <w:rtl w:val="0"/>
        </w:rPr>
        <w:t xml:space="preserve"> </w:t>
      </w:r>
      <w:r w:rsidDel="00000000" w:rsidR="00000000" w:rsidRPr="00000000">
        <w:rPr>
          <w:color w:val="000000"/>
          <w:rtl w:val="0"/>
        </w:rPr>
        <w:t xml:space="preserve">activity involved in the performance of the Contract in which the individual performing that role will, or is likely to, have access to children, vulnerable persons or other members of the public to whom the Buyer owes a special duty of care, as notified by the Buyer to the Supplier.</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tabs>
          <w:tab w:val="left" w:leader="none" w:pos="426"/>
        </w:tabs>
        <w:spacing w:after="120" w:before="120" w:lineRule="auto"/>
        <w:ind w:left="426" w:hanging="426"/>
        <w:rPr>
          <w:b w:val="1"/>
          <w:color w:val="000000"/>
        </w:rPr>
      </w:pPr>
      <w:r w:rsidDel="00000000" w:rsidR="00000000" w:rsidRPr="00000000">
        <w:rPr>
          <w:b w:val="1"/>
          <w:color w:val="000000"/>
          <w:rtl w:val="0"/>
        </w:rPr>
        <w:t xml:space="preserve">Relationship with other provisions in Contract</w:t>
      </w:r>
    </w:p>
    <w:p w:rsidR="00000000" w:rsidDel="00000000" w:rsidP="00000000" w:rsidRDefault="00000000" w:rsidRPr="00000000" w14:paraId="0000000A">
      <w:pPr>
        <w:numPr>
          <w:ilvl w:val="1"/>
          <w:numId w:val="1"/>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The provisions of this Call-Off Schedule 18 </w:t>
      </w:r>
      <w:r w:rsidDel="00000000" w:rsidR="00000000" w:rsidRPr="00000000">
        <w:rPr>
          <w:i w:val="1"/>
          <w:color w:val="000000"/>
          <w:rtl w:val="0"/>
        </w:rPr>
        <w:t xml:space="preserve">(Background Checks)</w:t>
      </w:r>
      <w:r w:rsidDel="00000000" w:rsidR="00000000" w:rsidRPr="00000000">
        <w:rPr>
          <w:color w:val="000000"/>
          <w:rtl w:val="0"/>
        </w:rPr>
        <w:t xml:space="preserve"> apply in addition to any other provisions of the Contract relating to the vetting of Supplier Staff.</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tabs>
          <w:tab w:val="left" w:leader="none" w:pos="426"/>
        </w:tabs>
        <w:spacing w:after="120" w:before="120" w:lineRule="auto"/>
        <w:ind w:left="426" w:hanging="426"/>
        <w:rPr>
          <w:b w:val="1"/>
          <w:color w:val="000000"/>
        </w:rPr>
      </w:pPr>
      <w:r w:rsidDel="00000000" w:rsidR="00000000" w:rsidRPr="00000000">
        <w:rPr>
          <w:b w:val="1"/>
          <w:color w:val="000000"/>
          <w:rtl w:val="0"/>
        </w:rPr>
        <w:t xml:space="preserve">Relevant Convictions and inappropriate records</w:t>
      </w:r>
    </w:p>
    <w:p w:rsidR="00000000" w:rsidDel="00000000" w:rsidP="00000000" w:rsidRDefault="00000000" w:rsidRPr="00000000" w14:paraId="0000000C">
      <w:pPr>
        <w:numPr>
          <w:ilvl w:val="1"/>
          <w:numId w:val="1"/>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The Supplier must not, and must ensure that Subcontractors do not, engage a member of the Supplier Staff in a Relevant Role without Approval where that member of the Supplier Staff:</w:t>
      </w:r>
    </w:p>
    <w:p w:rsidR="00000000" w:rsidDel="00000000" w:rsidP="00000000" w:rsidRDefault="00000000" w:rsidRPr="00000000" w14:paraId="0000000D">
      <w:pPr>
        <w:numPr>
          <w:ilvl w:val="2"/>
          <w:numId w:val="1"/>
        </w:numPr>
        <w:pBdr>
          <w:top w:space="0" w:sz="0" w:val="nil"/>
          <w:left w:space="0" w:sz="0" w:val="nil"/>
          <w:bottom w:space="0" w:sz="0" w:val="nil"/>
          <w:right w:space="0" w:sz="0" w:val="nil"/>
          <w:between w:space="0" w:sz="0" w:val="nil"/>
        </w:pBdr>
        <w:tabs>
          <w:tab w:val="left" w:leader="none" w:pos="1134"/>
          <w:tab w:val="left" w:leader="none" w:pos="1985"/>
        </w:tabs>
        <w:spacing w:after="120" w:before="120" w:lineRule="auto"/>
        <w:ind w:left="1985" w:hanging="851"/>
        <w:rPr>
          <w:color w:val="000000"/>
        </w:rPr>
      </w:pPr>
      <w:bookmarkStart w:colFirst="0" w:colLast="0" w:name="_heading=h.30j0zll" w:id="1"/>
      <w:bookmarkEnd w:id="1"/>
      <w:r w:rsidDel="00000000" w:rsidR="00000000" w:rsidRPr="00000000">
        <w:rPr>
          <w:color w:val="000000"/>
          <w:rtl w:val="0"/>
        </w:rPr>
        <w:t xml:space="preserve">discloses that they have a Relevant Conviction, or is found to have any Relevant Convictions (whether as a result of a police check or through the procedure of the Disclosure and Barring Service (DBS) or otherwise); or</w:t>
      </w:r>
    </w:p>
    <w:p w:rsidR="00000000" w:rsidDel="00000000" w:rsidP="00000000" w:rsidRDefault="00000000" w:rsidRPr="00000000" w14:paraId="0000000E">
      <w:pPr>
        <w:numPr>
          <w:ilvl w:val="2"/>
          <w:numId w:val="1"/>
        </w:numPr>
        <w:pBdr>
          <w:top w:space="0" w:sz="0" w:val="nil"/>
          <w:left w:space="0" w:sz="0" w:val="nil"/>
          <w:bottom w:space="0" w:sz="0" w:val="nil"/>
          <w:right w:space="0" w:sz="0" w:val="nil"/>
          <w:between w:space="0" w:sz="0" w:val="nil"/>
        </w:pBdr>
        <w:tabs>
          <w:tab w:val="left" w:leader="none" w:pos="1134"/>
          <w:tab w:val="left" w:leader="none" w:pos="1985"/>
        </w:tabs>
        <w:spacing w:after="120" w:before="120" w:lineRule="auto"/>
        <w:ind w:left="1985" w:hanging="851"/>
        <w:rPr>
          <w:color w:val="000000"/>
        </w:rPr>
      </w:pPr>
      <w:r w:rsidDel="00000000" w:rsidR="00000000" w:rsidRPr="00000000">
        <w:rPr>
          <w:color w:val="000000"/>
          <w:rtl w:val="0"/>
        </w:rPr>
        <w:t xml:space="preserve">is found to have an inappropriate record following the completion of the checks required under Paragraph 3.2.</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The Supplier must, and must ensure that Subcontractors, in respect of each member of the Supplier Staff who performs a Relevant Role:</w:t>
      </w:r>
    </w:p>
    <w:p w:rsidR="00000000" w:rsidDel="00000000" w:rsidP="00000000" w:rsidRDefault="00000000" w:rsidRPr="00000000" w14:paraId="00000010">
      <w:pPr>
        <w:numPr>
          <w:ilvl w:val="2"/>
          <w:numId w:val="1"/>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carry out a check with the records held by the Department for Education (DfE);</w:t>
      </w:r>
    </w:p>
    <w:p w:rsidR="00000000" w:rsidDel="00000000" w:rsidP="00000000" w:rsidRDefault="00000000" w:rsidRPr="00000000" w14:paraId="00000011">
      <w:pPr>
        <w:numPr>
          <w:ilvl w:val="2"/>
          <w:numId w:val="1"/>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rtl w:val="0"/>
        </w:rPr>
        <w:t xml:space="preserve">c</w:t>
      </w:r>
      <w:r w:rsidDel="00000000" w:rsidR="00000000" w:rsidRPr="00000000">
        <w:rPr>
          <w:color w:val="000000"/>
          <w:rtl w:val="0"/>
        </w:rPr>
        <w:t xml:space="preserve">onduct thorough questioning regarding any Relevant Convictions; and</w:t>
      </w:r>
    </w:p>
    <w:p w:rsidR="00000000" w:rsidDel="00000000" w:rsidP="00000000" w:rsidRDefault="00000000" w:rsidRPr="00000000" w14:paraId="00000012">
      <w:pPr>
        <w:numPr>
          <w:ilvl w:val="2"/>
          <w:numId w:val="1"/>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ensure a police check is completed and such other checks as may be carried out through the Disclosure and Barring Service (DBS).</w:t>
      </w:r>
    </w:p>
    <w:p w:rsidR="00000000" w:rsidDel="00000000" w:rsidP="00000000" w:rsidRDefault="00000000" w:rsidRPr="00000000" w14:paraId="00000013">
      <w:pPr>
        <w:spacing w:after="120" w:before="120" w:lineRule="auto"/>
        <w:rPr>
          <w:b w:val="1"/>
          <w:smallCaps w:val="1"/>
        </w:rPr>
      </w:pPr>
      <w:bookmarkStart w:colFirst="0" w:colLast="0" w:name="_heading=h.1fob9te" w:id="2"/>
      <w:bookmarkEnd w:id="2"/>
      <w:r w:rsidDel="00000000" w:rsidR="00000000" w:rsidRPr="00000000">
        <w:br w:type="page"/>
      </w:r>
      <w:r w:rsidDel="00000000" w:rsidR="00000000" w:rsidRPr="00000000">
        <w:rPr>
          <w:rtl w:val="0"/>
        </w:rPr>
      </w:r>
    </w:p>
    <w:p w:rsidR="00000000" w:rsidDel="00000000" w:rsidP="00000000" w:rsidRDefault="00000000" w:rsidRPr="00000000" w14:paraId="00000014">
      <w:pPr>
        <w:keepNext w:val="1"/>
        <w:spacing w:after="120" w:before="120" w:lineRule="auto"/>
        <w:rPr>
          <w:b w:val="1"/>
        </w:rPr>
      </w:pPr>
      <w:r w:rsidDel="00000000" w:rsidR="00000000" w:rsidRPr="00000000">
        <w:rPr>
          <w:b w:val="1"/>
          <w:rtl w:val="0"/>
        </w:rPr>
        <w:t xml:space="preserve">Annex 1 – Relevant Convictions</w:t>
      </w:r>
    </w:p>
    <w:p w:rsidR="00000000" w:rsidDel="00000000" w:rsidP="00000000" w:rsidRDefault="00000000" w:rsidRPr="00000000" w14:paraId="00000015">
      <w:pPr>
        <w:spacing w:after="120" w:before="120" w:lineRule="auto"/>
        <w:rPr/>
      </w:pPr>
      <w:bookmarkStart w:colFirst="0" w:colLast="0" w:name="_heading=h.3znysh7" w:id="3"/>
      <w:bookmarkEnd w:id="3"/>
      <w:r w:rsidDel="00000000" w:rsidR="00000000" w:rsidRPr="00000000">
        <w:rPr>
          <w:b w:val="1"/>
          <w:highlight w:val="yellow"/>
          <w:rtl w:val="0"/>
        </w:rPr>
        <w:t xml:space="preserve">[Insert</w:t>
      </w:r>
      <w:r w:rsidDel="00000000" w:rsidR="00000000" w:rsidRPr="00000000">
        <w:rPr>
          <w:highlight w:val="yellow"/>
          <w:rtl w:val="0"/>
        </w:rPr>
        <w:t xml:space="preserve"> Relevant Convictions here]</w:t>
      </w:r>
      <w:r w:rsidDel="00000000" w:rsidR="00000000" w:rsidRPr="00000000">
        <w:rPr>
          <w:rtl w:val="0"/>
        </w:rPr>
      </w:r>
    </w:p>
    <w:sectPr>
      <w:headerReference r:id="rId7" w:type="default"/>
      <w:footerReference r:id="rId8" w:type="default"/>
      <w:footerReference r:id="rId9"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1B">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01C">
    <w:pP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D">
    <w:pPr>
      <w:spacing w:after="0" w:line="240" w:lineRule="auto"/>
      <w:jc w:val="both"/>
      <w:rPr>
        <w:color w:val="000000"/>
        <w:sz w:val="14"/>
        <w:szCs w:val="14"/>
      </w:rPr>
    </w:pPr>
    <w:r w:rsidDel="00000000" w:rsidR="00000000" w:rsidRPr="00000000">
      <w:rPr>
        <w:sz w:val="20"/>
        <w:szCs w:val="20"/>
        <w:rtl w:val="0"/>
      </w:rPr>
      <w:t xml:space="preserve">Model Version: v1.0 PA</w:t>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01F">
    <w:pP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ab/>
      <w:t xml:space="preserve"> 1</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Model Version : v3.0</w:t>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b w:val="1"/>
        <w:color w:val="000000"/>
        <w:sz w:val="22"/>
        <w:szCs w:val="22"/>
        <w:rtl w:val="0"/>
      </w:rPr>
      <w:t xml:space="preserve">Call-Off Schedule 18 (Background Checks)</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color w:val="000000"/>
        <w:sz w:val="22"/>
        <w:szCs w:val="22"/>
        <w:rtl w:val="0"/>
      </w:rPr>
      <w:t xml:space="preserve">Call-Off Ref:</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rFonts w:ascii="Arial" w:cs="Arial" w:eastAsia="Arial" w:hAnsi="Arial"/>
        <w:b w:val="1"/>
        <w:i w:val="0"/>
        <w:smallCaps w:val="0"/>
        <w:strike w:val="0"/>
        <w:color w:val="000000"/>
        <w:sz w:val="24"/>
        <w:szCs w:val="24"/>
        <w:u w:val="none"/>
        <w:vertAlign w:val="baseline"/>
      </w:rPr>
    </w:lvl>
    <w:lvl w:ilvl="1">
      <w:start w:val="1"/>
      <w:numFmt w:val="decimal"/>
      <w:lvlText w:val="%1.%2"/>
      <w:lvlJc w:val="left"/>
      <w:pPr>
        <w:ind w:left="1440" w:hanging="720"/>
      </w:pPr>
      <w:rPr>
        <w:rFonts w:ascii="Arial" w:cs="Arial" w:eastAsia="Arial" w:hAnsi="Arial"/>
        <w:b w:val="0"/>
        <w:i w:val="0"/>
        <w:smallCaps w:val="0"/>
        <w:strike w:val="0"/>
        <w:color w:val="000000"/>
        <w:sz w:val="24"/>
        <w:szCs w:val="24"/>
        <w:u w:val="none"/>
        <w:vertAlign w:val="baseline"/>
      </w:rPr>
    </w:lvl>
    <w:lvl w:ilvl="2">
      <w:start w:val="1"/>
      <w:numFmt w:val="decimal"/>
      <w:lvlText w:val="%1.%2.%3"/>
      <w:lvlJc w:val="left"/>
      <w:pPr>
        <w:ind w:left="1996" w:hanging="720"/>
      </w:pPr>
      <w:rPr>
        <w:rFonts w:ascii="Arial" w:cs="Arial" w:eastAsia="Arial" w:hAnsi="Arial"/>
        <w:b w:val="0"/>
        <w:i w:val="0"/>
        <w:smallCaps w:val="0"/>
        <w:strike w:val="0"/>
        <w:color w:val="000000"/>
        <w:sz w:val="24"/>
        <w:szCs w:val="24"/>
        <w:u w:val="none"/>
        <w:vertAlign w:val="baseline"/>
      </w:rPr>
    </w:lvl>
    <w:lvl w:ilvl="3">
      <w:start w:val="1"/>
      <w:numFmt w:val="lowerLetter"/>
      <w:lvlText w:val="(%4)"/>
      <w:lvlJc w:val="left"/>
      <w:pPr>
        <w:ind w:left="2880" w:hanging="720"/>
      </w:pPr>
      <w:rPr>
        <w:rFonts w:ascii="Calibri" w:cs="Calibri" w:eastAsia="Calibri" w:hAnsi="Calibri"/>
        <w:b w:val="0"/>
        <w:i w:val="0"/>
        <w:smallCaps w:val="0"/>
        <w:strike w:val="0"/>
        <w:color w:val="000000"/>
        <w:sz w:val="22"/>
        <w:szCs w:val="22"/>
        <w:u w:val="none"/>
        <w:vertAlign w:val="baseline"/>
      </w:rPr>
    </w:lvl>
    <w:lvl w:ilvl="4">
      <w:start w:val="1"/>
      <w:numFmt w:val="lowerRoman"/>
      <w:lvlText w:val="(%5)"/>
      <w:lvlJc w:val="left"/>
      <w:pPr>
        <w:ind w:left="3600" w:hanging="720"/>
      </w:pPr>
      <w:rPr>
        <w:b w:val="0"/>
        <w:i w:val="0"/>
        <w:smallCaps w:val="0"/>
        <w:strike w:val="0"/>
        <w:u w:val="none"/>
        <w:vertAlign w:val="baseline"/>
      </w:rPr>
    </w:lvl>
    <w:lvl w:ilvl="5">
      <w:start w:val="1"/>
      <w:numFmt w:val="upperLetter"/>
      <w:lvlText w:val="(%6)"/>
      <w:lvlJc w:val="left"/>
      <w:pPr>
        <w:ind w:left="1440" w:hanging="1080"/>
      </w:pPr>
      <w:rPr>
        <w:b w:val="0"/>
        <w:i w:val="0"/>
        <w:smallCaps w:val="0"/>
        <w:strike w:val="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L1CLAUSEHEADING" w:customStyle="1">
    <w:name w:val="GPS L1 CLAUSE HEADING"/>
    <w:basedOn w:val="Normal"/>
    <w:next w:val="Normal"/>
    <w:link w:val="GPSL1CLAUSEHEADINGChar"/>
    <w:qFormat w:val="1"/>
    <w:pPr>
      <w:numPr>
        <w:numId w:val="1"/>
      </w:numPr>
      <w:tabs>
        <w:tab w:val="left" w:pos="142"/>
      </w:tabs>
      <w:adjustRightInd w:val="0"/>
      <w:spacing w:after="120" w:before="240" w:line="240" w:lineRule="auto"/>
      <w:jc w:val="both"/>
      <w:outlineLvl w:val="1"/>
    </w:pPr>
    <w:rPr>
      <w:rFonts w:eastAsia="STZhongsong"/>
      <w:b w:val="1"/>
      <w:caps w:val="1"/>
      <w:lang w:eastAsia="zh-CN"/>
    </w:rPr>
  </w:style>
  <w:style w:type="paragraph" w:styleId="GPSL3numberedclause" w:customStyle="1">
    <w:name w:val="GPS L3 numbered clause"/>
    <w:basedOn w:val="Normal"/>
    <w:link w:val="GPSL3numberedclauseChar"/>
    <w:qFormat w:val="1"/>
    <w:pPr>
      <w:numPr>
        <w:ilvl w:val="2"/>
        <w:numId w:val="1"/>
      </w:numPr>
      <w:tabs>
        <w:tab w:val="num" w:pos="2160"/>
      </w:tabs>
      <w:adjustRightInd w:val="0"/>
      <w:spacing w:after="120" w:before="120" w:line="240" w:lineRule="auto"/>
      <w:ind w:left="2160"/>
      <w:jc w:val="both"/>
    </w:pPr>
    <w:rPr>
      <w:rFonts w:eastAsia="Times New Roman"/>
      <w:lang w:eastAsia="zh-CN"/>
    </w:rPr>
  </w:style>
  <w:style w:type="paragraph" w:styleId="GPSL4numberedclause" w:customStyle="1">
    <w:name w:val="GPS L4 numbered clause"/>
    <w:basedOn w:val="GPSL3numberedclause"/>
    <w:link w:val="GPSL4numberedclauseChar"/>
    <w:qFormat w:val="1"/>
    <w:pPr>
      <w:numPr>
        <w:ilvl w:val="3"/>
      </w:numPr>
      <w:ind w:left="2592" w:hanging="936"/>
    </w:pPr>
  </w:style>
  <w:style w:type="paragraph" w:styleId="GPSL5numberedclause" w:customStyle="1">
    <w:name w:val="GPS L5 numbered clause"/>
    <w:basedOn w:val="GPSL4numberedclause"/>
    <w:link w:val="GPSL5numberedclauseChar"/>
    <w:qFormat w:val="1"/>
    <w:pPr>
      <w:numPr>
        <w:ilvl w:val="4"/>
      </w:numPr>
    </w:pPr>
  </w:style>
  <w:style w:type="paragraph" w:styleId="GPSL2NumberedBoldHeading" w:customStyle="1">
    <w:name w:val="GPS L2 Numbered Bold Heading"/>
    <w:basedOn w:val="Normal"/>
    <w:link w:val="GPSL2NumberedBoldHeadingChar"/>
    <w:qFormat w:val="1"/>
    <w:pPr>
      <w:numPr>
        <w:ilvl w:val="1"/>
        <w:numId w:val="1"/>
      </w:numPr>
      <w:adjustRightInd w:val="0"/>
      <w:spacing w:after="120" w:before="120" w:line="240" w:lineRule="auto"/>
      <w:ind w:left="936" w:hanging="576"/>
      <w:jc w:val="both"/>
    </w:pPr>
    <w:rPr>
      <w:rFonts w:eastAsia="Times New Roman"/>
      <w:lang w:eastAsia="zh-CN"/>
    </w:rPr>
  </w:style>
  <w:style w:type="paragraph" w:styleId="GPSL6numbered" w:customStyle="1">
    <w:name w:val="GPS L6 numbered"/>
    <w:basedOn w:val="GPSL5numberedclause"/>
    <w:qFormat w:val="1"/>
    <w:pPr>
      <w:numPr>
        <w:ilvl w:val="5"/>
      </w:numPr>
      <w:tabs>
        <w:tab w:val="num" w:pos="360"/>
        <w:tab w:val="left" w:pos="3686"/>
      </w:tabs>
      <w:ind w:left="3686" w:hanging="567"/>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paragraph" w:styleId="GPSL2numberedclause" w:customStyle="1">
    <w:name w:val="GPS L2 numbered clause"/>
    <w:basedOn w:val="Normal"/>
    <w:link w:val="GPSL2numberedclauseChar1"/>
    <w:qFormat w:val="1"/>
    <w:pPr>
      <w:tabs>
        <w:tab w:val="left" w:pos="1134"/>
      </w:tabs>
      <w:adjustRightInd w:val="0"/>
      <w:spacing w:after="120" w:before="120" w:line="240" w:lineRule="auto"/>
      <w:ind w:left="1134" w:hanging="567"/>
      <w:jc w:val="both"/>
    </w:pPr>
    <w:rPr>
      <w:rFonts w:eastAsia="Times New Roman"/>
      <w:lang w:eastAsia="zh-CN"/>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4numberedclauseChar" w:customStyle="1">
    <w:name w:val="GPS L4 numbered clause Char"/>
    <w:link w:val="GPSL4numberedclause"/>
    <w:rPr>
      <w:rFonts w:ascii="Calibri" w:cs="Arial" w:eastAsia="Times New Roman" w:hAnsi="Calibri"/>
      <w:lang w:eastAsia="zh-CN"/>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rPr>
      <w:rFonts w:ascii="Calibri" w:cs="Times New Roman" w:eastAsia="Calibri"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Calibri" w:cs="Times New Roman" w:eastAsia="Calibri" w:hAnsi="Calibri"/>
      <w:b w:val="1"/>
      <w:bCs w:val="1"/>
      <w:sz w:val="20"/>
      <w:szCs w:val="20"/>
    </w:rPr>
  </w:style>
  <w:style w:type="paragraph" w:styleId="BalloonText">
    <w:name w:val="Balloon Text"/>
    <w:basedOn w:val="Normal"/>
    <w:link w:val="BalloonTextChar"/>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rPr>
      <w:rFonts w:ascii="Tahoma" w:cs="Tahoma" w:eastAsia="Calibri" w:hAnsi="Tahoma"/>
      <w:sz w:val="16"/>
      <w:szCs w:val="16"/>
    </w:rPr>
  </w:style>
  <w:style w:type="paragraph" w:styleId="GPSmacrorestart" w:customStyle="1">
    <w:name w:val="GPS macro restart"/>
    <w:basedOn w:val="Normal"/>
    <w:qFormat w:val="1"/>
    <w:pPr>
      <w:overflowPunct w:val="0"/>
      <w:autoSpaceDE w:val="0"/>
      <w:autoSpaceDN w:val="0"/>
      <w:adjustRightInd w:val="0"/>
      <w:spacing w:after="0" w:line="240" w:lineRule="auto"/>
      <w:jc w:val="both"/>
      <w:textAlignment w:val="baseline"/>
    </w:pPr>
    <w:rPr>
      <w:rFonts w:eastAsia="Times New Roman"/>
      <w:color w:val="ffffff"/>
      <w:sz w:val="16"/>
      <w:szCs w:val="16"/>
    </w:rPr>
  </w:style>
  <w:style w:type="character" w:styleId="GPSL1CLAUSEHEADINGChar" w:customStyle="1">
    <w:name w:val="GPS L1 CLAUSE HEADING Char"/>
    <w:link w:val="GPSL1CLAUSEHEADING"/>
    <w:rPr>
      <w:rFonts w:ascii="Calibri" w:cs="Arial" w:eastAsia="STZhongsong" w:hAnsi="Calibri"/>
      <w:b w:val="1"/>
      <w:caps w:val="1"/>
      <w:lang w:eastAsia="zh-CN"/>
    </w:rPr>
  </w:style>
  <w:style w:type="paragraph" w:styleId="GPSSchTitleandNumber" w:customStyle="1">
    <w:name w:val="GPS Sch Title and Number"/>
    <w:basedOn w:val="Normal"/>
    <w:link w:val="GPSSchTitleandNumberChar"/>
    <w:qFormat w:val="1"/>
    <w:pPr>
      <w:keepNext w:val="1"/>
      <w:adjustRightInd w:val="0"/>
      <w:spacing w:after="240" w:line="240" w:lineRule="auto"/>
      <w:jc w:val="center"/>
      <w:outlineLvl w:val="0"/>
    </w:pPr>
    <w:rPr>
      <w:rFonts w:ascii="Arial Bold" w:eastAsia="STZhongsong" w:hAnsi="Arial Bold"/>
      <w:b w:val="1"/>
      <w:caps w:val="1"/>
      <w:lang w:eastAsia="zh-CN"/>
    </w:rPr>
  </w:style>
  <w:style w:type="character" w:styleId="GPSSchTitleandNumberChar" w:customStyle="1">
    <w:name w:val="GPS Sch Title and Number Char"/>
    <w:link w:val="GPSSchTitleandNumber"/>
    <w:rPr>
      <w:rFonts w:ascii="Arial Bold" w:cs="Times New Roman" w:eastAsia="STZhongsong" w:hAnsi="Arial Bold"/>
      <w:b w:val="1"/>
      <w:caps w:val="1"/>
      <w:lang w:eastAsia="zh-CN"/>
    </w:rPr>
  </w:style>
  <w:style w:type="paragraph" w:styleId="GPsDefinition" w:customStyle="1">
    <w:name w:val="GPs Definition"/>
    <w:basedOn w:val="Normal"/>
    <w:qFormat w:val="1"/>
    <w:pPr>
      <w:numPr>
        <w:numId w:val="2"/>
      </w:numPr>
      <w:tabs>
        <w:tab w:val="left" w:pos="-9"/>
      </w:tabs>
      <w:overflowPunct w:val="0"/>
      <w:autoSpaceDE w:val="0"/>
      <w:autoSpaceDN w:val="0"/>
      <w:adjustRightInd w:val="0"/>
      <w:spacing w:after="120" w:line="240" w:lineRule="auto"/>
      <w:jc w:val="both"/>
      <w:textAlignment w:val="baseline"/>
    </w:pPr>
    <w:rPr>
      <w:rFonts w:eastAsia="Times New Roman"/>
    </w:rPr>
  </w:style>
  <w:style w:type="paragraph" w:styleId="GPSDefinitionL2" w:customStyle="1">
    <w:name w:val="GPS Definition L2"/>
    <w:basedOn w:val="GPsDefinition"/>
    <w:qFormat w:val="1"/>
    <w:pPr>
      <w:numPr>
        <w:ilvl w:val="1"/>
      </w:numPr>
      <w:tabs>
        <w:tab w:val="clear" w:pos="-9"/>
        <w:tab w:val="left" w:pos="144"/>
      </w:tabs>
      <w:ind w:hanging="545"/>
    </w:pPr>
  </w:style>
  <w:style w:type="paragraph" w:styleId="GPSDefinitionL3" w:customStyle="1">
    <w:name w:val="GPS Definition L3"/>
    <w:basedOn w:val="GPSDefinitionL2"/>
    <w:qFormat w:val="1"/>
    <w:pPr>
      <w:numPr>
        <w:ilvl w:val="2"/>
      </w:numPr>
    </w:pPr>
  </w:style>
  <w:style w:type="paragraph" w:styleId="GPSDefinitionL4" w:customStyle="1">
    <w:name w:val="GPS Definition L4"/>
    <w:basedOn w:val="GPSDefinitionL3"/>
    <w:qFormat w:val="1"/>
    <w:pPr>
      <w:numPr>
        <w:ilvl w:val="3"/>
      </w:numPr>
    </w:pPr>
  </w:style>
  <w:style w:type="paragraph" w:styleId="GPSSchAnnexname" w:customStyle="1">
    <w:name w:val="GPS Sch Annex name"/>
    <w:basedOn w:val="GPSSchTitleandNumber"/>
    <w:link w:val="GPSSchAnnexnameChar"/>
    <w:qFormat w:val="1"/>
    <w:pPr>
      <w:outlineLvl w:val="1"/>
    </w:pPr>
    <w:rPr>
      <w:rFonts w:ascii="Calibri" w:hAnsi="Calibri"/>
      <w:sz w:val="20"/>
    </w:rPr>
  </w:style>
  <w:style w:type="paragraph" w:styleId="GPSL1SCHEDULEHeading" w:customStyle="1">
    <w:name w:val="GPS L1 SCHEDULE Heading"/>
    <w:basedOn w:val="GPSL1CLAUSEHEADING"/>
    <w:link w:val="GPSL1SCHEDULEHeadingChar"/>
    <w:qFormat w:val="1"/>
    <w:pPr>
      <w:numPr>
        <w:numId w:val="0"/>
      </w:numPr>
      <w:tabs>
        <w:tab w:val="clear" w:pos="142"/>
        <w:tab w:val="left" w:pos="0"/>
      </w:tabs>
      <w:ind w:left="360" w:hanging="360"/>
      <w:outlineLvl w:val="9"/>
    </w:pPr>
  </w:style>
  <w:style w:type="character" w:styleId="GPSSchAnnexnameChar" w:customStyle="1">
    <w:name w:val="GPS Sch Annex name Char"/>
    <w:link w:val="GPSSchAnnexname"/>
    <w:rPr>
      <w:rFonts w:ascii="Calibri" w:cs="Times New Roman" w:eastAsia="STZhongsong" w:hAnsi="Calibri"/>
      <w:b w:val="1"/>
      <w:caps w:val="1"/>
      <w:sz w:val="20"/>
      <w:lang w:eastAsia="zh-CN"/>
    </w:rPr>
  </w:style>
  <w:style w:type="paragraph" w:styleId="GPSSchPart" w:customStyle="1">
    <w:name w:val="GPS Sch Part"/>
    <w:basedOn w:val="GPSSchAnnexname"/>
    <w:link w:val="GPSSchPartChar"/>
    <w:qFormat w:val="1"/>
    <w:pPr>
      <w:outlineLvl w:val="9"/>
    </w:pPr>
  </w:style>
  <w:style w:type="character" w:styleId="GPSL1SCHEDULEHeadingChar" w:customStyle="1">
    <w:name w:val="GPS L1 SCHEDULE Heading Char"/>
    <w:link w:val="GPSL1SCHEDULEHeading"/>
    <w:rPr>
      <w:rFonts w:ascii="Calibri" w:cs="Arial" w:eastAsia="STZhongsong" w:hAnsi="Calibri"/>
      <w:b w:val="1"/>
      <w:caps w:val="1"/>
      <w:lang w:eastAsia="zh-CN"/>
    </w:rPr>
  </w:style>
  <w:style w:type="character" w:styleId="GPSSchPartChar" w:customStyle="1">
    <w:name w:val="GPS Sch Part Char"/>
    <w:link w:val="GPSSchPart"/>
    <w:rPr>
      <w:rFonts w:ascii="Calibri" w:cs="Times New Roman" w:eastAsia="STZhongsong" w:hAnsi="Calibri"/>
      <w:b w:val="1"/>
      <w:caps w:val="1"/>
      <w:sz w:val="20"/>
      <w:lang w:eastAsia="zh-CN"/>
    </w:rPr>
  </w:style>
  <w:style w:type="paragraph" w:styleId="BodyTextIndent">
    <w:name w:val="Body Text Indent"/>
    <w:basedOn w:val="Normal"/>
    <w:link w:val="BodyTextIndentChar"/>
    <w:pPr>
      <w:tabs>
        <w:tab w:val="num" w:pos="720"/>
      </w:tabs>
      <w:adjustRightInd w:val="0"/>
      <w:spacing w:after="240" w:line="240" w:lineRule="auto"/>
      <w:ind w:left="720" w:hanging="720"/>
      <w:jc w:val="both"/>
    </w:pPr>
    <w:rPr>
      <w:rFonts w:eastAsia="Times New Roman"/>
      <w:lang w:eastAsia="zh-CN"/>
    </w:rPr>
  </w:style>
  <w:style w:type="character" w:styleId="BodyTextIndentChar" w:customStyle="1">
    <w:name w:val="Body Text Indent Char"/>
    <w:basedOn w:val="DefaultParagraphFont"/>
    <w:link w:val="BodyTextIndent"/>
    <w:rPr>
      <w:rFonts w:cs="Times New Roman" w:eastAsia="Times New Roman"/>
      <w:lang w:eastAsia="zh-CN"/>
    </w:rPr>
  </w:style>
  <w:style w:type="character" w:styleId="GPSL5numberedclauseChar" w:customStyle="1">
    <w:name w:val="GPS L5 numbered clause Char"/>
    <w:link w:val="GPSL5numberedclause"/>
    <w:locked w:val="1"/>
    <w:rPr>
      <w:rFonts w:ascii="Calibri" w:cs="Arial" w:eastAsia="Times New Roman" w:hAnsi="Calibri"/>
      <w:lang w:eastAsia="zh-CN"/>
    </w:rPr>
  </w:style>
  <w:style w:type="paragraph" w:styleId="GPSL2Indent" w:customStyle="1">
    <w:name w:val="GPS L2 Indent"/>
    <w:basedOn w:val="Normal"/>
    <w:link w:val="GPSL2IndentChar"/>
    <w:qFormat w:val="1"/>
    <w:pPr>
      <w:tabs>
        <w:tab w:val="left" w:pos="3402"/>
      </w:tabs>
      <w:overflowPunct w:val="0"/>
      <w:autoSpaceDE w:val="0"/>
      <w:autoSpaceDN w:val="0"/>
      <w:adjustRightInd w:val="0"/>
      <w:spacing w:after="220" w:line="240" w:lineRule="auto"/>
      <w:ind w:left="1134"/>
      <w:jc w:val="both"/>
      <w:textAlignment w:val="baseline"/>
    </w:pPr>
    <w:rPr>
      <w:rFonts w:eastAsia="Times New Roman"/>
    </w:rPr>
  </w:style>
  <w:style w:type="character" w:styleId="GPSL2IndentChar" w:customStyle="1">
    <w:name w:val="GPS L2 Indent Char"/>
    <w:link w:val="GPSL2Indent"/>
    <w:rPr>
      <w:rFonts w:ascii="Calibri" w:cs="Arial" w:eastAsia="Times New Roman" w:hAnsi="Calibri"/>
      <w:szCs w:val="24"/>
    </w:rPr>
  </w:style>
  <w:style w:type="paragraph" w:styleId="GPSDefinitionTerm" w:customStyle="1">
    <w:name w:val="GPS Definition Term"/>
    <w:basedOn w:val="Normal"/>
    <w:qFormat w:val="1"/>
    <w:pPr>
      <w:overflowPunct w:val="0"/>
      <w:autoSpaceDE w:val="0"/>
      <w:autoSpaceDN w:val="0"/>
      <w:adjustRightInd w:val="0"/>
      <w:spacing w:after="120" w:line="240" w:lineRule="auto"/>
      <w:ind w:left="-108"/>
      <w:textAlignment w:val="baseline"/>
    </w:pPr>
    <w:rPr>
      <w:rFonts w:eastAsia="Times New Roman"/>
      <w:b w:val="1"/>
    </w:rPr>
  </w:style>
  <w:style w:type="table" w:styleId="TableGrid">
    <w:name w:val="Table Grid"/>
    <w:basedOn w:val="TableNormal"/>
    <w:uiPriority w:val="59"/>
    <w:pPr>
      <w:spacing w:after="0" w:line="240" w:lineRule="auto"/>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customStyle="1">
    <w:name w:val="Footnote Text Char"/>
    <w:basedOn w:val="DefaultParagraphFont"/>
    <w:link w:val="FootnoteText"/>
    <w:uiPriority w:val="99"/>
    <w:semiHidden w:val="1"/>
    <w:rPr>
      <w:rFonts w:ascii="Calibri" w:cs="Times New Roman" w:eastAsia="Calibri" w:hAnsi="Calibri"/>
      <w:sz w:val="20"/>
      <w:szCs w:val="20"/>
    </w:rPr>
  </w:style>
  <w:style w:type="character" w:styleId="FootnoteReference">
    <w:name w:val="footnote reference"/>
    <w:basedOn w:val="DefaultParagraphFont"/>
    <w:uiPriority w:val="99"/>
    <w:semiHidden w:val="1"/>
    <w:unhideWhenUsed w:val="1"/>
    <w:rPr>
      <w:vertAlign w:val="superscript"/>
    </w:rPr>
  </w:style>
  <w:style w:type="character" w:styleId="Heading1Char" w:customStyle="1">
    <w:name w:val="Heading 1 Char"/>
    <w:basedOn w:val="DefaultParagraphFont"/>
    <w:link w:val="Heading1"/>
    <w:uiPriority w:val="9"/>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Pr>
      <w:rFonts w:asciiTheme="majorHAnsi" w:cstheme="majorBidi" w:eastAsiaTheme="majorEastAsia" w:hAnsiTheme="majorHAnsi"/>
      <w:b w:val="1"/>
      <w:bCs w:val="1"/>
      <w:color w:val="4f81bd" w:themeColor="accent1"/>
      <w:sz w:val="26"/>
      <w:szCs w:val="26"/>
    </w:rPr>
  </w:style>
  <w:style w:type="character" w:styleId="GPSL2NumberedBoldHeadingChar" w:customStyle="1">
    <w:name w:val="GPS L2 Numbered Bold Heading Char"/>
    <w:link w:val="GPSL2NumberedBoldHeading"/>
    <w:rsid w:val="00633ACA"/>
    <w:rPr>
      <w:rFonts w:ascii="Calibri" w:cs="Arial" w:eastAsia="Times New Roman" w:hAnsi="Calibri"/>
      <w:lang w:eastAsia="zh-CN"/>
    </w:rPr>
  </w:style>
  <w:style w:type="paragraph" w:styleId="GPSL3Indent" w:customStyle="1">
    <w:name w:val="GPS L3 Indent"/>
    <w:basedOn w:val="Normal"/>
    <w:rsid w:val="00633ACA"/>
    <w:pPr>
      <w:tabs>
        <w:tab w:val="left" w:pos="2127"/>
      </w:tabs>
      <w:adjustRightInd w:val="0"/>
      <w:spacing w:after="120" w:before="120" w:line="240" w:lineRule="auto"/>
      <w:ind w:left="2127"/>
      <w:jc w:val="both"/>
    </w:pPr>
    <w:rPr>
      <w:rFonts w:eastAsia="Times New Roman"/>
      <w:lang w:eastAsia="zh-CN" w:val="en-US"/>
    </w:rPr>
  </w:style>
  <w:style w:type="paragraph" w:styleId="ListParagraph">
    <w:name w:val="List Paragraph"/>
    <w:basedOn w:val="Normal"/>
    <w:uiPriority w:val="34"/>
    <w:qFormat w:val="1"/>
    <w:rsid w:val="00331773"/>
    <w:pPr>
      <w:ind w:left="720"/>
      <w:contextualSpacing w:val="1"/>
    </w:pPr>
    <w:rPr>
      <w:rFonts w:cs="Calibri"/>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B58wV61AL5QExjsZSc0VuFEg==">CgMxLjAyCGguZ2pkZ3hzMgloLjMwajB6bGwyCWguMWZvYjl0ZTIJaC4zem55c2g3OAByITFrVFVqUFFhdG55bmp0eDZ2Z3pxd2RuWGNUc1VlRlNWTw==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2024-05-21T14:58:00Z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90854662-1</vt:lpwstr>
  </property>
</Properties>
</file>