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76" w:lineRule="auto"/>
        <w:jc w:val="left"/>
        <w:rPr>
          <w:rFonts w:ascii="Arial" w:cs="Arial" w:eastAsia="Arial" w:hAnsi="Arial"/>
          <w:b w:val="1"/>
          <w:smallCaps w:val="1"/>
          <w:color w:val="000000"/>
          <w:sz w:val="24"/>
          <w:szCs w:val="24"/>
        </w:rPr>
      </w:pPr>
      <w:bookmarkStart w:colFirst="0" w:colLast="0" w:name="_heading=h.rr52skqfhnu" w:id="0"/>
      <w:bookmarkEnd w:id="0"/>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tabs>
          <w:tab w:val="left" w:leader="none" w:pos="142"/>
        </w:tabs>
        <w:spacing w:before="120" w:line="276" w:lineRule="auto"/>
        <w:ind w:left="360" w:hanging="360"/>
        <w:jc w:val="left"/>
        <w:rPr>
          <w:rFonts w:ascii="Arial" w:cs="Arial" w:eastAsia="Arial" w:hAnsi="Arial"/>
          <w:b w:val="1"/>
          <w:color w:val="000000"/>
          <w:sz w:val="36"/>
          <w:szCs w:val="36"/>
        </w:rPr>
      </w:pPr>
      <w:bookmarkStart w:colFirst="0" w:colLast="0" w:name="_heading=h.30j0zll" w:id="1"/>
      <w:bookmarkEnd w:id="1"/>
      <w:r w:rsidDel="00000000" w:rsidR="00000000" w:rsidRPr="00000000">
        <w:rPr>
          <w:rFonts w:ascii="Arial" w:cs="Arial" w:eastAsia="Arial" w:hAnsi="Arial"/>
          <w:b w:val="1"/>
          <w:color w:val="000000"/>
          <w:sz w:val="36"/>
          <w:szCs w:val="36"/>
          <w:rtl w:val="0"/>
        </w:rPr>
        <w:t xml:space="preserve">Call-Off Schedule </w:t>
      </w:r>
      <w:r w:rsidDel="00000000" w:rsidR="00000000" w:rsidRPr="00000000">
        <w:rPr>
          <w:rFonts w:ascii="Arial" w:cs="Arial" w:eastAsia="Arial" w:hAnsi="Arial"/>
          <w:b w:val="1"/>
          <w:sz w:val="36"/>
          <w:szCs w:val="36"/>
          <w:rtl w:val="0"/>
        </w:rPr>
        <w:t xml:space="preserve">31</w:t>
      </w:r>
      <w:r w:rsidDel="00000000" w:rsidR="00000000" w:rsidRPr="00000000">
        <w:rPr>
          <w:rFonts w:ascii="Arial" w:cs="Arial" w:eastAsia="Arial" w:hAnsi="Arial"/>
          <w:b w:val="1"/>
          <w:color w:val="000000"/>
          <w:sz w:val="36"/>
          <w:szCs w:val="36"/>
          <w:rtl w:val="0"/>
        </w:rPr>
        <w:t xml:space="preserve"> (TUPE Premium)</w:t>
      </w:r>
    </w:p>
    <w:p w:rsidR="00000000" w:rsidDel="00000000" w:rsidP="00000000" w:rsidRDefault="00000000" w:rsidRPr="00000000" w14:paraId="00000003">
      <w:pPr>
        <w:pBdr>
          <w:top w:space="0" w:sz="0" w:val="nil"/>
          <w:left w:space="0" w:sz="0" w:val="nil"/>
          <w:bottom w:space="0" w:sz="0" w:val="nil"/>
          <w:right w:space="0" w:sz="0" w:val="nil"/>
          <w:between w:space="0" w:sz="0" w:val="nil"/>
        </w:pBdr>
        <w:tabs>
          <w:tab w:val="left" w:leader="none" w:pos="142"/>
        </w:tabs>
        <w:spacing w:before="120" w:line="276" w:lineRule="auto"/>
        <w:ind w:left="360" w:hanging="360"/>
        <w:jc w:val="left"/>
        <w:rPr>
          <w:rFonts w:ascii="Arial" w:cs="Arial" w:eastAsia="Arial" w:hAnsi="Arial"/>
          <w:b w:val="1"/>
          <w:color w:val="000000"/>
          <w:sz w:val="6"/>
          <w:szCs w:val="6"/>
        </w:rPr>
      </w:pPr>
      <w:bookmarkStart w:colFirst="0" w:colLast="0" w:name="_heading=h.oqd34042zczz" w:id="2"/>
      <w:bookmarkEnd w:id="2"/>
      <w:r w:rsidDel="00000000" w:rsidR="00000000" w:rsidRPr="00000000">
        <w:rPr>
          <w:rtl w:val="0"/>
        </w:rPr>
      </w:r>
    </w:p>
    <w:tbl>
      <w:tblPr>
        <w:tblStyle w:val="Table1"/>
        <w:tblW w:w="901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508"/>
        <w:gridCol w:w="4508"/>
        <w:tblGridChange w:id="0">
          <w:tblGrid>
            <w:gridCol w:w="4508"/>
            <w:gridCol w:w="4508"/>
          </w:tblGrid>
        </w:tblGridChange>
      </w:tblGrid>
      <w:tr>
        <w:trPr>
          <w:cantSplit w:val="0"/>
          <w:tblHeader w:val="0"/>
        </w:trPr>
        <w:tc>
          <w:tcPr>
            <w:gridSpan w:val="2"/>
          </w:tcPr>
          <w:p w:rsidR="00000000" w:rsidDel="00000000" w:rsidP="00000000" w:rsidRDefault="00000000" w:rsidRPr="00000000" w14:paraId="00000004">
            <w:pPr>
              <w:spacing w:after="0" w:line="276" w:lineRule="auto"/>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In this </w:t>
            </w:r>
            <w:r w:rsidDel="00000000" w:rsidR="00000000" w:rsidRPr="00000000">
              <w:rPr>
                <w:rFonts w:ascii="Arial" w:cs="Arial" w:eastAsia="Arial" w:hAnsi="Arial"/>
                <w:sz w:val="24"/>
                <w:szCs w:val="24"/>
                <w:rtl w:val="0"/>
              </w:rPr>
              <w:t xml:space="preserve">S</w:t>
            </w:r>
            <w:r w:rsidDel="00000000" w:rsidR="00000000" w:rsidRPr="00000000">
              <w:rPr>
                <w:rFonts w:ascii="Arial" w:cs="Arial" w:eastAsia="Arial" w:hAnsi="Arial"/>
                <w:color w:val="000000"/>
                <w:sz w:val="24"/>
                <w:szCs w:val="24"/>
                <w:rtl w:val="0"/>
              </w:rPr>
              <w:t xml:space="preserve">chedule, the following words shall have the following meanings and they shall supplement (i) Joint Schedule 1 (</w:t>
            </w:r>
            <w:r w:rsidDel="00000000" w:rsidR="00000000" w:rsidRPr="00000000">
              <w:rPr>
                <w:rFonts w:ascii="Arial" w:cs="Arial" w:eastAsia="Arial" w:hAnsi="Arial"/>
                <w:i w:val="1"/>
                <w:color w:val="000000"/>
                <w:sz w:val="24"/>
                <w:szCs w:val="24"/>
                <w:rtl w:val="0"/>
              </w:rPr>
              <w:t xml:space="preserve">Definitions</w:t>
            </w:r>
            <w:r w:rsidDel="00000000" w:rsidR="00000000" w:rsidRPr="00000000">
              <w:rPr>
                <w:rFonts w:ascii="Arial" w:cs="Arial" w:eastAsia="Arial" w:hAnsi="Arial"/>
                <w:color w:val="000000"/>
                <w:sz w:val="24"/>
                <w:szCs w:val="24"/>
                <w:rtl w:val="0"/>
              </w:rPr>
              <w:t xml:space="preserve">) and (ii) Call–Off Schedule </w:t>
            </w:r>
            <w:r w:rsidDel="00000000" w:rsidR="00000000" w:rsidRPr="00000000">
              <w:rPr>
                <w:rFonts w:ascii="Arial" w:cs="Arial" w:eastAsia="Arial" w:hAnsi="Arial"/>
                <w:sz w:val="24"/>
                <w:szCs w:val="24"/>
                <w:rtl w:val="0"/>
              </w:rPr>
              <w:t xml:space="preserve">2</w:t>
            </w:r>
            <w:r w:rsidDel="00000000" w:rsidR="00000000" w:rsidRPr="00000000">
              <w:rPr>
                <w:rFonts w:ascii="Arial" w:cs="Arial" w:eastAsia="Arial" w:hAnsi="Arial"/>
                <w:color w:val="000000"/>
                <w:sz w:val="24"/>
                <w:szCs w:val="24"/>
                <w:rtl w:val="0"/>
              </w:rPr>
              <w:t xml:space="preserve"> (</w:t>
            </w:r>
            <w:r w:rsidDel="00000000" w:rsidR="00000000" w:rsidRPr="00000000">
              <w:rPr>
                <w:rFonts w:ascii="Arial" w:cs="Arial" w:eastAsia="Arial" w:hAnsi="Arial"/>
                <w:i w:val="1"/>
                <w:color w:val="000000"/>
                <w:sz w:val="24"/>
                <w:szCs w:val="24"/>
                <w:rtl w:val="0"/>
              </w:rPr>
              <w:t xml:space="preserve">Staff Transfer</w:t>
            </w:r>
            <w:r w:rsidDel="00000000" w:rsidR="00000000" w:rsidRPr="00000000">
              <w:rPr>
                <w:rFonts w:ascii="Arial" w:cs="Arial" w:eastAsia="Arial" w:hAnsi="Arial"/>
                <w:color w:val="000000"/>
                <w:sz w:val="24"/>
                <w:szCs w:val="24"/>
                <w:rtl w:val="0"/>
              </w:rPr>
              <w:t xml:space="preserve">):</w:t>
            </w:r>
          </w:p>
        </w:tc>
      </w:tr>
      <w:tr>
        <w:trPr>
          <w:cantSplit w:val="0"/>
          <w:tblHeader w:val="0"/>
        </w:trPr>
        <w:tc>
          <w:tcPr/>
          <w:p w:rsidR="00000000" w:rsidDel="00000000" w:rsidP="00000000" w:rsidRDefault="00000000" w:rsidRPr="00000000" w14:paraId="00000006">
            <w:pPr>
              <w:keepNext w:val="1"/>
              <w:pBdr>
                <w:top w:space="0" w:sz="0" w:val="nil"/>
                <w:left w:space="0" w:sz="0" w:val="nil"/>
                <w:bottom w:space="0" w:sz="0" w:val="nil"/>
                <w:right w:space="0" w:sz="0" w:val="nil"/>
                <w:between w:space="0" w:sz="0" w:val="nil"/>
              </w:pBdr>
              <w:spacing w:line="276" w:lineRule="auto"/>
              <w:jc w:val="left"/>
              <w:rPr>
                <w:rFonts w:ascii="Arial" w:cs="Arial" w:eastAsia="Arial" w:hAnsi="Arial"/>
                <w:b w:val="1"/>
                <w:smallCaps w:val="1"/>
                <w:color w:val="000000"/>
                <w:sz w:val="24"/>
                <w:szCs w:val="24"/>
              </w:rPr>
            </w:pPr>
            <w:r w:rsidDel="00000000" w:rsidR="00000000" w:rsidRPr="00000000">
              <w:rPr>
                <w:rFonts w:ascii="Arial" w:cs="Arial" w:eastAsia="Arial" w:hAnsi="Arial"/>
                <w:b w:val="1"/>
                <w:smallCaps w:val="1"/>
                <w:color w:val="000000"/>
                <w:sz w:val="24"/>
                <w:szCs w:val="24"/>
                <w:rtl w:val="0"/>
              </w:rPr>
              <w:t xml:space="preserve">DEFINITION</w:t>
            </w:r>
          </w:p>
        </w:tc>
        <w:tc>
          <w:tcPr/>
          <w:p w:rsidR="00000000" w:rsidDel="00000000" w:rsidP="00000000" w:rsidRDefault="00000000" w:rsidRPr="00000000" w14:paraId="00000007">
            <w:pPr>
              <w:keepNext w:val="1"/>
              <w:pBdr>
                <w:top w:space="0" w:sz="0" w:val="nil"/>
                <w:left w:space="0" w:sz="0" w:val="nil"/>
                <w:bottom w:space="0" w:sz="0" w:val="nil"/>
                <w:right w:space="0" w:sz="0" w:val="nil"/>
                <w:between w:space="0" w:sz="0" w:val="nil"/>
              </w:pBdr>
              <w:spacing w:line="276" w:lineRule="auto"/>
              <w:jc w:val="left"/>
              <w:rPr>
                <w:rFonts w:ascii="Arial" w:cs="Arial" w:eastAsia="Arial" w:hAnsi="Arial"/>
                <w:b w:val="1"/>
                <w:smallCaps w:val="1"/>
                <w:color w:val="000000"/>
                <w:sz w:val="24"/>
                <w:szCs w:val="24"/>
              </w:rPr>
            </w:pPr>
            <w:r w:rsidDel="00000000" w:rsidR="00000000" w:rsidRPr="00000000">
              <w:rPr>
                <w:rFonts w:ascii="Arial" w:cs="Arial" w:eastAsia="Arial" w:hAnsi="Arial"/>
                <w:b w:val="1"/>
                <w:smallCaps w:val="1"/>
                <w:color w:val="000000"/>
                <w:sz w:val="24"/>
                <w:szCs w:val="24"/>
                <w:rtl w:val="0"/>
              </w:rPr>
              <w:t xml:space="preserve">MEANING</w:t>
            </w:r>
          </w:p>
        </w:tc>
      </w:tr>
      <w:tr>
        <w:trPr>
          <w:cantSplit w:val="0"/>
          <w:tblHeader w:val="0"/>
        </w:trPr>
        <w:tc>
          <w:tcPr>
            <w:vAlign w:val="center"/>
          </w:tcPr>
          <w:p w:rsidR="00000000" w:rsidDel="00000000" w:rsidP="00000000" w:rsidRDefault="00000000" w:rsidRPr="00000000" w14:paraId="00000008">
            <w:pPr>
              <w:pBdr>
                <w:top w:space="0" w:sz="0" w:val="nil"/>
                <w:left w:space="0" w:sz="0" w:val="nil"/>
                <w:bottom w:space="0" w:sz="0" w:val="nil"/>
                <w:right w:space="0" w:sz="0" w:val="nil"/>
                <w:between w:space="0" w:sz="0" w:val="nil"/>
              </w:pBdr>
              <w:spacing w:after="120" w:line="276" w:lineRule="auto"/>
              <w:ind w:left="-108" w:firstLine="0"/>
              <w:jc w:val="left"/>
              <w:rPr>
                <w:rFonts w:ascii="Arial" w:cs="Arial" w:eastAsia="Arial" w:hAnsi="Arial"/>
                <w:b w:val="1"/>
                <w:color w:val="000000"/>
                <w:sz w:val="24"/>
                <w:szCs w:val="24"/>
              </w:rPr>
            </w:pPr>
            <w:r w:rsidDel="00000000" w:rsidR="00000000" w:rsidRPr="00000000">
              <w:rPr>
                <w:rFonts w:ascii="Arial" w:cs="Arial" w:eastAsia="Arial" w:hAnsi="Arial"/>
                <w:b w:val="1"/>
                <w:color w:val="000000"/>
                <w:sz w:val="24"/>
                <w:szCs w:val="24"/>
                <w:rtl w:val="0"/>
              </w:rPr>
              <w:t xml:space="preserve">"Adjustable TUPE Premium"</w:t>
            </w:r>
          </w:p>
        </w:tc>
        <w:tc>
          <w:tcPr>
            <w:vAlign w:val="center"/>
          </w:tcPr>
          <w:p w:rsidR="00000000" w:rsidDel="00000000" w:rsidP="00000000" w:rsidRDefault="00000000" w:rsidRPr="00000000" w14:paraId="00000009">
            <w:pPr>
              <w:pBdr>
                <w:top w:space="0" w:sz="0" w:val="nil"/>
                <w:left w:space="0" w:sz="0" w:val="nil"/>
                <w:bottom w:space="0" w:sz="0" w:val="nil"/>
                <w:right w:space="0" w:sz="0" w:val="nil"/>
                <w:between w:space="0" w:sz="0" w:val="nil"/>
              </w:pBdr>
              <w:tabs>
                <w:tab w:val="left" w:leader="none" w:pos="175"/>
                <w:tab w:val="left" w:leader="none" w:pos="-179"/>
                <w:tab w:val="left" w:leader="none" w:pos="-9"/>
              </w:tabs>
              <w:spacing w:after="120" w:line="276" w:lineRule="auto"/>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means the adjustable amount payable on an annual basis based on the difference between:</w:t>
            </w:r>
          </w:p>
          <w:p w:rsidR="00000000" w:rsidDel="00000000" w:rsidP="00000000" w:rsidRDefault="00000000" w:rsidRPr="00000000" w14:paraId="0000000A">
            <w:pPr>
              <w:pBdr>
                <w:top w:space="0" w:sz="0" w:val="nil"/>
                <w:left w:space="0" w:sz="0" w:val="nil"/>
                <w:bottom w:space="0" w:sz="0" w:val="nil"/>
                <w:right w:space="0" w:sz="0" w:val="nil"/>
                <w:between w:space="0" w:sz="0" w:val="nil"/>
              </w:pBdr>
              <w:tabs>
                <w:tab w:val="left" w:leader="none" w:pos="175"/>
                <w:tab w:val="left" w:leader="none" w:pos="-179"/>
                <w:tab w:val="left" w:leader="none" w:pos="-9"/>
              </w:tabs>
              <w:spacing w:after="120" w:line="276" w:lineRule="auto"/>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w:t>
              <w:tab/>
              <w:t xml:space="preserve">the costs to employ Transferring Former Supplier Employees or where the Former Supplier becomes the Supplier those Former Supplier employees providing the Services at the Commencement Date and/or Transferring Buyer Employees (as the case may be); and</w:t>
            </w:r>
          </w:p>
          <w:p w:rsidR="00000000" w:rsidDel="00000000" w:rsidP="00000000" w:rsidRDefault="00000000" w:rsidRPr="00000000" w14:paraId="0000000B">
            <w:pPr>
              <w:pBdr>
                <w:top w:space="0" w:sz="0" w:val="nil"/>
                <w:left w:space="0" w:sz="0" w:val="nil"/>
                <w:bottom w:space="0" w:sz="0" w:val="nil"/>
                <w:right w:space="0" w:sz="0" w:val="nil"/>
                <w:between w:space="0" w:sz="0" w:val="nil"/>
              </w:pBdr>
              <w:tabs>
                <w:tab w:val="left" w:leader="none" w:pos="175"/>
                <w:tab w:val="left" w:leader="none" w:pos="-179"/>
                <w:tab w:val="left" w:leader="none" w:pos="-9"/>
              </w:tabs>
              <w:spacing w:after="120" w:line="276" w:lineRule="auto"/>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b)</w:t>
              <w:tab/>
              <w:t xml:space="preserve">the equivalent costs to employ staff used by the Supplier at </w:t>
            </w:r>
            <w:r w:rsidDel="00000000" w:rsidR="00000000" w:rsidRPr="00000000">
              <w:rPr>
                <w:rFonts w:ascii="Arial" w:cs="Arial" w:eastAsia="Arial" w:hAnsi="Arial"/>
                <w:sz w:val="24"/>
                <w:szCs w:val="24"/>
                <w:rtl w:val="0"/>
              </w:rPr>
              <w:t xml:space="preserve">as part of a Call-Off Procedure</w:t>
            </w:r>
            <w:r w:rsidDel="00000000" w:rsidR="00000000" w:rsidRPr="00000000">
              <w:rPr>
                <w:rFonts w:ascii="Arial" w:cs="Arial" w:eastAsia="Arial" w:hAnsi="Arial"/>
                <w:color w:val="000000"/>
                <w:sz w:val="24"/>
                <w:szCs w:val="24"/>
                <w:rtl w:val="0"/>
              </w:rPr>
              <w:t xml:space="preserve">,</w:t>
            </w:r>
          </w:p>
          <w:p w:rsidR="00000000" w:rsidDel="00000000" w:rsidP="00000000" w:rsidRDefault="00000000" w:rsidRPr="00000000" w14:paraId="0000000C">
            <w:pPr>
              <w:pBdr>
                <w:top w:space="0" w:sz="0" w:val="nil"/>
                <w:left w:space="0" w:sz="0" w:val="nil"/>
                <w:bottom w:space="0" w:sz="0" w:val="nil"/>
                <w:right w:space="0" w:sz="0" w:val="nil"/>
                <w:between w:space="0" w:sz="0" w:val="nil"/>
              </w:pBdr>
              <w:tabs>
                <w:tab w:val="left" w:leader="none" w:pos="175"/>
                <w:tab w:val="left" w:leader="none" w:pos="-179"/>
                <w:tab w:val="left" w:leader="none" w:pos="-9"/>
              </w:tabs>
              <w:spacing w:after="120" w:line="276" w:lineRule="auto"/>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in respect of payments due under contracts of employment in respect of the following: </w:t>
            </w:r>
          </w:p>
          <w:p w:rsidR="00000000" w:rsidDel="00000000" w:rsidP="00000000" w:rsidRDefault="00000000" w:rsidRPr="00000000" w14:paraId="0000000D">
            <w:pPr>
              <w:pBdr>
                <w:top w:space="0" w:sz="0" w:val="nil"/>
                <w:left w:space="0" w:sz="0" w:val="nil"/>
                <w:bottom w:space="0" w:sz="0" w:val="nil"/>
                <w:right w:space="0" w:sz="0" w:val="nil"/>
                <w:between w:space="0" w:sz="0" w:val="nil"/>
              </w:pBdr>
              <w:tabs>
                <w:tab w:val="left" w:leader="none" w:pos="175"/>
                <w:tab w:val="left" w:leader="none" w:pos="-179"/>
                <w:tab w:val="left" w:leader="none" w:pos="-9"/>
              </w:tabs>
              <w:spacing w:after="120" w:line="276" w:lineRule="auto"/>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i)</w:t>
              <w:tab/>
              <w:t xml:space="preserve">        annual salary;</w:t>
            </w:r>
          </w:p>
          <w:p w:rsidR="00000000" w:rsidDel="00000000" w:rsidP="00000000" w:rsidRDefault="00000000" w:rsidRPr="00000000" w14:paraId="0000000E">
            <w:pPr>
              <w:pBdr>
                <w:top w:space="0" w:sz="0" w:val="nil"/>
                <w:left w:space="0" w:sz="0" w:val="nil"/>
                <w:bottom w:space="0" w:sz="0" w:val="nil"/>
                <w:right w:space="0" w:sz="0" w:val="nil"/>
                <w:between w:space="0" w:sz="0" w:val="nil"/>
              </w:pBdr>
              <w:tabs>
                <w:tab w:val="left" w:leader="none" w:pos="175"/>
                <w:tab w:val="left" w:leader="none" w:pos="-179"/>
                <w:tab w:val="left" w:leader="none" w:pos="-9"/>
              </w:tabs>
              <w:spacing w:after="120" w:line="276" w:lineRule="auto"/>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ii)</w:t>
              <w:tab/>
              <w:t xml:space="preserve">annual national insurance cost;</w:t>
            </w:r>
          </w:p>
          <w:p w:rsidR="00000000" w:rsidDel="00000000" w:rsidP="00000000" w:rsidRDefault="00000000" w:rsidRPr="00000000" w14:paraId="0000000F">
            <w:pPr>
              <w:pBdr>
                <w:top w:space="0" w:sz="0" w:val="nil"/>
                <w:left w:space="0" w:sz="0" w:val="nil"/>
                <w:bottom w:space="0" w:sz="0" w:val="nil"/>
                <w:right w:space="0" w:sz="0" w:val="nil"/>
                <w:between w:space="0" w:sz="0" w:val="nil"/>
              </w:pBdr>
              <w:tabs>
                <w:tab w:val="left" w:leader="none" w:pos="175"/>
                <w:tab w:val="left" w:leader="none" w:pos="-179"/>
                <w:tab w:val="left" w:leader="none" w:pos="-9"/>
              </w:tabs>
              <w:spacing w:after="120" w:line="276" w:lineRule="auto"/>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iii)</w:t>
              <w:tab/>
              <w:t xml:space="preserve">Annual Pension Cost;</w:t>
            </w:r>
          </w:p>
          <w:p w:rsidR="00000000" w:rsidDel="00000000" w:rsidP="00000000" w:rsidRDefault="00000000" w:rsidRPr="00000000" w14:paraId="00000010">
            <w:pPr>
              <w:pBdr>
                <w:top w:space="0" w:sz="0" w:val="nil"/>
                <w:left w:space="0" w:sz="0" w:val="nil"/>
                <w:bottom w:space="0" w:sz="0" w:val="nil"/>
                <w:right w:space="0" w:sz="0" w:val="nil"/>
                <w:between w:space="0" w:sz="0" w:val="nil"/>
              </w:pBdr>
              <w:tabs>
                <w:tab w:val="left" w:leader="none" w:pos="175"/>
                <w:tab w:val="left" w:leader="none" w:pos="-179"/>
                <w:tab w:val="left" w:leader="none" w:pos="-9"/>
              </w:tabs>
              <w:spacing w:after="120" w:line="276" w:lineRule="auto"/>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iv)</w:t>
              <w:tab/>
              <w:t xml:space="preserve">annual life insurance cost;</w:t>
            </w:r>
          </w:p>
          <w:p w:rsidR="00000000" w:rsidDel="00000000" w:rsidP="00000000" w:rsidRDefault="00000000" w:rsidRPr="00000000" w14:paraId="00000011">
            <w:pPr>
              <w:pBdr>
                <w:top w:space="0" w:sz="0" w:val="nil"/>
                <w:left w:space="0" w:sz="0" w:val="nil"/>
                <w:bottom w:space="0" w:sz="0" w:val="nil"/>
                <w:right w:space="0" w:sz="0" w:val="nil"/>
                <w:between w:space="0" w:sz="0" w:val="nil"/>
              </w:pBdr>
              <w:tabs>
                <w:tab w:val="left" w:leader="none" w:pos="175"/>
                <w:tab w:val="left" w:leader="none" w:pos="-179"/>
                <w:tab w:val="left" w:leader="none" w:pos="-9"/>
              </w:tabs>
              <w:spacing w:after="120" w:line="276" w:lineRule="auto"/>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v)</w:t>
              <w:tab/>
              <w:t xml:space="preserve">annual sick pay entitlement;</w:t>
            </w:r>
          </w:p>
          <w:p w:rsidR="00000000" w:rsidDel="00000000" w:rsidP="00000000" w:rsidRDefault="00000000" w:rsidRPr="00000000" w14:paraId="00000012">
            <w:pPr>
              <w:pBdr>
                <w:top w:space="0" w:sz="0" w:val="nil"/>
                <w:left w:space="0" w:sz="0" w:val="nil"/>
                <w:bottom w:space="0" w:sz="0" w:val="nil"/>
                <w:right w:space="0" w:sz="0" w:val="nil"/>
                <w:between w:space="0" w:sz="0" w:val="nil"/>
              </w:pBdr>
              <w:tabs>
                <w:tab w:val="left" w:leader="none" w:pos="175"/>
                <w:tab w:val="left" w:leader="none" w:pos="-179"/>
                <w:tab w:val="left" w:leader="none" w:pos="-9"/>
              </w:tabs>
              <w:spacing w:after="120" w:line="276" w:lineRule="auto"/>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vi)</w:t>
              <w:tab/>
              <w:t xml:space="preserve">maternity/paternity costs; and</w:t>
            </w:r>
          </w:p>
          <w:p w:rsidR="00000000" w:rsidDel="00000000" w:rsidP="00000000" w:rsidRDefault="00000000" w:rsidRPr="00000000" w14:paraId="00000013">
            <w:pPr>
              <w:pBdr>
                <w:top w:space="0" w:sz="0" w:val="nil"/>
                <w:left w:space="0" w:sz="0" w:val="nil"/>
                <w:bottom w:space="0" w:sz="0" w:val="nil"/>
                <w:right w:space="0" w:sz="0" w:val="nil"/>
                <w:between w:space="0" w:sz="0" w:val="nil"/>
              </w:pBdr>
              <w:tabs>
                <w:tab w:val="left" w:leader="none" w:pos="175"/>
                <w:tab w:val="left" w:leader="none" w:pos="-179"/>
                <w:tab w:val="left" w:leader="none" w:pos="-9"/>
              </w:tabs>
              <w:spacing w:after="120" w:line="276" w:lineRule="auto"/>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vii)</w:t>
              <w:tab/>
              <w:t xml:space="preserve">any other cost arising directly from the contract of employment of the Transferring Former Supplier Employee and or Transferring Buyer Employee, </w:t>
            </w:r>
          </w:p>
          <w:p w:rsidR="00000000" w:rsidDel="00000000" w:rsidP="00000000" w:rsidRDefault="00000000" w:rsidRPr="00000000" w14:paraId="00000014">
            <w:pPr>
              <w:pBdr>
                <w:top w:space="0" w:sz="0" w:val="nil"/>
                <w:left w:space="0" w:sz="0" w:val="nil"/>
                <w:bottom w:space="0" w:sz="0" w:val="nil"/>
                <w:right w:space="0" w:sz="0" w:val="nil"/>
                <w:between w:space="0" w:sz="0" w:val="nil"/>
              </w:pBdr>
              <w:tabs>
                <w:tab w:val="left" w:leader="none" w:pos="175"/>
                <w:tab w:val="left" w:leader="none" w:pos="-179"/>
                <w:tab w:val="left" w:leader="none" w:pos="-9"/>
              </w:tabs>
              <w:spacing w:after="120" w:line="276" w:lineRule="auto"/>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as set out in paragraph 2 of </w:t>
            </w:r>
            <w:r w:rsidDel="00000000" w:rsidR="00000000" w:rsidRPr="00000000">
              <w:rPr>
                <w:rFonts w:ascii="Arial" w:cs="Arial" w:eastAsia="Arial" w:hAnsi="Arial"/>
                <w:sz w:val="24"/>
                <w:szCs w:val="24"/>
                <w:rtl w:val="0"/>
              </w:rPr>
              <w:t xml:space="preserve">Call-Off</w:t>
            </w:r>
            <w:r w:rsidDel="00000000" w:rsidR="00000000" w:rsidRPr="00000000">
              <w:rPr>
                <w:rFonts w:ascii="Arial" w:cs="Arial" w:eastAsia="Arial" w:hAnsi="Arial"/>
                <w:color w:val="000000"/>
                <w:sz w:val="24"/>
                <w:szCs w:val="24"/>
                <w:rtl w:val="0"/>
              </w:rPr>
              <w:t xml:space="preserve"> Schedule </w:t>
            </w:r>
            <w:r w:rsidDel="00000000" w:rsidR="00000000" w:rsidRPr="00000000">
              <w:rPr>
                <w:rFonts w:ascii="Arial" w:cs="Arial" w:eastAsia="Arial" w:hAnsi="Arial"/>
                <w:sz w:val="24"/>
                <w:szCs w:val="24"/>
                <w:rtl w:val="0"/>
              </w:rPr>
              <w:t xml:space="preserve">31</w:t>
            </w:r>
            <w:r w:rsidDel="00000000" w:rsidR="00000000" w:rsidRPr="00000000">
              <w:rPr>
                <w:rFonts w:ascii="Arial" w:cs="Arial" w:eastAsia="Arial" w:hAnsi="Arial"/>
                <w:color w:val="000000"/>
                <w:sz w:val="24"/>
                <w:szCs w:val="24"/>
                <w:rtl w:val="0"/>
              </w:rPr>
              <w:t xml:space="preserve"> </w:t>
            </w:r>
            <w:r w:rsidDel="00000000" w:rsidR="00000000" w:rsidRPr="00000000">
              <w:rPr>
                <w:rFonts w:ascii="Arial" w:cs="Arial" w:eastAsia="Arial" w:hAnsi="Arial"/>
                <w:i w:val="1"/>
                <w:color w:val="000000"/>
                <w:sz w:val="24"/>
                <w:szCs w:val="24"/>
                <w:rtl w:val="0"/>
              </w:rPr>
              <w:t xml:space="preserve">(TUPE Premium</w:t>
            </w:r>
            <w:r w:rsidDel="00000000" w:rsidR="00000000" w:rsidRPr="00000000">
              <w:rPr>
                <w:rFonts w:ascii="Arial" w:cs="Arial" w:eastAsia="Arial" w:hAnsi="Arial"/>
                <w:color w:val="000000"/>
                <w:sz w:val="24"/>
                <w:szCs w:val="24"/>
                <w:rtl w:val="0"/>
              </w:rPr>
              <w:t xml:space="preserve">);</w:t>
            </w:r>
          </w:p>
          <w:p w:rsidR="00000000" w:rsidDel="00000000" w:rsidP="00000000" w:rsidRDefault="00000000" w:rsidRPr="00000000" w14:paraId="00000015">
            <w:pPr>
              <w:pBdr>
                <w:top w:space="0" w:sz="0" w:val="nil"/>
                <w:left w:space="0" w:sz="0" w:val="nil"/>
                <w:bottom w:space="0" w:sz="0" w:val="nil"/>
                <w:right w:space="0" w:sz="0" w:val="nil"/>
                <w:between w:space="0" w:sz="0" w:val="nil"/>
              </w:pBdr>
              <w:tabs>
                <w:tab w:val="left" w:leader="none" w:pos="175"/>
                <w:tab w:val="left" w:leader="none" w:pos="-179"/>
                <w:tab w:val="left" w:leader="none" w:pos="-9"/>
              </w:tabs>
              <w:spacing w:after="120" w:line="276" w:lineRule="auto"/>
              <w:jc w:val="left"/>
              <w:rPr>
                <w:rFonts w:ascii="Arial" w:cs="Arial" w:eastAsia="Arial" w:hAnsi="Arial"/>
                <w:color w:val="000000"/>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16">
            <w:pPr>
              <w:pBdr>
                <w:top w:space="0" w:sz="0" w:val="nil"/>
                <w:left w:space="0" w:sz="0" w:val="nil"/>
                <w:bottom w:space="0" w:sz="0" w:val="nil"/>
                <w:right w:space="0" w:sz="0" w:val="nil"/>
                <w:between w:space="0" w:sz="0" w:val="nil"/>
              </w:pBdr>
              <w:spacing w:after="120" w:line="276" w:lineRule="auto"/>
              <w:ind w:left="-108" w:firstLine="0"/>
              <w:jc w:val="left"/>
              <w:rPr>
                <w:rFonts w:ascii="Arial" w:cs="Arial" w:eastAsia="Arial" w:hAnsi="Arial"/>
                <w:b w:val="1"/>
                <w:color w:val="000000"/>
                <w:sz w:val="24"/>
                <w:szCs w:val="24"/>
              </w:rPr>
            </w:pPr>
            <w:r w:rsidDel="00000000" w:rsidR="00000000" w:rsidRPr="00000000">
              <w:rPr>
                <w:rFonts w:ascii="Arial" w:cs="Arial" w:eastAsia="Arial" w:hAnsi="Arial"/>
                <w:b w:val="1"/>
                <w:color w:val="000000"/>
                <w:sz w:val="24"/>
                <w:szCs w:val="24"/>
                <w:rtl w:val="0"/>
              </w:rPr>
              <w:t xml:space="preserve">“Annual Pension Cost”</w:t>
            </w:r>
          </w:p>
        </w:tc>
        <w:tc>
          <w:tcPr>
            <w:vAlign w:val="center"/>
          </w:tcPr>
          <w:p w:rsidR="00000000" w:rsidDel="00000000" w:rsidP="00000000" w:rsidRDefault="00000000" w:rsidRPr="00000000" w14:paraId="00000017">
            <w:pPr>
              <w:pBdr>
                <w:top w:space="0" w:sz="0" w:val="nil"/>
                <w:left w:space="0" w:sz="0" w:val="nil"/>
                <w:bottom w:space="0" w:sz="0" w:val="nil"/>
                <w:right w:space="0" w:sz="0" w:val="nil"/>
                <w:between w:space="0" w:sz="0" w:val="nil"/>
              </w:pBdr>
              <w:tabs>
                <w:tab w:val="left" w:leader="none" w:pos="175"/>
                <w:tab w:val="left" w:leader="none" w:pos="-179"/>
                <w:tab w:val="left" w:leader="none" w:pos="-9"/>
              </w:tabs>
              <w:spacing w:after="120" w:line="276" w:lineRule="auto"/>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means Employer Pension Contributions, subject to the Employer Pension Contribution Cap;</w:t>
            </w:r>
          </w:p>
        </w:tc>
      </w:tr>
      <w:tr>
        <w:trPr>
          <w:cantSplit w:val="0"/>
          <w:tblHeader w:val="0"/>
        </w:trPr>
        <w:tc>
          <w:tcPr>
            <w:vAlign w:val="center"/>
          </w:tcPr>
          <w:p w:rsidR="00000000" w:rsidDel="00000000" w:rsidP="00000000" w:rsidRDefault="00000000" w:rsidRPr="00000000" w14:paraId="00000018">
            <w:pPr>
              <w:pBdr>
                <w:top w:space="0" w:sz="0" w:val="nil"/>
                <w:left w:space="0" w:sz="0" w:val="nil"/>
                <w:bottom w:space="0" w:sz="0" w:val="nil"/>
                <w:right w:space="0" w:sz="0" w:val="nil"/>
                <w:between w:space="0" w:sz="0" w:val="nil"/>
              </w:pBdr>
              <w:spacing w:after="120" w:line="276" w:lineRule="auto"/>
              <w:ind w:left="-108" w:firstLine="0"/>
              <w:jc w:val="left"/>
              <w:rPr>
                <w:rFonts w:ascii="Arial" w:cs="Arial" w:eastAsia="Arial" w:hAnsi="Arial"/>
                <w:b w:val="1"/>
                <w:color w:val="000000"/>
                <w:sz w:val="24"/>
                <w:szCs w:val="24"/>
              </w:rPr>
            </w:pPr>
            <w:r w:rsidDel="00000000" w:rsidR="00000000" w:rsidRPr="00000000">
              <w:rPr>
                <w:rFonts w:ascii="Arial" w:cs="Arial" w:eastAsia="Arial" w:hAnsi="Arial"/>
                <w:b w:val="1"/>
                <w:color w:val="000000"/>
                <w:sz w:val="24"/>
                <w:szCs w:val="24"/>
                <w:rtl w:val="0"/>
              </w:rPr>
              <w:t xml:space="preserve">“Award Without Competition TUPE Premium”</w:t>
            </w:r>
          </w:p>
        </w:tc>
        <w:tc>
          <w:tcPr>
            <w:vAlign w:val="center"/>
          </w:tcPr>
          <w:p w:rsidR="00000000" w:rsidDel="00000000" w:rsidP="00000000" w:rsidRDefault="00000000" w:rsidRPr="00000000" w14:paraId="00000019">
            <w:pPr>
              <w:pBdr>
                <w:top w:space="0" w:sz="0" w:val="nil"/>
                <w:left w:space="0" w:sz="0" w:val="nil"/>
                <w:bottom w:space="0" w:sz="0" w:val="nil"/>
                <w:right w:space="0" w:sz="0" w:val="nil"/>
                <w:between w:space="0" w:sz="0" w:val="nil"/>
              </w:pBdr>
              <w:tabs>
                <w:tab w:val="left" w:leader="none" w:pos="175"/>
                <w:tab w:val="left" w:leader="none" w:pos="-179"/>
                <w:tab w:val="left" w:leader="none" w:pos="-9"/>
              </w:tabs>
              <w:spacing w:after="120" w:line="276" w:lineRule="auto"/>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means the adjustable amount payable on an annual basis based on the difference between:</w:t>
            </w:r>
          </w:p>
          <w:p w:rsidR="00000000" w:rsidDel="00000000" w:rsidP="00000000" w:rsidRDefault="00000000" w:rsidRPr="00000000" w14:paraId="0000001A">
            <w:pPr>
              <w:pBdr>
                <w:top w:space="0" w:sz="0" w:val="nil"/>
                <w:left w:space="0" w:sz="0" w:val="nil"/>
                <w:bottom w:space="0" w:sz="0" w:val="nil"/>
                <w:right w:space="0" w:sz="0" w:val="nil"/>
                <w:between w:space="0" w:sz="0" w:val="nil"/>
              </w:pBdr>
              <w:tabs>
                <w:tab w:val="left" w:leader="none" w:pos="175"/>
                <w:tab w:val="left" w:leader="none" w:pos="-179"/>
                <w:tab w:val="left" w:leader="none" w:pos="-9"/>
              </w:tabs>
              <w:spacing w:after="120" w:line="276" w:lineRule="auto"/>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w:t>
              <w:tab/>
              <w:t xml:space="preserve">the costs to employ Transferring Former Supplier Employees or where the Former Supplier becomes the Supplier those Former Supplier employees providing the Services at the Commencement Date and/or Transferring Buyer Employees (as the case may be); and</w:t>
            </w:r>
          </w:p>
          <w:p w:rsidR="00000000" w:rsidDel="00000000" w:rsidP="00000000" w:rsidRDefault="00000000" w:rsidRPr="00000000" w14:paraId="0000001B">
            <w:pPr>
              <w:pBdr>
                <w:top w:space="0" w:sz="0" w:val="nil"/>
                <w:left w:space="0" w:sz="0" w:val="nil"/>
                <w:bottom w:space="0" w:sz="0" w:val="nil"/>
                <w:right w:space="0" w:sz="0" w:val="nil"/>
                <w:between w:space="0" w:sz="0" w:val="nil"/>
              </w:pBdr>
              <w:tabs>
                <w:tab w:val="left" w:leader="none" w:pos="175"/>
                <w:tab w:val="left" w:leader="none" w:pos="-179"/>
                <w:tab w:val="left" w:leader="none" w:pos="-9"/>
              </w:tabs>
              <w:spacing w:after="120" w:line="276" w:lineRule="auto"/>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b)</w:t>
              <w:tab/>
              <w:t xml:space="preserve">the equivalent costs to employ staff used by the Supplier at </w:t>
            </w:r>
            <w:r w:rsidDel="00000000" w:rsidR="00000000" w:rsidRPr="00000000">
              <w:rPr>
                <w:rFonts w:ascii="Arial" w:cs="Arial" w:eastAsia="Arial" w:hAnsi="Arial"/>
                <w:sz w:val="24"/>
                <w:szCs w:val="24"/>
                <w:rtl w:val="0"/>
              </w:rPr>
              <w:t xml:space="preserve">as part of a Call-Off Procedure</w:t>
            </w:r>
            <w:r w:rsidDel="00000000" w:rsidR="00000000" w:rsidRPr="00000000">
              <w:rPr>
                <w:rFonts w:ascii="Arial" w:cs="Arial" w:eastAsia="Arial" w:hAnsi="Arial"/>
                <w:color w:val="000000"/>
                <w:sz w:val="24"/>
                <w:szCs w:val="24"/>
                <w:rtl w:val="0"/>
              </w:rPr>
              <w:t xml:space="preserve">,</w:t>
            </w:r>
          </w:p>
          <w:p w:rsidR="00000000" w:rsidDel="00000000" w:rsidP="00000000" w:rsidRDefault="00000000" w:rsidRPr="00000000" w14:paraId="0000001C">
            <w:pPr>
              <w:pBdr>
                <w:top w:space="0" w:sz="0" w:val="nil"/>
                <w:left w:space="0" w:sz="0" w:val="nil"/>
                <w:bottom w:space="0" w:sz="0" w:val="nil"/>
                <w:right w:space="0" w:sz="0" w:val="nil"/>
                <w:between w:space="0" w:sz="0" w:val="nil"/>
              </w:pBdr>
              <w:tabs>
                <w:tab w:val="left" w:leader="none" w:pos="175"/>
                <w:tab w:val="left" w:leader="none" w:pos="-179"/>
                <w:tab w:val="left" w:leader="none" w:pos="-9"/>
              </w:tabs>
              <w:spacing w:after="120" w:line="276" w:lineRule="auto"/>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in respect of payments due under contracts of employment in respect of the following: </w:t>
            </w:r>
          </w:p>
          <w:p w:rsidR="00000000" w:rsidDel="00000000" w:rsidP="00000000" w:rsidRDefault="00000000" w:rsidRPr="00000000" w14:paraId="0000001D">
            <w:pPr>
              <w:pBdr>
                <w:top w:space="0" w:sz="0" w:val="nil"/>
                <w:left w:space="0" w:sz="0" w:val="nil"/>
                <w:bottom w:space="0" w:sz="0" w:val="nil"/>
                <w:right w:space="0" w:sz="0" w:val="nil"/>
                <w:between w:space="0" w:sz="0" w:val="nil"/>
              </w:pBdr>
              <w:tabs>
                <w:tab w:val="left" w:leader="none" w:pos="175"/>
                <w:tab w:val="left" w:leader="none" w:pos="-179"/>
                <w:tab w:val="left" w:leader="none" w:pos="-9"/>
              </w:tabs>
              <w:spacing w:after="120" w:line="276" w:lineRule="auto"/>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i)</w:t>
              <w:tab/>
              <w:t xml:space="preserve">annual salary;</w:t>
            </w:r>
          </w:p>
          <w:p w:rsidR="00000000" w:rsidDel="00000000" w:rsidP="00000000" w:rsidRDefault="00000000" w:rsidRPr="00000000" w14:paraId="0000001E">
            <w:pPr>
              <w:pBdr>
                <w:top w:space="0" w:sz="0" w:val="nil"/>
                <w:left w:space="0" w:sz="0" w:val="nil"/>
                <w:bottom w:space="0" w:sz="0" w:val="nil"/>
                <w:right w:space="0" w:sz="0" w:val="nil"/>
                <w:between w:space="0" w:sz="0" w:val="nil"/>
              </w:pBdr>
              <w:tabs>
                <w:tab w:val="left" w:leader="none" w:pos="175"/>
                <w:tab w:val="left" w:leader="none" w:pos="-179"/>
                <w:tab w:val="left" w:leader="none" w:pos="-9"/>
              </w:tabs>
              <w:spacing w:after="120" w:line="276" w:lineRule="auto"/>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ii)</w:t>
              <w:tab/>
              <w:t xml:space="preserve">annual national insurance cost;</w:t>
            </w:r>
          </w:p>
          <w:p w:rsidR="00000000" w:rsidDel="00000000" w:rsidP="00000000" w:rsidRDefault="00000000" w:rsidRPr="00000000" w14:paraId="0000001F">
            <w:pPr>
              <w:pBdr>
                <w:top w:space="0" w:sz="0" w:val="nil"/>
                <w:left w:space="0" w:sz="0" w:val="nil"/>
                <w:bottom w:space="0" w:sz="0" w:val="nil"/>
                <w:right w:space="0" w:sz="0" w:val="nil"/>
                <w:between w:space="0" w:sz="0" w:val="nil"/>
              </w:pBdr>
              <w:tabs>
                <w:tab w:val="left" w:leader="none" w:pos="175"/>
                <w:tab w:val="left" w:leader="none" w:pos="-179"/>
                <w:tab w:val="left" w:leader="none" w:pos="-9"/>
              </w:tabs>
              <w:spacing w:after="120" w:line="276" w:lineRule="auto"/>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iii)</w:t>
              <w:tab/>
              <w:t xml:space="preserve">Annual Pension Cost;</w:t>
            </w:r>
          </w:p>
          <w:p w:rsidR="00000000" w:rsidDel="00000000" w:rsidP="00000000" w:rsidRDefault="00000000" w:rsidRPr="00000000" w14:paraId="00000020">
            <w:pPr>
              <w:pBdr>
                <w:top w:space="0" w:sz="0" w:val="nil"/>
                <w:left w:space="0" w:sz="0" w:val="nil"/>
                <w:bottom w:space="0" w:sz="0" w:val="nil"/>
                <w:right w:space="0" w:sz="0" w:val="nil"/>
                <w:between w:space="0" w:sz="0" w:val="nil"/>
              </w:pBdr>
              <w:tabs>
                <w:tab w:val="left" w:leader="none" w:pos="175"/>
                <w:tab w:val="left" w:leader="none" w:pos="-179"/>
                <w:tab w:val="left" w:leader="none" w:pos="-9"/>
              </w:tabs>
              <w:spacing w:after="120" w:line="276" w:lineRule="auto"/>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iv)</w:t>
              <w:tab/>
              <w:t xml:space="preserve">annual life insurance cost;</w:t>
            </w:r>
          </w:p>
          <w:p w:rsidR="00000000" w:rsidDel="00000000" w:rsidP="00000000" w:rsidRDefault="00000000" w:rsidRPr="00000000" w14:paraId="00000021">
            <w:pPr>
              <w:pBdr>
                <w:top w:space="0" w:sz="0" w:val="nil"/>
                <w:left w:space="0" w:sz="0" w:val="nil"/>
                <w:bottom w:space="0" w:sz="0" w:val="nil"/>
                <w:right w:space="0" w:sz="0" w:val="nil"/>
                <w:between w:space="0" w:sz="0" w:val="nil"/>
              </w:pBdr>
              <w:tabs>
                <w:tab w:val="left" w:leader="none" w:pos="175"/>
                <w:tab w:val="left" w:leader="none" w:pos="-179"/>
                <w:tab w:val="left" w:leader="none" w:pos="-9"/>
              </w:tabs>
              <w:spacing w:after="120" w:line="276" w:lineRule="auto"/>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v)</w:t>
              <w:tab/>
              <w:t xml:space="preserve">annual sick pay entitlement;</w:t>
            </w:r>
          </w:p>
          <w:p w:rsidR="00000000" w:rsidDel="00000000" w:rsidP="00000000" w:rsidRDefault="00000000" w:rsidRPr="00000000" w14:paraId="00000022">
            <w:pPr>
              <w:pBdr>
                <w:top w:space="0" w:sz="0" w:val="nil"/>
                <w:left w:space="0" w:sz="0" w:val="nil"/>
                <w:bottom w:space="0" w:sz="0" w:val="nil"/>
                <w:right w:space="0" w:sz="0" w:val="nil"/>
                <w:between w:space="0" w:sz="0" w:val="nil"/>
              </w:pBdr>
              <w:tabs>
                <w:tab w:val="left" w:leader="none" w:pos="175"/>
                <w:tab w:val="left" w:leader="none" w:pos="-179"/>
                <w:tab w:val="left" w:leader="none" w:pos="-9"/>
              </w:tabs>
              <w:spacing w:after="120" w:line="276" w:lineRule="auto"/>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vi)</w:t>
              <w:tab/>
              <w:t xml:space="preserve">maternity/paternity costs; and</w:t>
            </w:r>
          </w:p>
          <w:p w:rsidR="00000000" w:rsidDel="00000000" w:rsidP="00000000" w:rsidRDefault="00000000" w:rsidRPr="00000000" w14:paraId="00000023">
            <w:pPr>
              <w:pBdr>
                <w:top w:space="0" w:sz="0" w:val="nil"/>
                <w:left w:space="0" w:sz="0" w:val="nil"/>
                <w:bottom w:space="0" w:sz="0" w:val="nil"/>
                <w:right w:space="0" w:sz="0" w:val="nil"/>
                <w:between w:space="0" w:sz="0" w:val="nil"/>
              </w:pBdr>
              <w:tabs>
                <w:tab w:val="left" w:leader="none" w:pos="175"/>
                <w:tab w:val="left" w:leader="none" w:pos="-179"/>
                <w:tab w:val="left" w:leader="none" w:pos="-9"/>
              </w:tabs>
              <w:spacing w:after="120" w:line="276" w:lineRule="auto"/>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vii)</w:t>
              <w:tab/>
              <w:t xml:space="preserve">any other cost arising directly from the contract of employment of the Transferring Former Supplier Employee and or Transferring Buyer Employee, </w:t>
            </w:r>
          </w:p>
          <w:p w:rsidR="00000000" w:rsidDel="00000000" w:rsidP="00000000" w:rsidRDefault="00000000" w:rsidRPr="00000000" w14:paraId="00000024">
            <w:pPr>
              <w:pBdr>
                <w:top w:space="0" w:sz="0" w:val="nil"/>
                <w:left w:space="0" w:sz="0" w:val="nil"/>
                <w:bottom w:space="0" w:sz="0" w:val="nil"/>
                <w:right w:space="0" w:sz="0" w:val="nil"/>
                <w:between w:space="0" w:sz="0" w:val="nil"/>
              </w:pBdr>
              <w:tabs>
                <w:tab w:val="left" w:leader="none" w:pos="175"/>
                <w:tab w:val="left" w:leader="none" w:pos="-179"/>
                <w:tab w:val="left" w:leader="none" w:pos="-9"/>
              </w:tabs>
              <w:spacing w:after="120" w:line="276" w:lineRule="auto"/>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as set out in paragraph 1 of </w:t>
            </w:r>
            <w:r w:rsidDel="00000000" w:rsidR="00000000" w:rsidRPr="00000000">
              <w:rPr>
                <w:rFonts w:ascii="Arial" w:cs="Arial" w:eastAsia="Arial" w:hAnsi="Arial"/>
                <w:sz w:val="24"/>
                <w:szCs w:val="24"/>
                <w:rtl w:val="0"/>
              </w:rPr>
              <w:t xml:space="preserve">Call-Off</w:t>
            </w:r>
            <w:r w:rsidDel="00000000" w:rsidR="00000000" w:rsidRPr="00000000">
              <w:rPr>
                <w:rFonts w:ascii="Arial" w:cs="Arial" w:eastAsia="Arial" w:hAnsi="Arial"/>
                <w:color w:val="000000"/>
                <w:sz w:val="24"/>
                <w:szCs w:val="24"/>
                <w:rtl w:val="0"/>
              </w:rPr>
              <w:t xml:space="preserve"> Schedule </w:t>
            </w:r>
            <w:r w:rsidDel="00000000" w:rsidR="00000000" w:rsidRPr="00000000">
              <w:rPr>
                <w:rFonts w:ascii="Arial" w:cs="Arial" w:eastAsia="Arial" w:hAnsi="Arial"/>
                <w:sz w:val="24"/>
                <w:szCs w:val="24"/>
                <w:rtl w:val="0"/>
              </w:rPr>
              <w:t xml:space="preserve">31</w:t>
            </w:r>
            <w:r w:rsidDel="00000000" w:rsidR="00000000" w:rsidRPr="00000000">
              <w:rPr>
                <w:rFonts w:ascii="Arial" w:cs="Arial" w:eastAsia="Arial" w:hAnsi="Arial"/>
                <w:color w:val="000000"/>
                <w:sz w:val="24"/>
                <w:szCs w:val="24"/>
                <w:rtl w:val="0"/>
              </w:rPr>
              <w:t xml:space="preserve"> (</w:t>
            </w:r>
            <w:r w:rsidDel="00000000" w:rsidR="00000000" w:rsidRPr="00000000">
              <w:rPr>
                <w:rFonts w:ascii="Arial" w:cs="Arial" w:eastAsia="Arial" w:hAnsi="Arial"/>
                <w:i w:val="1"/>
                <w:color w:val="000000"/>
                <w:sz w:val="24"/>
                <w:szCs w:val="24"/>
                <w:rtl w:val="0"/>
              </w:rPr>
              <w:t xml:space="preserve">TUPE Premium</w:t>
            </w:r>
            <w:r w:rsidDel="00000000" w:rsidR="00000000" w:rsidRPr="00000000">
              <w:rPr>
                <w:rFonts w:ascii="Arial" w:cs="Arial" w:eastAsia="Arial" w:hAnsi="Arial"/>
                <w:color w:val="000000"/>
                <w:sz w:val="24"/>
                <w:szCs w:val="24"/>
                <w:rtl w:val="0"/>
              </w:rPr>
              <w:t xml:space="preserve">);</w:t>
            </w:r>
          </w:p>
          <w:p w:rsidR="00000000" w:rsidDel="00000000" w:rsidP="00000000" w:rsidRDefault="00000000" w:rsidRPr="00000000" w14:paraId="00000025">
            <w:pPr>
              <w:pBdr>
                <w:top w:space="0" w:sz="0" w:val="nil"/>
                <w:left w:space="0" w:sz="0" w:val="nil"/>
                <w:bottom w:space="0" w:sz="0" w:val="nil"/>
                <w:right w:space="0" w:sz="0" w:val="nil"/>
                <w:between w:space="0" w:sz="0" w:val="nil"/>
              </w:pBdr>
              <w:tabs>
                <w:tab w:val="left" w:leader="none" w:pos="175"/>
                <w:tab w:val="left" w:leader="none" w:pos="-179"/>
                <w:tab w:val="left" w:leader="none" w:pos="-9"/>
              </w:tabs>
              <w:spacing w:after="120" w:line="276" w:lineRule="auto"/>
              <w:jc w:val="left"/>
              <w:rPr>
                <w:rFonts w:ascii="Arial" w:cs="Arial" w:eastAsia="Arial" w:hAnsi="Arial"/>
                <w:color w:val="000000"/>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26">
            <w:pPr>
              <w:pBdr>
                <w:top w:space="0" w:sz="0" w:val="nil"/>
                <w:left w:space="0" w:sz="0" w:val="nil"/>
                <w:bottom w:space="0" w:sz="0" w:val="nil"/>
                <w:right w:space="0" w:sz="0" w:val="nil"/>
                <w:between w:space="0" w:sz="0" w:val="nil"/>
              </w:pBdr>
              <w:spacing w:after="120" w:line="276" w:lineRule="auto"/>
              <w:ind w:left="-108" w:firstLine="0"/>
              <w:jc w:val="left"/>
              <w:rPr>
                <w:rFonts w:ascii="Arial" w:cs="Arial" w:eastAsia="Arial" w:hAnsi="Arial"/>
                <w:b w:val="1"/>
                <w:color w:val="000000"/>
                <w:sz w:val="24"/>
                <w:szCs w:val="24"/>
              </w:rPr>
            </w:pPr>
            <w:r w:rsidDel="00000000" w:rsidR="00000000" w:rsidRPr="00000000">
              <w:rPr>
                <w:rFonts w:ascii="Arial" w:cs="Arial" w:eastAsia="Arial" w:hAnsi="Arial"/>
                <w:b w:val="1"/>
                <w:color w:val="000000"/>
                <w:sz w:val="24"/>
                <w:szCs w:val="24"/>
                <w:rtl w:val="0"/>
              </w:rPr>
              <w:t xml:space="preserve">"Employer Pension Contribution"</w:t>
            </w:r>
          </w:p>
        </w:tc>
        <w:tc>
          <w:tcPr>
            <w:vAlign w:val="center"/>
          </w:tcPr>
          <w:p w:rsidR="00000000" w:rsidDel="00000000" w:rsidP="00000000" w:rsidRDefault="00000000" w:rsidRPr="00000000" w14:paraId="00000027">
            <w:pPr>
              <w:pBdr>
                <w:top w:space="0" w:sz="0" w:val="nil"/>
                <w:left w:space="0" w:sz="0" w:val="nil"/>
                <w:bottom w:space="0" w:sz="0" w:val="nil"/>
                <w:right w:space="0" w:sz="0" w:val="nil"/>
                <w:between w:space="0" w:sz="0" w:val="nil"/>
              </w:pBdr>
              <w:tabs>
                <w:tab w:val="left" w:leader="none" w:pos="175"/>
                <w:tab w:val="left" w:leader="none" w:pos="-179"/>
                <w:tab w:val="left" w:leader="none" w:pos="-9"/>
              </w:tabs>
              <w:spacing w:after="120" w:line="276" w:lineRule="auto"/>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means standard employer pension contributions paid in accordance with the relevant pension scheme rules and used in the calculation of the TUPE Premium less any costs recoverable under Annex D3: LGPS of Part D Pensions of Call</w:t>
            </w:r>
            <w:r w:rsidDel="00000000" w:rsidR="00000000" w:rsidRPr="00000000">
              <w:rPr>
                <w:rFonts w:ascii="Arial" w:cs="Arial" w:eastAsia="Arial" w:hAnsi="Arial"/>
                <w:sz w:val="24"/>
                <w:szCs w:val="24"/>
                <w:rtl w:val="0"/>
              </w:rPr>
              <w:t xml:space="preserve">-Off </w:t>
            </w:r>
            <w:r w:rsidDel="00000000" w:rsidR="00000000" w:rsidRPr="00000000">
              <w:rPr>
                <w:rFonts w:ascii="Arial" w:cs="Arial" w:eastAsia="Arial" w:hAnsi="Arial"/>
                <w:color w:val="000000"/>
                <w:sz w:val="24"/>
                <w:szCs w:val="24"/>
                <w:rtl w:val="0"/>
              </w:rPr>
              <w:t xml:space="preserve">Schedule 2 (</w:t>
            </w:r>
            <w:r w:rsidDel="00000000" w:rsidR="00000000" w:rsidRPr="00000000">
              <w:rPr>
                <w:rFonts w:ascii="Arial" w:cs="Arial" w:eastAsia="Arial" w:hAnsi="Arial"/>
                <w:i w:val="1"/>
                <w:color w:val="000000"/>
                <w:sz w:val="24"/>
                <w:szCs w:val="24"/>
                <w:rtl w:val="0"/>
              </w:rPr>
              <w:t xml:space="preserve">Staff Transfer</w:t>
            </w:r>
            <w:r w:rsidDel="00000000" w:rsidR="00000000" w:rsidRPr="00000000">
              <w:rPr>
                <w:rFonts w:ascii="Arial" w:cs="Arial" w:eastAsia="Arial" w:hAnsi="Arial"/>
                <w:color w:val="000000"/>
                <w:sz w:val="24"/>
                <w:szCs w:val="24"/>
                <w:rtl w:val="0"/>
              </w:rPr>
              <w:t xml:space="preserve">);</w:t>
            </w:r>
          </w:p>
        </w:tc>
      </w:tr>
      <w:tr>
        <w:trPr>
          <w:cantSplit w:val="0"/>
          <w:tblHeader w:val="0"/>
        </w:trPr>
        <w:tc>
          <w:tcPr>
            <w:vAlign w:val="center"/>
          </w:tcPr>
          <w:p w:rsidR="00000000" w:rsidDel="00000000" w:rsidP="00000000" w:rsidRDefault="00000000" w:rsidRPr="00000000" w14:paraId="00000028">
            <w:pPr>
              <w:pBdr>
                <w:top w:space="0" w:sz="0" w:val="nil"/>
                <w:left w:space="0" w:sz="0" w:val="nil"/>
                <w:bottom w:space="0" w:sz="0" w:val="nil"/>
                <w:right w:space="0" w:sz="0" w:val="nil"/>
                <w:between w:space="0" w:sz="0" w:val="nil"/>
              </w:pBdr>
              <w:spacing w:after="120" w:line="276" w:lineRule="auto"/>
              <w:ind w:left="-108" w:firstLine="0"/>
              <w:jc w:val="left"/>
              <w:rPr>
                <w:rFonts w:ascii="Arial" w:cs="Arial" w:eastAsia="Arial" w:hAnsi="Arial"/>
                <w:b w:val="1"/>
                <w:color w:val="000000"/>
                <w:sz w:val="24"/>
                <w:szCs w:val="24"/>
              </w:rPr>
            </w:pPr>
            <w:r w:rsidDel="00000000" w:rsidR="00000000" w:rsidRPr="00000000">
              <w:rPr>
                <w:rFonts w:ascii="Arial" w:cs="Arial" w:eastAsia="Arial" w:hAnsi="Arial"/>
                <w:b w:val="1"/>
                <w:color w:val="000000"/>
                <w:sz w:val="24"/>
                <w:szCs w:val="24"/>
                <w:rtl w:val="0"/>
              </w:rPr>
              <w:t xml:space="preserve">"Employer Pension Contribution Cap"</w:t>
            </w:r>
          </w:p>
        </w:tc>
        <w:tc>
          <w:tcPr>
            <w:vAlign w:val="center"/>
          </w:tcPr>
          <w:p w:rsidR="00000000" w:rsidDel="00000000" w:rsidP="00000000" w:rsidRDefault="00000000" w:rsidRPr="00000000" w14:paraId="00000029">
            <w:pPr>
              <w:pBdr>
                <w:top w:space="0" w:sz="0" w:val="nil"/>
                <w:left w:space="0" w:sz="0" w:val="nil"/>
                <w:bottom w:space="0" w:sz="0" w:val="nil"/>
                <w:right w:space="0" w:sz="0" w:val="nil"/>
                <w:between w:space="0" w:sz="0" w:val="nil"/>
              </w:pBdr>
              <w:tabs>
                <w:tab w:val="left" w:leader="none" w:pos="175"/>
                <w:tab w:val="left" w:leader="none" w:pos="-179"/>
                <w:tab w:val="left" w:leader="none" w:pos="-9"/>
              </w:tabs>
              <w:spacing w:after="120" w:line="276" w:lineRule="auto"/>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means the 6% maximum rate of Employer Pension Contribution used in the calculation of the TUPE Premium;</w:t>
            </w:r>
          </w:p>
        </w:tc>
      </w:tr>
      <w:tr>
        <w:trPr>
          <w:cantSplit w:val="0"/>
          <w:tblHeader w:val="0"/>
        </w:trPr>
        <w:tc>
          <w:tcPr>
            <w:vAlign w:val="center"/>
          </w:tcPr>
          <w:p w:rsidR="00000000" w:rsidDel="00000000" w:rsidP="00000000" w:rsidRDefault="00000000" w:rsidRPr="00000000" w14:paraId="0000002A">
            <w:pPr>
              <w:pBdr>
                <w:top w:space="0" w:sz="0" w:val="nil"/>
                <w:left w:space="0" w:sz="0" w:val="nil"/>
                <w:bottom w:space="0" w:sz="0" w:val="nil"/>
                <w:right w:space="0" w:sz="0" w:val="nil"/>
                <w:between w:space="0" w:sz="0" w:val="nil"/>
              </w:pBdr>
              <w:spacing w:after="120" w:line="276" w:lineRule="auto"/>
              <w:ind w:left="-108" w:firstLine="0"/>
              <w:jc w:val="left"/>
              <w:rPr>
                <w:rFonts w:ascii="Arial" w:cs="Arial" w:eastAsia="Arial" w:hAnsi="Arial"/>
                <w:b w:val="1"/>
                <w:color w:val="000000"/>
                <w:sz w:val="24"/>
                <w:szCs w:val="24"/>
              </w:rPr>
            </w:pPr>
            <w:r w:rsidDel="00000000" w:rsidR="00000000" w:rsidRPr="00000000">
              <w:rPr>
                <w:rFonts w:ascii="Arial" w:cs="Arial" w:eastAsia="Arial" w:hAnsi="Arial"/>
                <w:b w:val="1"/>
                <w:color w:val="000000"/>
                <w:sz w:val="24"/>
                <w:szCs w:val="24"/>
                <w:rtl w:val="0"/>
              </w:rPr>
              <w:t xml:space="preserve">“Fixed TUPE Premium”</w:t>
            </w:r>
          </w:p>
        </w:tc>
        <w:tc>
          <w:tcPr>
            <w:vAlign w:val="center"/>
          </w:tcPr>
          <w:p w:rsidR="00000000" w:rsidDel="00000000" w:rsidP="00000000" w:rsidRDefault="00000000" w:rsidRPr="00000000" w14:paraId="0000002B">
            <w:pPr>
              <w:pBdr>
                <w:top w:space="0" w:sz="0" w:val="nil"/>
                <w:left w:space="0" w:sz="0" w:val="nil"/>
                <w:bottom w:space="0" w:sz="0" w:val="nil"/>
                <w:right w:space="0" w:sz="0" w:val="nil"/>
                <w:between w:space="0" w:sz="0" w:val="nil"/>
              </w:pBdr>
              <w:tabs>
                <w:tab w:val="left" w:leader="none" w:pos="175"/>
                <w:tab w:val="left" w:leader="none" w:pos="-179"/>
                <w:tab w:val="left" w:leader="none" w:pos="-9"/>
              </w:tabs>
              <w:spacing w:after="120" w:line="276" w:lineRule="auto"/>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means the fixed amount payable on an annual basis based on the difference between:</w:t>
            </w:r>
          </w:p>
          <w:p w:rsidR="00000000" w:rsidDel="00000000" w:rsidP="00000000" w:rsidRDefault="00000000" w:rsidRPr="00000000" w14:paraId="0000002C">
            <w:pPr>
              <w:pBdr>
                <w:top w:space="0" w:sz="0" w:val="nil"/>
                <w:left w:space="0" w:sz="0" w:val="nil"/>
                <w:bottom w:space="0" w:sz="0" w:val="nil"/>
                <w:right w:space="0" w:sz="0" w:val="nil"/>
                <w:between w:space="0" w:sz="0" w:val="nil"/>
              </w:pBdr>
              <w:tabs>
                <w:tab w:val="left" w:leader="none" w:pos="175"/>
                <w:tab w:val="left" w:leader="none" w:pos="-179"/>
                <w:tab w:val="left" w:leader="none" w:pos="-9"/>
              </w:tabs>
              <w:spacing w:after="120" w:line="276" w:lineRule="auto"/>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w:t>
              <w:tab/>
              <w:t xml:space="preserve">the costs to employ Transferring Former Supplier Employees or where the Former Supplier becomes the Supplier those Former Supplier employees providing the Services at the Commencement Date and/or Transferring Buyer Employees (as the case may be); and</w:t>
            </w:r>
          </w:p>
          <w:p w:rsidR="00000000" w:rsidDel="00000000" w:rsidP="00000000" w:rsidRDefault="00000000" w:rsidRPr="00000000" w14:paraId="0000002D">
            <w:pPr>
              <w:pBdr>
                <w:top w:space="0" w:sz="0" w:val="nil"/>
                <w:left w:space="0" w:sz="0" w:val="nil"/>
                <w:bottom w:space="0" w:sz="0" w:val="nil"/>
                <w:right w:space="0" w:sz="0" w:val="nil"/>
                <w:between w:space="0" w:sz="0" w:val="nil"/>
              </w:pBdr>
              <w:tabs>
                <w:tab w:val="left" w:leader="none" w:pos="175"/>
                <w:tab w:val="left" w:leader="none" w:pos="-179"/>
                <w:tab w:val="left" w:leader="none" w:pos="-9"/>
              </w:tabs>
              <w:spacing w:after="120" w:line="276" w:lineRule="auto"/>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b)</w:t>
              <w:tab/>
              <w:t xml:space="preserve">the equivalent costs to employ staff used by the Supplier a</w:t>
            </w:r>
            <w:r w:rsidDel="00000000" w:rsidR="00000000" w:rsidRPr="00000000">
              <w:rPr>
                <w:rFonts w:ascii="Arial" w:cs="Arial" w:eastAsia="Arial" w:hAnsi="Arial"/>
                <w:sz w:val="24"/>
                <w:szCs w:val="24"/>
                <w:rtl w:val="0"/>
              </w:rPr>
              <w:t xml:space="preserve">s part of a Call-Off Procedure</w:t>
            </w:r>
            <w:r w:rsidDel="00000000" w:rsidR="00000000" w:rsidRPr="00000000">
              <w:rPr>
                <w:rtl w:val="0"/>
              </w:rPr>
            </w:r>
          </w:p>
          <w:p w:rsidR="00000000" w:rsidDel="00000000" w:rsidP="00000000" w:rsidRDefault="00000000" w:rsidRPr="00000000" w14:paraId="0000002E">
            <w:pPr>
              <w:pBdr>
                <w:top w:space="0" w:sz="0" w:val="nil"/>
                <w:left w:space="0" w:sz="0" w:val="nil"/>
                <w:bottom w:space="0" w:sz="0" w:val="nil"/>
                <w:right w:space="0" w:sz="0" w:val="nil"/>
                <w:between w:space="0" w:sz="0" w:val="nil"/>
              </w:pBdr>
              <w:tabs>
                <w:tab w:val="left" w:leader="none" w:pos="175"/>
                <w:tab w:val="left" w:leader="none" w:pos="-179"/>
                <w:tab w:val="left" w:leader="none" w:pos="-9"/>
              </w:tabs>
              <w:spacing w:after="120" w:line="276" w:lineRule="auto"/>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in respect of payments due under contracts of employment in respect of the following: </w:t>
            </w:r>
          </w:p>
          <w:p w:rsidR="00000000" w:rsidDel="00000000" w:rsidP="00000000" w:rsidRDefault="00000000" w:rsidRPr="00000000" w14:paraId="0000002F">
            <w:pPr>
              <w:pBdr>
                <w:top w:space="0" w:sz="0" w:val="nil"/>
                <w:left w:space="0" w:sz="0" w:val="nil"/>
                <w:bottom w:space="0" w:sz="0" w:val="nil"/>
                <w:right w:space="0" w:sz="0" w:val="nil"/>
                <w:between w:space="0" w:sz="0" w:val="nil"/>
              </w:pBdr>
              <w:tabs>
                <w:tab w:val="left" w:leader="none" w:pos="705"/>
                <w:tab w:val="left" w:leader="none" w:pos="-179"/>
                <w:tab w:val="left" w:leader="none" w:pos="-9"/>
              </w:tabs>
              <w:spacing w:after="120" w:line="276" w:lineRule="auto"/>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i)</w:t>
              <w:tab/>
              <w:t xml:space="preserve">annual salary;</w:t>
            </w:r>
          </w:p>
          <w:p w:rsidR="00000000" w:rsidDel="00000000" w:rsidP="00000000" w:rsidRDefault="00000000" w:rsidRPr="00000000" w14:paraId="00000030">
            <w:pPr>
              <w:pBdr>
                <w:top w:space="0" w:sz="0" w:val="nil"/>
                <w:left w:space="0" w:sz="0" w:val="nil"/>
                <w:bottom w:space="0" w:sz="0" w:val="nil"/>
                <w:right w:space="0" w:sz="0" w:val="nil"/>
                <w:between w:space="0" w:sz="0" w:val="nil"/>
              </w:pBdr>
              <w:tabs>
                <w:tab w:val="left" w:leader="none" w:pos="175"/>
                <w:tab w:val="left" w:leader="none" w:pos="-179"/>
                <w:tab w:val="left" w:leader="none" w:pos="-9"/>
              </w:tabs>
              <w:spacing w:after="120" w:line="276" w:lineRule="auto"/>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ii)</w:t>
              <w:tab/>
              <w:t xml:space="preserve">annual national insurance cost;</w:t>
            </w:r>
          </w:p>
          <w:p w:rsidR="00000000" w:rsidDel="00000000" w:rsidP="00000000" w:rsidRDefault="00000000" w:rsidRPr="00000000" w14:paraId="00000031">
            <w:pPr>
              <w:pBdr>
                <w:top w:space="0" w:sz="0" w:val="nil"/>
                <w:left w:space="0" w:sz="0" w:val="nil"/>
                <w:bottom w:space="0" w:sz="0" w:val="nil"/>
                <w:right w:space="0" w:sz="0" w:val="nil"/>
                <w:between w:space="0" w:sz="0" w:val="nil"/>
              </w:pBdr>
              <w:tabs>
                <w:tab w:val="left" w:leader="none" w:pos="175"/>
                <w:tab w:val="left" w:leader="none" w:pos="-179"/>
                <w:tab w:val="left" w:leader="none" w:pos="-9"/>
              </w:tabs>
              <w:spacing w:after="120" w:line="276" w:lineRule="auto"/>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iii)</w:t>
              <w:tab/>
              <w:t xml:space="preserve">annual Pension Cost;</w:t>
            </w:r>
          </w:p>
          <w:p w:rsidR="00000000" w:rsidDel="00000000" w:rsidP="00000000" w:rsidRDefault="00000000" w:rsidRPr="00000000" w14:paraId="00000032">
            <w:pPr>
              <w:pBdr>
                <w:top w:space="0" w:sz="0" w:val="nil"/>
                <w:left w:space="0" w:sz="0" w:val="nil"/>
                <w:bottom w:space="0" w:sz="0" w:val="nil"/>
                <w:right w:space="0" w:sz="0" w:val="nil"/>
                <w:between w:space="0" w:sz="0" w:val="nil"/>
              </w:pBdr>
              <w:tabs>
                <w:tab w:val="left" w:leader="none" w:pos="175"/>
                <w:tab w:val="left" w:leader="none" w:pos="-179"/>
                <w:tab w:val="left" w:leader="none" w:pos="-9"/>
              </w:tabs>
              <w:spacing w:after="120" w:line="276" w:lineRule="auto"/>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iv)</w:t>
              <w:tab/>
              <w:t xml:space="preserve">annual life insurance cost;</w:t>
            </w:r>
          </w:p>
          <w:p w:rsidR="00000000" w:rsidDel="00000000" w:rsidP="00000000" w:rsidRDefault="00000000" w:rsidRPr="00000000" w14:paraId="00000033">
            <w:pPr>
              <w:pBdr>
                <w:top w:space="0" w:sz="0" w:val="nil"/>
                <w:left w:space="0" w:sz="0" w:val="nil"/>
                <w:bottom w:space="0" w:sz="0" w:val="nil"/>
                <w:right w:space="0" w:sz="0" w:val="nil"/>
                <w:between w:space="0" w:sz="0" w:val="nil"/>
              </w:pBdr>
              <w:tabs>
                <w:tab w:val="left" w:leader="none" w:pos="175"/>
                <w:tab w:val="left" w:leader="none" w:pos="-179"/>
                <w:tab w:val="left" w:leader="none" w:pos="-9"/>
              </w:tabs>
              <w:spacing w:after="120" w:line="276" w:lineRule="auto"/>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v)</w:t>
              <w:tab/>
              <w:t xml:space="preserve">annual sick pay entitlement;</w:t>
            </w:r>
          </w:p>
          <w:p w:rsidR="00000000" w:rsidDel="00000000" w:rsidP="00000000" w:rsidRDefault="00000000" w:rsidRPr="00000000" w14:paraId="00000034">
            <w:pPr>
              <w:pBdr>
                <w:top w:space="0" w:sz="0" w:val="nil"/>
                <w:left w:space="0" w:sz="0" w:val="nil"/>
                <w:bottom w:space="0" w:sz="0" w:val="nil"/>
                <w:right w:space="0" w:sz="0" w:val="nil"/>
                <w:between w:space="0" w:sz="0" w:val="nil"/>
              </w:pBdr>
              <w:tabs>
                <w:tab w:val="left" w:leader="none" w:pos="175"/>
                <w:tab w:val="left" w:leader="none" w:pos="-179"/>
                <w:tab w:val="left" w:leader="none" w:pos="-9"/>
              </w:tabs>
              <w:spacing w:after="120" w:line="276" w:lineRule="auto"/>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vi)</w:t>
              <w:tab/>
              <w:t xml:space="preserve">maternity/paternity costs; and</w:t>
            </w:r>
          </w:p>
          <w:p w:rsidR="00000000" w:rsidDel="00000000" w:rsidP="00000000" w:rsidRDefault="00000000" w:rsidRPr="00000000" w14:paraId="00000035">
            <w:pPr>
              <w:pBdr>
                <w:top w:space="0" w:sz="0" w:val="nil"/>
                <w:left w:space="0" w:sz="0" w:val="nil"/>
                <w:bottom w:space="0" w:sz="0" w:val="nil"/>
                <w:right w:space="0" w:sz="0" w:val="nil"/>
                <w:between w:space="0" w:sz="0" w:val="nil"/>
              </w:pBdr>
              <w:tabs>
                <w:tab w:val="left" w:leader="none" w:pos="175"/>
                <w:tab w:val="left" w:leader="none" w:pos="-179"/>
                <w:tab w:val="left" w:leader="none" w:pos="-9"/>
              </w:tabs>
              <w:spacing w:after="120" w:line="276" w:lineRule="auto"/>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vii)</w:t>
              <w:tab/>
              <w:t xml:space="preserve">any other cost arising directly from the contract of employment of the Transferring Former Supplier Employee and or Transferring Buyer Employee, </w:t>
            </w:r>
          </w:p>
          <w:p w:rsidR="00000000" w:rsidDel="00000000" w:rsidP="00000000" w:rsidRDefault="00000000" w:rsidRPr="00000000" w14:paraId="00000036">
            <w:pPr>
              <w:pBdr>
                <w:top w:space="0" w:sz="0" w:val="nil"/>
                <w:left w:space="0" w:sz="0" w:val="nil"/>
                <w:bottom w:space="0" w:sz="0" w:val="nil"/>
                <w:right w:space="0" w:sz="0" w:val="nil"/>
                <w:between w:space="0" w:sz="0" w:val="nil"/>
              </w:pBdr>
              <w:tabs>
                <w:tab w:val="left" w:leader="none" w:pos="175"/>
                <w:tab w:val="left" w:leader="none" w:pos="-179"/>
                <w:tab w:val="left" w:leader="none" w:pos="-9"/>
              </w:tabs>
              <w:spacing w:after="120" w:line="276" w:lineRule="auto"/>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as set out in paragraph 3 of </w:t>
            </w:r>
            <w:r w:rsidDel="00000000" w:rsidR="00000000" w:rsidRPr="00000000">
              <w:rPr>
                <w:rFonts w:ascii="Arial" w:cs="Arial" w:eastAsia="Arial" w:hAnsi="Arial"/>
                <w:sz w:val="24"/>
                <w:szCs w:val="24"/>
                <w:rtl w:val="0"/>
              </w:rPr>
              <w:t xml:space="preserve">Call-Off</w:t>
            </w:r>
            <w:r w:rsidDel="00000000" w:rsidR="00000000" w:rsidRPr="00000000">
              <w:rPr>
                <w:rFonts w:ascii="Arial" w:cs="Arial" w:eastAsia="Arial" w:hAnsi="Arial"/>
                <w:color w:val="000000"/>
                <w:sz w:val="24"/>
                <w:szCs w:val="24"/>
                <w:rtl w:val="0"/>
              </w:rPr>
              <w:t xml:space="preserve"> Schedule </w:t>
            </w:r>
            <w:r w:rsidDel="00000000" w:rsidR="00000000" w:rsidRPr="00000000">
              <w:rPr>
                <w:rFonts w:ascii="Arial" w:cs="Arial" w:eastAsia="Arial" w:hAnsi="Arial"/>
                <w:sz w:val="24"/>
                <w:szCs w:val="24"/>
                <w:rtl w:val="0"/>
              </w:rPr>
              <w:t xml:space="preserve">31</w:t>
            </w:r>
            <w:r w:rsidDel="00000000" w:rsidR="00000000" w:rsidRPr="00000000">
              <w:rPr>
                <w:rFonts w:ascii="Arial" w:cs="Arial" w:eastAsia="Arial" w:hAnsi="Arial"/>
                <w:color w:val="000000"/>
                <w:sz w:val="24"/>
                <w:szCs w:val="24"/>
                <w:rtl w:val="0"/>
              </w:rPr>
              <w:t xml:space="preserve"> (</w:t>
            </w:r>
            <w:r w:rsidDel="00000000" w:rsidR="00000000" w:rsidRPr="00000000">
              <w:rPr>
                <w:rFonts w:ascii="Arial" w:cs="Arial" w:eastAsia="Arial" w:hAnsi="Arial"/>
                <w:i w:val="1"/>
                <w:color w:val="000000"/>
                <w:sz w:val="24"/>
                <w:szCs w:val="24"/>
                <w:rtl w:val="0"/>
              </w:rPr>
              <w:t xml:space="preserve">TUPE Premium</w:t>
            </w:r>
            <w:r w:rsidDel="00000000" w:rsidR="00000000" w:rsidRPr="00000000">
              <w:rPr>
                <w:rFonts w:ascii="Arial" w:cs="Arial" w:eastAsia="Arial" w:hAnsi="Arial"/>
                <w:color w:val="000000"/>
                <w:sz w:val="24"/>
                <w:szCs w:val="24"/>
                <w:rtl w:val="0"/>
              </w:rPr>
              <w:t xml:space="preserve">);</w:t>
            </w:r>
          </w:p>
        </w:tc>
      </w:tr>
      <w:tr>
        <w:trPr>
          <w:cantSplit w:val="0"/>
          <w:tblHeader w:val="0"/>
        </w:trPr>
        <w:tc>
          <w:tcPr/>
          <w:p w:rsidR="00000000" w:rsidDel="00000000" w:rsidP="00000000" w:rsidRDefault="00000000" w:rsidRPr="00000000" w14:paraId="00000037">
            <w:pPr>
              <w:spacing w:after="120" w:before="120" w:line="276" w:lineRule="auto"/>
              <w:jc w:val="left"/>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                 ”Labour Count”</w:t>
            </w:r>
          </w:p>
        </w:tc>
        <w:tc>
          <w:tcPr/>
          <w:p w:rsidR="00000000" w:rsidDel="00000000" w:rsidP="00000000" w:rsidRDefault="00000000" w:rsidRPr="00000000" w14:paraId="00000038">
            <w:pPr>
              <w:spacing w:after="120" w:before="120" w:line="276" w:lineRule="auto"/>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means the total number of Transferring Former Supplier Employees and/or Transferring Employer Employees identified in the Supplier’s solution;</w:t>
            </w:r>
          </w:p>
        </w:tc>
      </w:tr>
      <w:tr>
        <w:trPr>
          <w:cantSplit w:val="0"/>
          <w:tblHeader w:val="0"/>
        </w:trPr>
        <w:tc>
          <w:tcPr>
            <w:vAlign w:val="center"/>
          </w:tcPr>
          <w:p w:rsidR="00000000" w:rsidDel="00000000" w:rsidP="00000000" w:rsidRDefault="00000000" w:rsidRPr="00000000" w14:paraId="00000039">
            <w:pPr>
              <w:pBdr>
                <w:top w:space="0" w:sz="0" w:val="nil"/>
                <w:left w:space="0" w:sz="0" w:val="nil"/>
                <w:bottom w:space="0" w:sz="0" w:val="nil"/>
                <w:right w:space="0" w:sz="0" w:val="nil"/>
                <w:between w:space="0" w:sz="0" w:val="nil"/>
              </w:pBdr>
              <w:spacing w:after="120" w:line="276" w:lineRule="auto"/>
              <w:ind w:left="-108" w:firstLine="0"/>
              <w:jc w:val="left"/>
              <w:rPr>
                <w:rFonts w:ascii="Arial" w:cs="Arial" w:eastAsia="Arial" w:hAnsi="Arial"/>
                <w:b w:val="1"/>
                <w:color w:val="000000"/>
                <w:sz w:val="24"/>
                <w:szCs w:val="24"/>
              </w:rPr>
            </w:pPr>
            <w:r w:rsidDel="00000000" w:rsidR="00000000" w:rsidRPr="00000000">
              <w:rPr>
                <w:rFonts w:ascii="Arial" w:cs="Arial" w:eastAsia="Arial" w:hAnsi="Arial"/>
                <w:b w:val="1"/>
                <w:color w:val="000000"/>
                <w:sz w:val="24"/>
                <w:szCs w:val="24"/>
                <w:rtl w:val="0"/>
              </w:rPr>
              <w:t xml:space="preserve">"Other Pension Cost"</w:t>
            </w:r>
          </w:p>
        </w:tc>
        <w:tc>
          <w:tcPr>
            <w:vAlign w:val="center"/>
          </w:tcPr>
          <w:p w:rsidR="00000000" w:rsidDel="00000000" w:rsidP="00000000" w:rsidRDefault="00000000" w:rsidRPr="00000000" w14:paraId="0000003A">
            <w:pPr>
              <w:pBdr>
                <w:top w:space="0" w:sz="0" w:val="nil"/>
                <w:left w:space="0" w:sz="0" w:val="nil"/>
                <w:bottom w:space="0" w:sz="0" w:val="nil"/>
                <w:right w:space="0" w:sz="0" w:val="nil"/>
                <w:between w:space="0" w:sz="0" w:val="nil"/>
              </w:pBdr>
              <w:tabs>
                <w:tab w:val="left" w:leader="none" w:pos="175"/>
              </w:tabs>
              <w:spacing w:after="120" w:line="276" w:lineRule="auto"/>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means:</w:t>
            </w:r>
          </w:p>
          <w:p w:rsidR="00000000" w:rsidDel="00000000" w:rsidP="00000000" w:rsidRDefault="00000000" w:rsidRPr="00000000" w14:paraId="0000003B">
            <w:pPr>
              <w:pBdr>
                <w:top w:space="0" w:sz="0" w:val="nil"/>
                <w:left w:space="0" w:sz="0" w:val="nil"/>
                <w:bottom w:space="0" w:sz="0" w:val="nil"/>
                <w:right w:space="0" w:sz="0" w:val="nil"/>
                <w:between w:space="0" w:sz="0" w:val="nil"/>
              </w:pBdr>
              <w:tabs>
                <w:tab w:val="left" w:leader="none" w:pos="175"/>
              </w:tabs>
              <w:spacing w:after="120" w:line="276" w:lineRule="auto"/>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    in respect of CSPS Eligible Employees those sums set out at Clauses 7.1.1 (annual administration charges covering core services), 7.1.5 (employer contributions), 7.1.7 (the ASLC) and 7.1.8 (flat charges applicable to the Partnership Pension Account) of the CSPS Admission Agreement;</w:t>
            </w:r>
          </w:p>
          <w:p w:rsidR="00000000" w:rsidDel="00000000" w:rsidP="00000000" w:rsidRDefault="00000000" w:rsidRPr="00000000" w14:paraId="0000003C">
            <w:pPr>
              <w:pBdr>
                <w:top w:space="0" w:sz="0" w:val="nil"/>
                <w:left w:space="0" w:sz="0" w:val="nil"/>
                <w:bottom w:space="0" w:sz="0" w:val="nil"/>
                <w:right w:space="0" w:sz="0" w:val="nil"/>
                <w:between w:space="0" w:sz="0" w:val="nil"/>
              </w:pBdr>
              <w:tabs>
                <w:tab w:val="left" w:leader="none" w:pos="175"/>
              </w:tabs>
              <w:spacing w:after="120" w:line="276" w:lineRule="auto"/>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b)    in respect of NHSPS Eligible Employees, the standard employer contribution rate applicable to NHS Pensions employers during the Contract Period and payable by the Supplier (but no other costs, contributions, charges or surcharges payable by the Supplier to or in respect of NHS Pensions or in respect of any NHS Premature Retirement Rights, unless otherwise agreed in writing by the Buyer);</w:t>
            </w:r>
          </w:p>
          <w:p w:rsidR="00000000" w:rsidDel="00000000" w:rsidP="00000000" w:rsidRDefault="00000000" w:rsidRPr="00000000" w14:paraId="0000003D">
            <w:pPr>
              <w:pBdr>
                <w:top w:space="0" w:sz="0" w:val="nil"/>
                <w:left w:space="0" w:sz="0" w:val="nil"/>
                <w:bottom w:space="0" w:sz="0" w:val="nil"/>
                <w:right w:space="0" w:sz="0" w:val="nil"/>
                <w:between w:space="0" w:sz="0" w:val="nil"/>
              </w:pBdr>
              <w:tabs>
                <w:tab w:val="left" w:leader="none" w:pos="175"/>
              </w:tabs>
              <w:spacing w:after="120" w:line="276" w:lineRule="auto"/>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c)    in respect of LGPS Eligible Employees, the standard employer contribution rate applicable to LGPS Eligible Employees during the Contract Period and payable by the Supplier such sums expressed and set out in the rates and adjustments certificate under regulation 62 of the LGPS Regulations (but no other costs, contributions, charges or surcharges payable by the Supplier to or in respect of the LGPS unless otherwise agreed in writing by the Authority) less any costs recoverable under Annex D3: LGPS of Part D Pensions of </w:t>
            </w:r>
            <w:r w:rsidDel="00000000" w:rsidR="00000000" w:rsidRPr="00000000">
              <w:rPr>
                <w:rFonts w:ascii="Arial" w:cs="Arial" w:eastAsia="Arial" w:hAnsi="Arial"/>
                <w:sz w:val="24"/>
                <w:szCs w:val="24"/>
                <w:rtl w:val="0"/>
              </w:rPr>
              <w:t xml:space="preserve">Call-Off </w:t>
            </w:r>
            <w:r w:rsidDel="00000000" w:rsidR="00000000" w:rsidRPr="00000000">
              <w:rPr>
                <w:rFonts w:ascii="Arial" w:cs="Arial" w:eastAsia="Arial" w:hAnsi="Arial"/>
                <w:color w:val="000000"/>
                <w:sz w:val="24"/>
                <w:szCs w:val="24"/>
                <w:rtl w:val="0"/>
              </w:rPr>
              <w:t xml:space="preserve">Schedule 2 (</w:t>
            </w:r>
            <w:r w:rsidDel="00000000" w:rsidR="00000000" w:rsidRPr="00000000">
              <w:rPr>
                <w:rFonts w:ascii="Arial" w:cs="Arial" w:eastAsia="Arial" w:hAnsi="Arial"/>
                <w:i w:val="1"/>
                <w:color w:val="000000"/>
                <w:sz w:val="24"/>
                <w:szCs w:val="24"/>
                <w:rtl w:val="0"/>
              </w:rPr>
              <w:t xml:space="preserve">Staff Transfer</w:t>
            </w:r>
            <w:r w:rsidDel="00000000" w:rsidR="00000000" w:rsidRPr="00000000">
              <w:rPr>
                <w:rFonts w:ascii="Arial" w:cs="Arial" w:eastAsia="Arial" w:hAnsi="Arial"/>
                <w:color w:val="000000"/>
                <w:sz w:val="24"/>
                <w:szCs w:val="24"/>
                <w:rtl w:val="0"/>
              </w:rPr>
              <w:t xml:space="preserve">); and </w:t>
            </w:r>
          </w:p>
          <w:p w:rsidR="00000000" w:rsidDel="00000000" w:rsidP="00000000" w:rsidRDefault="00000000" w:rsidRPr="00000000" w14:paraId="0000003E">
            <w:pPr>
              <w:pBdr>
                <w:top w:space="0" w:sz="0" w:val="nil"/>
                <w:left w:space="0" w:sz="0" w:val="nil"/>
                <w:bottom w:space="0" w:sz="0" w:val="nil"/>
                <w:right w:space="0" w:sz="0" w:val="nil"/>
                <w:between w:space="0" w:sz="0" w:val="nil"/>
              </w:pBdr>
              <w:tabs>
                <w:tab w:val="left" w:leader="none" w:pos="175"/>
                <w:tab w:val="left" w:leader="none" w:pos="-179"/>
                <w:tab w:val="left" w:leader="none" w:pos="-9"/>
              </w:tabs>
              <w:spacing w:after="120" w:line="276" w:lineRule="auto"/>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d)    such other pension contributions, charges or costs incurred by the Supplier which have been expressly agreed by the Buyer in writing to constitute “Other Pension Costs”</w:t>
            </w:r>
          </w:p>
        </w:tc>
      </w:tr>
      <w:tr>
        <w:trPr>
          <w:cantSplit w:val="0"/>
          <w:tblHeader w:val="0"/>
        </w:trPr>
        <w:tc>
          <w:tcPr>
            <w:vAlign w:val="center"/>
          </w:tcPr>
          <w:p w:rsidR="00000000" w:rsidDel="00000000" w:rsidP="00000000" w:rsidRDefault="00000000" w:rsidRPr="00000000" w14:paraId="0000003F">
            <w:pPr>
              <w:pBdr>
                <w:top w:space="0" w:sz="0" w:val="nil"/>
                <w:left w:space="0" w:sz="0" w:val="nil"/>
                <w:bottom w:space="0" w:sz="0" w:val="nil"/>
                <w:right w:space="0" w:sz="0" w:val="nil"/>
                <w:between w:space="0" w:sz="0" w:val="nil"/>
              </w:pBdr>
              <w:spacing w:after="120" w:line="276" w:lineRule="auto"/>
              <w:ind w:left="-108" w:firstLine="0"/>
              <w:jc w:val="left"/>
              <w:rPr>
                <w:rFonts w:ascii="Arial" w:cs="Arial" w:eastAsia="Arial" w:hAnsi="Arial"/>
                <w:b w:val="1"/>
                <w:color w:val="000000"/>
                <w:sz w:val="24"/>
                <w:szCs w:val="24"/>
              </w:rPr>
            </w:pPr>
            <w:r w:rsidDel="00000000" w:rsidR="00000000" w:rsidRPr="00000000">
              <w:rPr>
                <w:rFonts w:ascii="Arial" w:cs="Arial" w:eastAsia="Arial" w:hAnsi="Arial"/>
                <w:b w:val="1"/>
                <w:color w:val="000000"/>
                <w:sz w:val="24"/>
                <w:szCs w:val="24"/>
                <w:rtl w:val="0"/>
              </w:rPr>
              <w:t xml:space="preserve">"TUPE Count"</w:t>
            </w:r>
          </w:p>
        </w:tc>
        <w:tc>
          <w:tcPr>
            <w:vAlign w:val="center"/>
          </w:tcPr>
          <w:p w:rsidR="00000000" w:rsidDel="00000000" w:rsidP="00000000" w:rsidRDefault="00000000" w:rsidRPr="00000000" w14:paraId="00000040">
            <w:pPr>
              <w:pBdr>
                <w:top w:space="0" w:sz="0" w:val="nil"/>
                <w:left w:space="0" w:sz="0" w:val="nil"/>
                <w:bottom w:space="0" w:sz="0" w:val="nil"/>
                <w:right w:space="0" w:sz="0" w:val="nil"/>
                <w:between w:space="0" w:sz="0" w:val="nil"/>
              </w:pBdr>
              <w:tabs>
                <w:tab w:val="left" w:leader="none" w:pos="175"/>
                <w:tab w:val="left" w:leader="none" w:pos="-9"/>
              </w:tabs>
              <w:spacing w:after="120" w:line="276" w:lineRule="auto"/>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means the total number of Transferring Former Supplier Employees and/or Transferring Buyer Employees identified in the Employee Liability Information;</w:t>
            </w:r>
          </w:p>
        </w:tc>
      </w:tr>
      <w:tr>
        <w:trPr>
          <w:cantSplit w:val="0"/>
          <w:tblHeader w:val="0"/>
        </w:trPr>
        <w:tc>
          <w:tcPr>
            <w:vAlign w:val="center"/>
          </w:tcPr>
          <w:p w:rsidR="00000000" w:rsidDel="00000000" w:rsidP="00000000" w:rsidRDefault="00000000" w:rsidRPr="00000000" w14:paraId="00000041">
            <w:pPr>
              <w:pBdr>
                <w:top w:space="0" w:sz="0" w:val="nil"/>
                <w:left w:space="0" w:sz="0" w:val="nil"/>
                <w:bottom w:space="0" w:sz="0" w:val="nil"/>
                <w:right w:space="0" w:sz="0" w:val="nil"/>
                <w:between w:space="0" w:sz="0" w:val="nil"/>
              </w:pBdr>
              <w:spacing w:after="120" w:line="276" w:lineRule="auto"/>
              <w:ind w:left="-108" w:firstLine="0"/>
              <w:jc w:val="left"/>
              <w:rPr>
                <w:rFonts w:ascii="Arial" w:cs="Arial" w:eastAsia="Arial" w:hAnsi="Arial"/>
                <w:b w:val="1"/>
                <w:color w:val="000000"/>
                <w:sz w:val="24"/>
                <w:szCs w:val="24"/>
              </w:rPr>
            </w:pPr>
            <w:r w:rsidDel="00000000" w:rsidR="00000000" w:rsidRPr="00000000">
              <w:rPr>
                <w:rFonts w:ascii="Arial" w:cs="Arial" w:eastAsia="Arial" w:hAnsi="Arial"/>
                <w:b w:val="1"/>
                <w:color w:val="000000"/>
                <w:sz w:val="24"/>
                <w:szCs w:val="24"/>
                <w:rtl w:val="0"/>
              </w:rPr>
              <w:t xml:space="preserve">“TUPE Management Cost”</w:t>
            </w:r>
          </w:p>
        </w:tc>
        <w:tc>
          <w:tcPr>
            <w:vAlign w:val="center"/>
          </w:tcPr>
          <w:p w:rsidR="00000000" w:rsidDel="00000000" w:rsidP="00000000" w:rsidRDefault="00000000" w:rsidRPr="00000000" w14:paraId="00000042">
            <w:pPr>
              <w:pBdr>
                <w:top w:space="0" w:sz="0" w:val="nil"/>
                <w:left w:space="0" w:sz="0" w:val="nil"/>
                <w:bottom w:space="0" w:sz="0" w:val="nil"/>
                <w:right w:space="0" w:sz="0" w:val="nil"/>
                <w:between w:space="0" w:sz="0" w:val="nil"/>
              </w:pBdr>
              <w:tabs>
                <w:tab w:val="left" w:leader="none" w:pos="175"/>
                <w:tab w:val="left" w:leader="none" w:pos="-179"/>
                <w:tab w:val="left" w:leader="none" w:pos="-9"/>
              </w:tabs>
              <w:spacing w:after="120" w:line="276" w:lineRule="auto"/>
              <w:jc w:val="left"/>
              <w:rPr>
                <w:rFonts w:ascii="Arial" w:cs="Arial" w:eastAsia="Arial" w:hAnsi="Arial"/>
                <w:color w:val="000000"/>
                <w:sz w:val="24"/>
                <w:szCs w:val="24"/>
              </w:rPr>
            </w:pPr>
            <w:bookmarkStart w:colFirst="0" w:colLast="0" w:name="_heading=h.3rdcrjn" w:id="3"/>
            <w:bookmarkEnd w:id="3"/>
            <w:r w:rsidDel="00000000" w:rsidR="00000000" w:rsidRPr="00000000">
              <w:rPr>
                <w:rFonts w:ascii="Arial" w:cs="Arial" w:eastAsia="Arial" w:hAnsi="Arial"/>
                <w:color w:val="000000"/>
                <w:sz w:val="24"/>
                <w:szCs w:val="24"/>
                <w:rtl w:val="0"/>
              </w:rPr>
              <w:t xml:space="preserve">means any costs that will be incurred in managing the transition of an individual who is listed as a TUPE employee, and will not be required to fulfil a role as part of the new contract, within the </w:t>
            </w:r>
            <w:r w:rsidDel="00000000" w:rsidR="00000000" w:rsidRPr="00000000">
              <w:rPr>
                <w:rFonts w:ascii="Arial" w:cs="Arial" w:eastAsia="Arial" w:hAnsi="Arial"/>
                <w:sz w:val="24"/>
                <w:szCs w:val="24"/>
                <w:rtl w:val="0"/>
              </w:rPr>
              <w:t xml:space="preserve">Call-Off</w:t>
            </w:r>
            <w:r w:rsidDel="00000000" w:rsidR="00000000" w:rsidRPr="00000000">
              <w:rPr>
                <w:rFonts w:ascii="Arial" w:cs="Arial" w:eastAsia="Arial" w:hAnsi="Arial"/>
                <w:color w:val="000000"/>
                <w:sz w:val="24"/>
                <w:szCs w:val="24"/>
                <w:rtl w:val="0"/>
              </w:rPr>
              <w:t xml:space="preserve"> Pricing Matrix</w:t>
            </w:r>
            <w:r w:rsidDel="00000000" w:rsidR="00000000" w:rsidRPr="00000000">
              <w:rPr>
                <w:rtl w:val="0"/>
              </w:rPr>
              <w:t xml:space="preserve">.   </w:t>
            </w:r>
            <w:r w:rsidDel="00000000" w:rsidR="00000000" w:rsidRPr="00000000">
              <w:rPr>
                <w:rFonts w:ascii="Arial" w:cs="Arial" w:eastAsia="Arial" w:hAnsi="Arial"/>
                <w:color w:val="000000"/>
                <w:sz w:val="24"/>
                <w:szCs w:val="24"/>
                <w:rtl w:val="0"/>
              </w:rPr>
              <w:t xml:space="preserve">     </w:t>
            </w:r>
          </w:p>
          <w:p w:rsidR="00000000" w:rsidDel="00000000" w:rsidP="00000000" w:rsidRDefault="00000000" w:rsidRPr="00000000" w14:paraId="00000043">
            <w:pPr>
              <w:pBdr>
                <w:top w:space="0" w:sz="0" w:val="nil"/>
                <w:left w:space="0" w:sz="0" w:val="nil"/>
                <w:bottom w:space="0" w:sz="0" w:val="nil"/>
                <w:right w:space="0" w:sz="0" w:val="nil"/>
                <w:between w:space="0" w:sz="0" w:val="nil"/>
              </w:pBdr>
              <w:tabs>
                <w:tab w:val="left" w:leader="none" w:pos="175"/>
                <w:tab w:val="left" w:leader="none" w:pos="-179"/>
                <w:tab w:val="left" w:leader="none" w:pos="-9"/>
              </w:tabs>
              <w:spacing w:after="120" w:line="276" w:lineRule="auto"/>
              <w:jc w:val="left"/>
              <w:rPr>
                <w:rFonts w:ascii="Arial" w:cs="Arial" w:eastAsia="Arial" w:hAnsi="Arial"/>
                <w:color w:val="000000"/>
                <w:sz w:val="24"/>
                <w:szCs w:val="24"/>
              </w:rPr>
            </w:pPr>
            <w:bookmarkStart w:colFirst="0" w:colLast="0" w:name="_heading=h.u7ze92z75b3t" w:id="4"/>
            <w:bookmarkEnd w:id="4"/>
            <w:r w:rsidDel="00000000" w:rsidR="00000000" w:rsidRPr="00000000">
              <w:rPr>
                <w:rFonts w:ascii="Arial" w:cs="Arial" w:eastAsia="Arial" w:hAnsi="Arial"/>
                <w:color w:val="000000"/>
                <w:sz w:val="24"/>
                <w:szCs w:val="24"/>
                <w:rtl w:val="0"/>
              </w:rPr>
              <w:t xml:space="preserve">For the avoidance of doubt, Redundancy Surcharge is dealt with as per </w:t>
            </w:r>
            <w:r w:rsidDel="00000000" w:rsidR="00000000" w:rsidRPr="00000000">
              <w:rPr>
                <w:rFonts w:ascii="Arial" w:cs="Arial" w:eastAsia="Arial" w:hAnsi="Arial"/>
                <w:sz w:val="24"/>
                <w:szCs w:val="24"/>
                <w:rtl w:val="0"/>
              </w:rPr>
              <w:t xml:space="preserve">Call-Off</w:t>
            </w:r>
            <w:r w:rsidDel="00000000" w:rsidR="00000000" w:rsidRPr="00000000">
              <w:rPr>
                <w:rFonts w:ascii="Arial" w:cs="Arial" w:eastAsia="Arial" w:hAnsi="Arial"/>
                <w:color w:val="000000"/>
                <w:sz w:val="24"/>
                <w:szCs w:val="24"/>
                <w:rtl w:val="0"/>
              </w:rPr>
              <w:t xml:space="preserve"> Schedule </w:t>
            </w:r>
            <w:r w:rsidDel="00000000" w:rsidR="00000000" w:rsidRPr="00000000">
              <w:rPr>
                <w:rFonts w:ascii="Arial" w:cs="Arial" w:eastAsia="Arial" w:hAnsi="Arial"/>
                <w:sz w:val="24"/>
                <w:szCs w:val="24"/>
                <w:rtl w:val="0"/>
              </w:rPr>
              <w:t xml:space="preserve">32</w:t>
            </w:r>
            <w:r w:rsidDel="00000000" w:rsidR="00000000" w:rsidRPr="00000000">
              <w:rPr>
                <w:rFonts w:ascii="Arial" w:cs="Arial" w:eastAsia="Arial" w:hAnsi="Arial"/>
                <w:color w:val="000000"/>
                <w:sz w:val="24"/>
                <w:szCs w:val="24"/>
                <w:rtl w:val="0"/>
              </w:rPr>
              <w:t xml:space="preserve"> (</w:t>
            </w:r>
            <w:r w:rsidDel="00000000" w:rsidR="00000000" w:rsidRPr="00000000">
              <w:rPr>
                <w:rFonts w:ascii="Arial" w:cs="Arial" w:eastAsia="Arial" w:hAnsi="Arial"/>
                <w:i w:val="1"/>
                <w:color w:val="000000"/>
                <w:sz w:val="24"/>
                <w:szCs w:val="24"/>
                <w:rtl w:val="0"/>
              </w:rPr>
              <w:t xml:space="preserve">Redundancy</w:t>
            </w:r>
            <w:r w:rsidDel="00000000" w:rsidR="00000000" w:rsidRPr="00000000">
              <w:rPr>
                <w:rFonts w:ascii="Arial" w:cs="Arial" w:eastAsia="Arial" w:hAnsi="Arial"/>
                <w:color w:val="000000"/>
                <w:sz w:val="24"/>
                <w:szCs w:val="24"/>
                <w:rtl w:val="0"/>
              </w:rPr>
              <w:t xml:space="preserve">) and any costs associated with a Redundancy Payment should not be included within Costs of Change.</w:t>
            </w:r>
          </w:p>
        </w:tc>
      </w:tr>
      <w:tr>
        <w:trPr>
          <w:cantSplit w:val="0"/>
          <w:tblHeader w:val="0"/>
        </w:trPr>
        <w:tc>
          <w:tcPr>
            <w:vAlign w:val="center"/>
          </w:tcPr>
          <w:p w:rsidR="00000000" w:rsidDel="00000000" w:rsidP="00000000" w:rsidRDefault="00000000" w:rsidRPr="00000000" w14:paraId="00000044">
            <w:pPr>
              <w:spacing w:line="276" w:lineRule="auto"/>
              <w:ind w:left="72" w:firstLine="0"/>
              <w:jc w:val="left"/>
              <w:rPr>
                <w:rFonts w:ascii="Arial" w:cs="Arial" w:eastAsia="Arial" w:hAnsi="Arial"/>
                <w:b w:val="1"/>
                <w:color w:val="000000"/>
                <w:sz w:val="24"/>
                <w:szCs w:val="24"/>
              </w:rPr>
            </w:pPr>
            <w:bookmarkStart w:colFirst="0" w:colLast="0" w:name="_heading=h.3t0ojjbzql3z" w:id="5"/>
            <w:bookmarkEnd w:id="5"/>
            <w:r w:rsidDel="00000000" w:rsidR="00000000" w:rsidRPr="00000000">
              <w:rPr>
                <w:rFonts w:ascii="Arial" w:cs="Arial" w:eastAsia="Arial" w:hAnsi="Arial"/>
                <w:b w:val="1"/>
                <w:color w:val="000000"/>
                <w:sz w:val="24"/>
                <w:szCs w:val="24"/>
                <w:rtl w:val="0"/>
              </w:rPr>
              <w:t xml:space="preserve">"TUPE Premium"</w:t>
            </w:r>
          </w:p>
        </w:tc>
        <w:tc>
          <w:tcPr>
            <w:vAlign w:val="center"/>
          </w:tcPr>
          <w:p w:rsidR="00000000" w:rsidDel="00000000" w:rsidP="00000000" w:rsidRDefault="00000000" w:rsidRPr="00000000" w14:paraId="00000045">
            <w:pPr>
              <w:pBdr>
                <w:top w:space="0" w:sz="0" w:val="nil"/>
                <w:left w:space="0" w:sz="0" w:val="nil"/>
                <w:bottom w:space="0" w:sz="0" w:val="nil"/>
                <w:right w:space="0" w:sz="0" w:val="nil"/>
                <w:between w:space="0" w:sz="0" w:val="nil"/>
              </w:pBdr>
              <w:tabs>
                <w:tab w:val="left" w:leader="none" w:pos="175"/>
                <w:tab w:val="left" w:leader="none" w:pos="-179"/>
              </w:tabs>
              <w:spacing w:after="120" w:line="276" w:lineRule="auto"/>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means either the:</w:t>
            </w:r>
          </w:p>
          <w:p w:rsidR="00000000" w:rsidDel="00000000" w:rsidP="00000000" w:rsidRDefault="00000000" w:rsidRPr="00000000" w14:paraId="00000046">
            <w:pPr>
              <w:pBdr>
                <w:top w:space="0" w:sz="0" w:val="nil"/>
                <w:left w:space="0" w:sz="0" w:val="nil"/>
                <w:bottom w:space="0" w:sz="0" w:val="nil"/>
                <w:right w:space="0" w:sz="0" w:val="nil"/>
                <w:between w:space="0" w:sz="0" w:val="nil"/>
              </w:pBdr>
              <w:tabs>
                <w:tab w:val="left" w:leader="none" w:pos="175"/>
                <w:tab w:val="left" w:leader="none" w:pos="-179"/>
              </w:tabs>
              <w:spacing w:after="120" w:line="276" w:lineRule="auto"/>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w:t>
              <w:tab/>
              <w:t xml:space="preserve">Award Without Competition</w:t>
            </w:r>
            <w:r w:rsidDel="00000000" w:rsidR="00000000" w:rsidRPr="00000000">
              <w:rPr>
                <w:rtl w:val="0"/>
              </w:rPr>
              <w:t xml:space="preserve">     </w:t>
            </w:r>
            <w:r w:rsidDel="00000000" w:rsidR="00000000" w:rsidRPr="00000000">
              <w:rPr>
                <w:rFonts w:ascii="Arial" w:cs="Arial" w:eastAsia="Arial" w:hAnsi="Arial"/>
                <w:color w:val="000000"/>
                <w:sz w:val="24"/>
                <w:szCs w:val="24"/>
                <w:rtl w:val="0"/>
              </w:rPr>
              <w:t xml:space="preserve"> TUPE Premium;</w:t>
            </w:r>
          </w:p>
          <w:p w:rsidR="00000000" w:rsidDel="00000000" w:rsidP="00000000" w:rsidRDefault="00000000" w:rsidRPr="00000000" w14:paraId="00000047">
            <w:pPr>
              <w:pBdr>
                <w:top w:space="0" w:sz="0" w:val="nil"/>
                <w:left w:space="0" w:sz="0" w:val="nil"/>
                <w:bottom w:space="0" w:sz="0" w:val="nil"/>
                <w:right w:space="0" w:sz="0" w:val="nil"/>
                <w:between w:space="0" w:sz="0" w:val="nil"/>
              </w:pBdr>
              <w:tabs>
                <w:tab w:val="left" w:leader="none" w:pos="175"/>
                <w:tab w:val="left" w:leader="none" w:pos="-179"/>
              </w:tabs>
              <w:spacing w:after="120" w:line="276" w:lineRule="auto"/>
              <w:jc w:val="left"/>
              <w:rPr>
                <w:rFonts w:ascii="Arial" w:cs="Arial" w:eastAsia="Arial" w:hAnsi="Arial"/>
                <w:color w:val="000000"/>
                <w:sz w:val="24"/>
                <w:szCs w:val="24"/>
              </w:rPr>
            </w:pPr>
            <w:bookmarkStart w:colFirst="0" w:colLast="0" w:name="_heading=h.2s8eyo1" w:id="6"/>
            <w:bookmarkEnd w:id="6"/>
            <w:r w:rsidDel="00000000" w:rsidR="00000000" w:rsidRPr="00000000">
              <w:rPr>
                <w:rFonts w:ascii="Arial" w:cs="Arial" w:eastAsia="Arial" w:hAnsi="Arial"/>
                <w:color w:val="000000"/>
                <w:sz w:val="24"/>
                <w:szCs w:val="24"/>
                <w:rtl w:val="0"/>
              </w:rPr>
              <w:t xml:space="preserve">b)</w:t>
              <w:tab/>
              <w:t xml:space="preserve">Adjustable TUPE Premium; or</w:t>
            </w:r>
          </w:p>
          <w:p w:rsidR="00000000" w:rsidDel="00000000" w:rsidP="00000000" w:rsidRDefault="00000000" w:rsidRPr="00000000" w14:paraId="00000048">
            <w:pPr>
              <w:pBdr>
                <w:top w:space="0" w:sz="0" w:val="nil"/>
                <w:left w:space="0" w:sz="0" w:val="nil"/>
                <w:bottom w:space="0" w:sz="0" w:val="nil"/>
                <w:right w:space="0" w:sz="0" w:val="nil"/>
                <w:between w:space="0" w:sz="0" w:val="nil"/>
              </w:pBdr>
              <w:tabs>
                <w:tab w:val="left" w:leader="none" w:pos="175"/>
                <w:tab w:val="left" w:leader="none" w:pos="-179"/>
              </w:tabs>
              <w:spacing w:after="120" w:line="276" w:lineRule="auto"/>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b)</w:t>
              <w:tab/>
              <w:t xml:space="preserve">Fixed</w:t>
            </w:r>
            <w:r w:rsidDel="00000000" w:rsidR="00000000" w:rsidRPr="00000000">
              <w:rPr>
                <w:rtl w:val="0"/>
              </w:rPr>
              <w:t xml:space="preserve"> </w:t>
            </w:r>
            <w:r w:rsidDel="00000000" w:rsidR="00000000" w:rsidRPr="00000000">
              <w:rPr>
                <w:rFonts w:ascii="Arial" w:cs="Arial" w:eastAsia="Arial" w:hAnsi="Arial"/>
                <w:color w:val="000000"/>
                <w:sz w:val="24"/>
                <w:szCs w:val="24"/>
                <w:rtl w:val="0"/>
              </w:rPr>
              <w:t xml:space="preserve">TUPE Premium,</w:t>
            </w:r>
          </w:p>
          <w:p w:rsidR="00000000" w:rsidDel="00000000" w:rsidP="00000000" w:rsidRDefault="00000000" w:rsidRPr="00000000" w14:paraId="00000049">
            <w:pPr>
              <w:pBdr>
                <w:top w:space="0" w:sz="0" w:val="nil"/>
                <w:left w:space="0" w:sz="0" w:val="nil"/>
                <w:bottom w:space="0" w:sz="0" w:val="nil"/>
                <w:right w:space="0" w:sz="0" w:val="nil"/>
                <w:between w:space="0" w:sz="0" w:val="nil"/>
              </w:pBdr>
              <w:tabs>
                <w:tab w:val="left" w:leader="none" w:pos="175"/>
                <w:tab w:val="left" w:leader="none" w:pos="-179"/>
              </w:tabs>
              <w:spacing w:after="120" w:line="276" w:lineRule="auto"/>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as the context requires;</w:t>
            </w:r>
          </w:p>
        </w:tc>
      </w:tr>
      <w:tr>
        <w:trPr>
          <w:cantSplit w:val="0"/>
          <w:tblHeader w:val="0"/>
        </w:trPr>
        <w:tc>
          <w:tcPr>
            <w:vAlign w:val="center"/>
          </w:tcPr>
          <w:p w:rsidR="00000000" w:rsidDel="00000000" w:rsidP="00000000" w:rsidRDefault="00000000" w:rsidRPr="00000000" w14:paraId="0000004A">
            <w:pPr>
              <w:spacing w:line="276" w:lineRule="auto"/>
              <w:ind w:left="72" w:firstLine="0"/>
              <w:jc w:val="left"/>
              <w:rPr>
                <w:rFonts w:ascii="Arial" w:cs="Arial" w:eastAsia="Arial" w:hAnsi="Arial"/>
                <w:b w:val="1"/>
                <w:color w:val="000000"/>
                <w:sz w:val="24"/>
                <w:szCs w:val="24"/>
              </w:rPr>
            </w:pPr>
            <w:r w:rsidDel="00000000" w:rsidR="00000000" w:rsidRPr="00000000">
              <w:rPr>
                <w:rFonts w:ascii="Arial" w:cs="Arial" w:eastAsia="Arial" w:hAnsi="Arial"/>
                <w:b w:val="1"/>
                <w:color w:val="000000"/>
                <w:sz w:val="24"/>
                <w:szCs w:val="24"/>
                <w:rtl w:val="0"/>
              </w:rPr>
              <w:t xml:space="preserve">"TUPE Premium Average"</w:t>
            </w:r>
          </w:p>
        </w:tc>
        <w:tc>
          <w:tcPr>
            <w:vAlign w:val="center"/>
          </w:tcPr>
          <w:p w:rsidR="00000000" w:rsidDel="00000000" w:rsidP="00000000" w:rsidRDefault="00000000" w:rsidRPr="00000000" w14:paraId="0000004B">
            <w:pPr>
              <w:pBdr>
                <w:top w:space="0" w:sz="0" w:val="nil"/>
                <w:left w:space="0" w:sz="0" w:val="nil"/>
                <w:bottom w:space="0" w:sz="0" w:val="nil"/>
                <w:right w:space="0" w:sz="0" w:val="nil"/>
                <w:between w:space="0" w:sz="0" w:val="nil"/>
              </w:pBdr>
              <w:tabs>
                <w:tab w:val="left" w:leader="none" w:pos="175"/>
                <w:tab w:val="left" w:leader="none" w:pos="-179"/>
              </w:tabs>
              <w:spacing w:after="120" w:line="276" w:lineRule="auto"/>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means the average calculated by dividing the Adjustable TUPE Premium by the lower of either:</w:t>
            </w:r>
          </w:p>
          <w:p w:rsidR="00000000" w:rsidDel="00000000" w:rsidP="00000000" w:rsidRDefault="00000000" w:rsidRPr="00000000" w14:paraId="0000004C">
            <w:pPr>
              <w:pBdr>
                <w:top w:space="0" w:sz="0" w:val="nil"/>
                <w:left w:space="0" w:sz="0" w:val="nil"/>
                <w:bottom w:space="0" w:sz="0" w:val="nil"/>
                <w:right w:space="0" w:sz="0" w:val="nil"/>
                <w:between w:space="0" w:sz="0" w:val="nil"/>
              </w:pBdr>
              <w:tabs>
                <w:tab w:val="left" w:leader="none" w:pos="175"/>
                <w:tab w:val="left" w:leader="none" w:pos="-179"/>
              </w:tabs>
              <w:spacing w:after="120" w:line="276" w:lineRule="auto"/>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w:t>
              <w:tab/>
              <w:t xml:space="preserve">Labour Count; or</w:t>
            </w:r>
          </w:p>
          <w:p w:rsidR="00000000" w:rsidDel="00000000" w:rsidP="00000000" w:rsidRDefault="00000000" w:rsidRPr="00000000" w14:paraId="0000004D">
            <w:pPr>
              <w:pBdr>
                <w:top w:space="0" w:sz="0" w:val="nil"/>
                <w:left w:space="0" w:sz="0" w:val="nil"/>
                <w:bottom w:space="0" w:sz="0" w:val="nil"/>
                <w:right w:space="0" w:sz="0" w:val="nil"/>
                <w:between w:space="0" w:sz="0" w:val="nil"/>
              </w:pBdr>
              <w:tabs>
                <w:tab w:val="left" w:leader="none" w:pos="175"/>
                <w:tab w:val="left" w:leader="none" w:pos="-179"/>
              </w:tabs>
              <w:spacing w:after="120" w:line="276" w:lineRule="auto"/>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b)</w:t>
              <w:tab/>
              <w:t xml:space="preserve">the TUPE Count.</w:t>
            </w:r>
          </w:p>
        </w:tc>
      </w:tr>
    </w:tbl>
    <w:p w:rsidR="00000000" w:rsidDel="00000000" w:rsidP="00000000" w:rsidRDefault="00000000" w:rsidRPr="00000000" w14:paraId="0000004E">
      <w:pPr>
        <w:keepNext w:val="1"/>
        <w:pBdr>
          <w:top w:space="0" w:sz="0" w:val="nil"/>
          <w:left w:space="0" w:sz="0" w:val="nil"/>
          <w:bottom w:space="0" w:sz="0" w:val="nil"/>
          <w:right w:space="0" w:sz="0" w:val="nil"/>
          <w:between w:space="0" w:sz="0" w:val="nil"/>
        </w:pBdr>
        <w:spacing w:line="276" w:lineRule="auto"/>
        <w:jc w:val="left"/>
        <w:rPr>
          <w:rFonts w:ascii="Arial" w:cs="Arial" w:eastAsia="Arial" w:hAnsi="Arial"/>
          <w:b w:val="1"/>
          <w:smallCaps w:val="1"/>
          <w:color w:val="000000"/>
          <w:sz w:val="24"/>
          <w:szCs w:val="24"/>
        </w:rPr>
      </w:pPr>
      <w:r w:rsidDel="00000000" w:rsidR="00000000" w:rsidRPr="00000000">
        <w:rPr>
          <w:rtl w:val="0"/>
        </w:rPr>
      </w:r>
    </w:p>
    <w:p w:rsidR="00000000" w:rsidDel="00000000" w:rsidP="00000000" w:rsidRDefault="00000000" w:rsidRPr="00000000" w14:paraId="0000004F">
      <w:pPr>
        <w:numPr>
          <w:ilvl w:val="0"/>
          <w:numId w:val="2"/>
        </w:numPr>
        <w:pBdr>
          <w:top w:space="0" w:sz="0" w:val="nil"/>
          <w:left w:space="0" w:sz="0" w:val="nil"/>
          <w:bottom w:space="0" w:sz="0" w:val="nil"/>
          <w:right w:space="0" w:sz="0" w:val="nil"/>
          <w:between w:space="0" w:sz="0" w:val="nil"/>
        </w:pBdr>
        <w:tabs>
          <w:tab w:val="left" w:leader="none" w:pos="1134"/>
        </w:tabs>
        <w:spacing w:after="120" w:before="120" w:line="276" w:lineRule="auto"/>
        <w:ind w:left="502" w:hanging="360"/>
        <w:jc w:val="left"/>
        <w:rPr>
          <w:color w:val="000000"/>
          <w:sz w:val="24"/>
          <w:szCs w:val="24"/>
        </w:rPr>
      </w:pPr>
      <w:r w:rsidDel="00000000" w:rsidR="00000000" w:rsidRPr="00000000">
        <w:rPr>
          <w:rFonts w:ascii="Arial" w:cs="Arial" w:eastAsia="Arial" w:hAnsi="Arial"/>
          <w:b w:val="1"/>
          <w:color w:val="000000"/>
          <w:sz w:val="24"/>
          <w:szCs w:val="24"/>
          <w:rtl w:val="0"/>
        </w:rPr>
        <w:t xml:space="preserve">Option 1</w:t>
      </w:r>
      <w:r w:rsidDel="00000000" w:rsidR="00000000" w:rsidRPr="00000000">
        <w:rPr>
          <w:rFonts w:ascii="Arial" w:cs="Arial" w:eastAsia="Arial" w:hAnsi="Arial"/>
          <w:b w:val="1"/>
          <w:sz w:val="24"/>
          <w:szCs w:val="24"/>
          <w:rtl w:val="0"/>
        </w:rPr>
        <w:t xml:space="preserve">- </w:t>
      </w:r>
      <w:r w:rsidDel="00000000" w:rsidR="00000000" w:rsidRPr="00000000">
        <w:rPr>
          <w:rFonts w:ascii="Arial" w:cs="Arial" w:eastAsia="Arial" w:hAnsi="Arial"/>
          <w:b w:val="1"/>
          <w:color w:val="000000"/>
          <w:sz w:val="24"/>
          <w:szCs w:val="24"/>
          <w:rtl w:val="0"/>
        </w:rPr>
        <w:t xml:space="preserve">Award Without Competition</w:t>
      </w:r>
      <w:r w:rsidDel="00000000" w:rsidR="00000000" w:rsidRPr="00000000">
        <w:rPr>
          <w:rtl w:val="0"/>
        </w:rPr>
        <w:t xml:space="preserve"> </w:t>
      </w:r>
      <w:r w:rsidDel="00000000" w:rsidR="00000000" w:rsidRPr="00000000">
        <w:rPr>
          <w:rFonts w:ascii="Arial" w:cs="Arial" w:eastAsia="Arial" w:hAnsi="Arial"/>
          <w:b w:val="1"/>
          <w:color w:val="000000"/>
          <w:sz w:val="24"/>
          <w:szCs w:val="24"/>
          <w:rtl w:val="0"/>
        </w:rPr>
        <w:t xml:space="preserve">TUPE Premium </w:t>
      </w:r>
      <w:r w:rsidDel="00000000" w:rsidR="00000000" w:rsidRPr="00000000">
        <w:rPr>
          <w:rtl w:val="0"/>
        </w:rPr>
      </w:r>
    </w:p>
    <w:p w:rsidR="00000000" w:rsidDel="00000000" w:rsidP="00000000" w:rsidRDefault="00000000" w:rsidRPr="00000000" w14:paraId="00000050">
      <w:pPr>
        <w:numPr>
          <w:ilvl w:val="1"/>
          <w:numId w:val="2"/>
        </w:numPr>
        <w:pBdr>
          <w:top w:space="0" w:sz="0" w:val="nil"/>
          <w:left w:space="0" w:sz="0" w:val="nil"/>
          <w:bottom w:space="0" w:sz="0" w:val="nil"/>
          <w:right w:space="0" w:sz="0" w:val="nil"/>
          <w:between w:space="0" w:sz="0" w:val="nil"/>
        </w:pBdr>
        <w:tabs>
          <w:tab w:val="left" w:leader="none" w:pos="1134"/>
        </w:tabs>
        <w:spacing w:after="120" w:before="120" w:line="276" w:lineRule="auto"/>
        <w:ind w:left="936" w:hanging="576"/>
        <w:jc w:val="left"/>
        <w:rPr>
          <w:rFonts w:ascii="Arial" w:cs="Arial" w:eastAsia="Arial" w:hAnsi="Arial"/>
          <w:color w:val="000000"/>
          <w:sz w:val="24"/>
          <w:szCs w:val="24"/>
        </w:rPr>
      </w:pPr>
      <w:bookmarkStart w:colFirst="0" w:colLast="0" w:name="_heading=h.fb6ijor6y4ir" w:id="7"/>
      <w:bookmarkEnd w:id="7"/>
      <w:r w:rsidDel="00000000" w:rsidR="00000000" w:rsidRPr="00000000">
        <w:rPr>
          <w:rFonts w:ascii="Arial" w:cs="Arial" w:eastAsia="Arial" w:hAnsi="Arial"/>
          <w:color w:val="000000"/>
          <w:sz w:val="24"/>
          <w:szCs w:val="24"/>
          <w:rtl w:val="0"/>
        </w:rPr>
        <w:t xml:space="preserve">The Award Without Competition</w:t>
      </w:r>
      <w:r w:rsidDel="00000000" w:rsidR="00000000" w:rsidRPr="00000000">
        <w:rPr>
          <w:rtl w:val="0"/>
        </w:rPr>
        <w:t xml:space="preserve"> </w:t>
      </w:r>
      <w:r w:rsidDel="00000000" w:rsidR="00000000" w:rsidRPr="00000000">
        <w:rPr>
          <w:rFonts w:ascii="Arial" w:cs="Arial" w:eastAsia="Arial" w:hAnsi="Arial"/>
          <w:color w:val="000000"/>
          <w:sz w:val="24"/>
          <w:szCs w:val="24"/>
          <w:rtl w:val="0"/>
        </w:rPr>
        <w:t xml:space="preserve">TUPE Premium shall be priced for during the Mobilisation Period (as agreed by the Buyer) and shall follow the process described within Option 2 – Adjustable TUPE Premium.</w:t>
      </w:r>
    </w:p>
    <w:p w:rsidR="00000000" w:rsidDel="00000000" w:rsidP="00000000" w:rsidRDefault="00000000" w:rsidRPr="00000000" w14:paraId="00000051">
      <w:pPr>
        <w:numPr>
          <w:ilvl w:val="0"/>
          <w:numId w:val="2"/>
        </w:numPr>
        <w:pBdr>
          <w:top w:space="0" w:sz="0" w:val="nil"/>
          <w:left w:space="0" w:sz="0" w:val="nil"/>
          <w:bottom w:space="0" w:sz="0" w:val="nil"/>
          <w:right w:space="0" w:sz="0" w:val="nil"/>
          <w:between w:space="0" w:sz="0" w:val="nil"/>
        </w:pBdr>
        <w:tabs>
          <w:tab w:val="left" w:leader="none" w:pos="1134"/>
        </w:tabs>
        <w:spacing w:after="120" w:before="120" w:line="276" w:lineRule="auto"/>
        <w:ind w:left="502" w:hanging="360"/>
        <w:jc w:val="left"/>
        <w:rPr>
          <w:rFonts w:ascii="Arial" w:cs="Arial" w:eastAsia="Arial" w:hAnsi="Arial"/>
          <w:b w:val="1"/>
          <w:color w:val="000000"/>
          <w:sz w:val="24"/>
          <w:szCs w:val="24"/>
        </w:rPr>
      </w:pPr>
      <w:bookmarkStart w:colFirst="0" w:colLast="0" w:name="_heading=h.3znysh7" w:id="8"/>
      <w:bookmarkEnd w:id="8"/>
      <w:r w:rsidDel="00000000" w:rsidR="00000000" w:rsidRPr="00000000">
        <w:rPr>
          <w:rFonts w:ascii="Arial" w:cs="Arial" w:eastAsia="Arial" w:hAnsi="Arial"/>
          <w:b w:val="1"/>
          <w:color w:val="000000"/>
          <w:sz w:val="24"/>
          <w:szCs w:val="24"/>
          <w:rtl w:val="0"/>
        </w:rPr>
        <w:t xml:space="preserve">Option 2 - Adjustable TUPE Premium</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52">
      <w:pPr>
        <w:numPr>
          <w:ilvl w:val="1"/>
          <w:numId w:val="2"/>
        </w:numPr>
        <w:pBdr>
          <w:top w:space="0" w:sz="0" w:val="nil"/>
          <w:left w:space="0" w:sz="0" w:val="nil"/>
          <w:bottom w:space="0" w:sz="0" w:val="nil"/>
          <w:right w:space="0" w:sz="0" w:val="nil"/>
          <w:between w:space="0" w:sz="0" w:val="nil"/>
        </w:pBdr>
        <w:tabs>
          <w:tab w:val="left" w:leader="none" w:pos="1134"/>
        </w:tabs>
        <w:spacing w:after="120" w:before="120" w:line="276" w:lineRule="auto"/>
        <w:ind w:left="936" w:hanging="576"/>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The Adjustable TUPE Premium shall be priced for </w:t>
      </w:r>
      <w:r w:rsidDel="00000000" w:rsidR="00000000" w:rsidRPr="00000000">
        <w:rPr>
          <w:rFonts w:ascii="Arial" w:cs="Arial" w:eastAsia="Arial" w:hAnsi="Arial"/>
          <w:sz w:val="24"/>
          <w:szCs w:val="24"/>
          <w:rtl w:val="0"/>
        </w:rPr>
        <w:t xml:space="preserve">as part of a Call-Off Procedure</w:t>
      </w:r>
      <w:r w:rsidDel="00000000" w:rsidR="00000000" w:rsidRPr="00000000">
        <w:rPr>
          <w:rFonts w:ascii="Arial" w:cs="Arial" w:eastAsia="Arial" w:hAnsi="Arial"/>
          <w:color w:val="000000"/>
          <w:sz w:val="24"/>
          <w:szCs w:val="24"/>
          <w:rtl w:val="0"/>
        </w:rPr>
        <w:t xml:space="preserve"> as set out in Annex 1 - </w:t>
      </w:r>
      <w:r w:rsidDel="00000000" w:rsidR="00000000" w:rsidRPr="00000000">
        <w:rPr>
          <w:rFonts w:ascii="Arial" w:cs="Arial" w:eastAsia="Arial" w:hAnsi="Arial"/>
          <w:sz w:val="24"/>
          <w:szCs w:val="24"/>
          <w:rtl w:val="0"/>
        </w:rPr>
        <w:t xml:space="preserve">Call-Off</w:t>
      </w:r>
      <w:r w:rsidDel="00000000" w:rsidR="00000000" w:rsidRPr="00000000">
        <w:rPr>
          <w:rFonts w:ascii="Arial" w:cs="Arial" w:eastAsia="Arial" w:hAnsi="Arial"/>
          <w:color w:val="000000"/>
          <w:sz w:val="24"/>
          <w:szCs w:val="24"/>
          <w:rtl w:val="0"/>
        </w:rPr>
        <w:t xml:space="preserve"> Schedule 5 (</w:t>
      </w:r>
      <w:r w:rsidDel="00000000" w:rsidR="00000000" w:rsidRPr="00000000">
        <w:rPr>
          <w:rFonts w:ascii="Arial" w:cs="Arial" w:eastAsia="Arial" w:hAnsi="Arial"/>
          <w:i w:val="1"/>
          <w:color w:val="000000"/>
          <w:sz w:val="24"/>
          <w:szCs w:val="24"/>
          <w:rtl w:val="0"/>
        </w:rPr>
        <w:t xml:space="preserve">Pricing Details</w:t>
      </w:r>
      <w:r w:rsidDel="00000000" w:rsidR="00000000" w:rsidRPr="00000000">
        <w:rPr>
          <w:rFonts w:ascii="Arial" w:cs="Arial" w:eastAsia="Arial" w:hAnsi="Arial"/>
          <w:color w:val="000000"/>
          <w:sz w:val="24"/>
          <w:szCs w:val="24"/>
          <w:rtl w:val="0"/>
        </w:rPr>
        <w:t xml:space="preserve">).</w:t>
      </w:r>
    </w:p>
    <w:p w:rsidR="00000000" w:rsidDel="00000000" w:rsidP="00000000" w:rsidRDefault="00000000" w:rsidRPr="00000000" w14:paraId="00000053">
      <w:pPr>
        <w:numPr>
          <w:ilvl w:val="2"/>
          <w:numId w:val="2"/>
        </w:numPr>
        <w:pBdr>
          <w:top w:space="0" w:sz="0" w:val="nil"/>
          <w:left w:space="0" w:sz="0" w:val="nil"/>
          <w:bottom w:space="0" w:sz="0" w:val="nil"/>
          <w:right w:space="0" w:sz="0" w:val="nil"/>
          <w:between w:space="0" w:sz="0" w:val="nil"/>
        </w:pBdr>
        <w:tabs>
          <w:tab w:val="left" w:leader="none" w:pos="1985"/>
        </w:tabs>
        <w:spacing w:after="120" w:before="120" w:line="276" w:lineRule="auto"/>
        <w:ind w:left="1620" w:hanging="720"/>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Where a Relevant Transfer takes place, or will take place, the Supplier shall, no later than 20 Working Days after the Relevant Transfer Date, submit to the Buyer:</w:t>
      </w:r>
    </w:p>
    <w:p w:rsidR="00000000" w:rsidDel="00000000" w:rsidP="00000000" w:rsidRDefault="00000000" w:rsidRPr="00000000" w14:paraId="00000054">
      <w:pPr>
        <w:numPr>
          <w:ilvl w:val="3"/>
          <w:numId w:val="2"/>
        </w:numPr>
        <w:pBdr>
          <w:top w:space="0" w:sz="0" w:val="nil"/>
          <w:left w:space="0" w:sz="0" w:val="nil"/>
          <w:bottom w:space="0" w:sz="0" w:val="nil"/>
          <w:right w:space="0" w:sz="0" w:val="nil"/>
          <w:between w:space="0" w:sz="0" w:val="nil"/>
        </w:pBdr>
        <w:tabs>
          <w:tab w:val="left" w:leader="none" w:pos="1985"/>
        </w:tabs>
        <w:spacing w:after="120" w:line="276" w:lineRule="auto"/>
        <w:ind w:left="2733" w:hanging="935"/>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notice that no adjustment is required and the Adjustable TUPE Premium submitted a</w:t>
      </w:r>
      <w:r w:rsidDel="00000000" w:rsidR="00000000" w:rsidRPr="00000000">
        <w:rPr>
          <w:rFonts w:ascii="Arial" w:cs="Arial" w:eastAsia="Arial" w:hAnsi="Arial"/>
          <w:sz w:val="24"/>
          <w:szCs w:val="24"/>
          <w:rtl w:val="0"/>
        </w:rPr>
        <w:t xml:space="preserve">s part of the Call-Off Procedure shall </w:t>
      </w:r>
      <w:r w:rsidDel="00000000" w:rsidR="00000000" w:rsidRPr="00000000">
        <w:rPr>
          <w:rFonts w:ascii="Arial" w:cs="Arial" w:eastAsia="Arial" w:hAnsi="Arial"/>
          <w:color w:val="000000"/>
          <w:sz w:val="24"/>
          <w:szCs w:val="24"/>
          <w:rtl w:val="0"/>
        </w:rPr>
        <w:t xml:space="preserve">be used, </w:t>
      </w:r>
      <w:r w:rsidDel="00000000" w:rsidR="00000000" w:rsidRPr="00000000">
        <w:rPr>
          <w:rFonts w:ascii="Arial" w:cs="Arial" w:eastAsia="Arial" w:hAnsi="Arial"/>
          <w:sz w:val="24"/>
          <w:szCs w:val="24"/>
          <w:rtl w:val="0"/>
        </w:rPr>
        <w:t xml:space="preserve">if approved by the Buyer</w:t>
      </w:r>
      <w:r w:rsidDel="00000000" w:rsidR="00000000" w:rsidRPr="00000000">
        <w:rPr>
          <w:rFonts w:ascii="Arial" w:cs="Arial" w:eastAsia="Arial" w:hAnsi="Arial"/>
          <w:color w:val="000000"/>
          <w:sz w:val="24"/>
          <w:szCs w:val="24"/>
          <w:rtl w:val="0"/>
        </w:rPr>
        <w:t xml:space="preserve">; or</w:t>
      </w:r>
    </w:p>
    <w:p w:rsidR="00000000" w:rsidDel="00000000" w:rsidP="00000000" w:rsidRDefault="00000000" w:rsidRPr="00000000" w14:paraId="00000055">
      <w:pPr>
        <w:numPr>
          <w:ilvl w:val="3"/>
          <w:numId w:val="2"/>
        </w:numPr>
        <w:pBdr>
          <w:top w:space="0" w:sz="0" w:val="nil"/>
          <w:left w:space="0" w:sz="0" w:val="nil"/>
          <w:bottom w:space="0" w:sz="0" w:val="nil"/>
          <w:right w:space="0" w:sz="0" w:val="nil"/>
          <w:between w:space="0" w:sz="0" w:val="nil"/>
        </w:pBdr>
        <w:tabs>
          <w:tab w:val="left" w:leader="none" w:pos="1985"/>
        </w:tabs>
        <w:spacing w:after="120" w:line="276" w:lineRule="auto"/>
        <w:ind w:left="2733" w:hanging="935"/>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its updated calculation of the Adjustable TUPE Premium together with a breakdown and supporting evidence as may be reasonably required for the Buyer to corroborate and assess the calculation of the Adjustable TUPE Premium.</w:t>
      </w:r>
    </w:p>
    <w:p w:rsidR="00000000" w:rsidDel="00000000" w:rsidP="00000000" w:rsidRDefault="00000000" w:rsidRPr="00000000" w14:paraId="00000056">
      <w:pPr>
        <w:numPr>
          <w:ilvl w:val="2"/>
          <w:numId w:val="2"/>
        </w:numPr>
        <w:pBdr>
          <w:top w:space="0" w:sz="0" w:val="nil"/>
          <w:left w:space="0" w:sz="0" w:val="nil"/>
          <w:bottom w:space="0" w:sz="0" w:val="nil"/>
          <w:right w:space="0" w:sz="0" w:val="nil"/>
          <w:between w:space="0" w:sz="0" w:val="nil"/>
        </w:pBdr>
        <w:tabs>
          <w:tab w:val="left" w:leader="none" w:pos="1985"/>
        </w:tabs>
        <w:spacing w:after="120" w:before="120" w:line="276" w:lineRule="auto"/>
        <w:ind w:left="1620" w:hanging="720"/>
        <w:jc w:val="left"/>
        <w:rPr>
          <w:rFonts w:ascii="Arial" w:cs="Arial" w:eastAsia="Arial" w:hAnsi="Arial"/>
          <w:color w:val="000000"/>
          <w:sz w:val="24"/>
          <w:szCs w:val="24"/>
        </w:rPr>
      </w:pPr>
      <w:bookmarkStart w:colFirst="0" w:colLast="0" w:name="_heading=h.2et92p0" w:id="9"/>
      <w:bookmarkEnd w:id="9"/>
      <w:r w:rsidDel="00000000" w:rsidR="00000000" w:rsidRPr="00000000">
        <w:rPr>
          <w:rFonts w:ascii="Arial" w:cs="Arial" w:eastAsia="Arial" w:hAnsi="Arial"/>
          <w:color w:val="000000"/>
          <w:sz w:val="24"/>
          <w:szCs w:val="24"/>
          <w:rtl w:val="0"/>
        </w:rPr>
        <w:t xml:space="preserve">The Buyer may grant the request, if:</w:t>
      </w:r>
    </w:p>
    <w:p w:rsidR="00000000" w:rsidDel="00000000" w:rsidP="00000000" w:rsidRDefault="00000000" w:rsidRPr="00000000" w14:paraId="00000057">
      <w:pPr>
        <w:numPr>
          <w:ilvl w:val="3"/>
          <w:numId w:val="2"/>
        </w:numPr>
        <w:pBdr>
          <w:top w:space="0" w:sz="0" w:val="nil"/>
          <w:left w:space="0" w:sz="0" w:val="nil"/>
          <w:bottom w:space="0" w:sz="0" w:val="nil"/>
          <w:right w:space="0" w:sz="0" w:val="nil"/>
          <w:between w:space="0" w:sz="0" w:val="nil"/>
        </w:pBdr>
        <w:tabs>
          <w:tab w:val="left" w:leader="none" w:pos="1985"/>
        </w:tabs>
        <w:spacing w:after="120" w:line="276" w:lineRule="auto"/>
        <w:ind w:left="2733" w:hanging="935"/>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the Supplier can evidence any inaccuracies or omissions in the information in the following areas provided </w:t>
      </w:r>
      <w:r w:rsidDel="00000000" w:rsidR="00000000" w:rsidRPr="00000000">
        <w:rPr>
          <w:rFonts w:ascii="Arial" w:cs="Arial" w:eastAsia="Arial" w:hAnsi="Arial"/>
          <w:sz w:val="24"/>
          <w:szCs w:val="24"/>
          <w:rtl w:val="0"/>
        </w:rPr>
        <w:t xml:space="preserve">as part of the Call-Off Procedure</w:t>
      </w:r>
      <w:r w:rsidDel="00000000" w:rsidR="00000000" w:rsidRPr="00000000">
        <w:rPr>
          <w:rFonts w:ascii="Arial" w:cs="Arial" w:eastAsia="Arial" w:hAnsi="Arial"/>
          <w:color w:val="000000"/>
          <w:sz w:val="24"/>
          <w:szCs w:val="24"/>
          <w:rtl w:val="0"/>
        </w:rPr>
        <w:t xml:space="preserve">: </w:t>
      </w:r>
    </w:p>
    <w:p w:rsidR="00000000" w:rsidDel="00000000" w:rsidP="00000000" w:rsidRDefault="00000000" w:rsidRPr="00000000" w14:paraId="00000058">
      <w:pPr>
        <w:numPr>
          <w:ilvl w:val="4"/>
          <w:numId w:val="2"/>
        </w:numPr>
        <w:pBdr>
          <w:top w:space="0" w:sz="0" w:val="nil"/>
          <w:left w:space="0" w:sz="0" w:val="nil"/>
          <w:bottom w:space="0" w:sz="0" w:val="nil"/>
          <w:right w:space="0" w:sz="0" w:val="nil"/>
          <w:between w:space="0" w:sz="0" w:val="nil"/>
        </w:pBdr>
        <w:tabs>
          <w:tab w:val="left" w:leader="none" w:pos="1985"/>
        </w:tabs>
        <w:spacing w:after="120" w:before="120" w:line="276" w:lineRule="auto"/>
        <w:ind w:left="3150" w:hanging="540"/>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TUPE Count; </w:t>
      </w:r>
    </w:p>
    <w:p w:rsidR="00000000" w:rsidDel="00000000" w:rsidP="00000000" w:rsidRDefault="00000000" w:rsidRPr="00000000" w14:paraId="00000059">
      <w:pPr>
        <w:numPr>
          <w:ilvl w:val="4"/>
          <w:numId w:val="2"/>
        </w:numPr>
        <w:pBdr>
          <w:top w:space="0" w:sz="0" w:val="nil"/>
          <w:left w:space="0" w:sz="0" w:val="nil"/>
          <w:bottom w:space="0" w:sz="0" w:val="nil"/>
          <w:right w:space="0" w:sz="0" w:val="nil"/>
          <w:between w:space="0" w:sz="0" w:val="nil"/>
        </w:pBdr>
        <w:tabs>
          <w:tab w:val="left" w:leader="none" w:pos="1985"/>
        </w:tabs>
        <w:spacing w:after="120" w:before="120" w:line="276" w:lineRule="auto"/>
        <w:ind w:left="3150" w:hanging="540"/>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any costs covered by the Adjustable TUPE Premium; and/or</w:t>
      </w:r>
    </w:p>
    <w:p w:rsidR="00000000" w:rsidDel="00000000" w:rsidP="00000000" w:rsidRDefault="00000000" w:rsidRPr="00000000" w14:paraId="0000005A">
      <w:pPr>
        <w:numPr>
          <w:ilvl w:val="3"/>
          <w:numId w:val="2"/>
        </w:numPr>
        <w:pBdr>
          <w:top w:space="0" w:sz="0" w:val="nil"/>
          <w:left w:space="0" w:sz="0" w:val="nil"/>
          <w:bottom w:space="0" w:sz="0" w:val="nil"/>
          <w:right w:space="0" w:sz="0" w:val="nil"/>
          <w:between w:space="0" w:sz="0" w:val="nil"/>
        </w:pBdr>
        <w:tabs>
          <w:tab w:val="left" w:leader="none" w:pos="1985"/>
        </w:tabs>
        <w:spacing w:after="120" w:line="276" w:lineRule="auto"/>
        <w:ind w:left="2733" w:hanging="935"/>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there are any other unknown costs arising directly from the contract of employment of the Transferring Former Supplier Employee and/or Transferring Buyer Employee, </w:t>
      </w:r>
    </w:p>
    <w:p w:rsidR="00000000" w:rsidDel="00000000" w:rsidP="00000000" w:rsidRDefault="00000000" w:rsidRPr="00000000" w14:paraId="0000005B">
      <w:pPr>
        <w:pBdr>
          <w:top w:space="0" w:sz="0" w:val="nil"/>
          <w:left w:space="0" w:sz="0" w:val="nil"/>
          <w:bottom w:space="0" w:sz="0" w:val="nil"/>
          <w:right w:space="0" w:sz="0" w:val="nil"/>
          <w:between w:space="0" w:sz="0" w:val="nil"/>
        </w:pBdr>
        <w:tabs>
          <w:tab w:val="left" w:leader="none" w:pos="1985"/>
        </w:tabs>
        <w:spacing w:after="120" w:before="120" w:line="276" w:lineRule="auto"/>
        <w:ind w:left="1620" w:hanging="720"/>
        <w:jc w:val="left"/>
        <w:rPr>
          <w:rFonts w:ascii="Arial" w:cs="Arial" w:eastAsia="Arial" w:hAnsi="Arial"/>
          <w:color w:val="000000"/>
          <w:sz w:val="24"/>
          <w:szCs w:val="24"/>
        </w:rPr>
      </w:pP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color w:val="000000"/>
          <w:sz w:val="24"/>
          <w:szCs w:val="24"/>
          <w:rtl w:val="0"/>
        </w:rPr>
        <w:t xml:space="preserve">and where a full breakdown and supporting evidence is submitted in support of a request to adjust the Adjustable TUPE Premium. </w:t>
      </w:r>
    </w:p>
    <w:p w:rsidR="00000000" w:rsidDel="00000000" w:rsidP="00000000" w:rsidRDefault="00000000" w:rsidRPr="00000000" w14:paraId="0000005C">
      <w:pPr>
        <w:numPr>
          <w:ilvl w:val="2"/>
          <w:numId w:val="2"/>
        </w:numPr>
        <w:pBdr>
          <w:top w:space="0" w:sz="0" w:val="nil"/>
          <w:left w:space="0" w:sz="0" w:val="nil"/>
          <w:bottom w:space="0" w:sz="0" w:val="nil"/>
          <w:right w:space="0" w:sz="0" w:val="nil"/>
          <w:between w:space="0" w:sz="0" w:val="nil"/>
        </w:pBdr>
        <w:tabs>
          <w:tab w:val="left" w:leader="none" w:pos="1985"/>
        </w:tabs>
        <w:spacing w:after="120" w:before="120" w:line="276" w:lineRule="auto"/>
        <w:ind w:left="1620" w:hanging="720"/>
        <w:jc w:val="left"/>
        <w:rPr>
          <w:rFonts w:ascii="Arial" w:cs="Arial" w:eastAsia="Arial" w:hAnsi="Arial"/>
          <w:color w:val="000000"/>
          <w:sz w:val="24"/>
          <w:szCs w:val="24"/>
        </w:rPr>
      </w:pPr>
      <w:r w:rsidDel="00000000" w:rsidR="00000000" w:rsidRPr="00000000">
        <w:rPr>
          <w:rFonts w:ascii="Arial" w:cs="Arial" w:eastAsia="Arial" w:hAnsi="Arial"/>
          <w:sz w:val="24"/>
          <w:szCs w:val="24"/>
          <w:rtl w:val="0"/>
        </w:rPr>
        <w:t xml:space="preserve">Upon </w:t>
      </w:r>
      <w:r w:rsidDel="00000000" w:rsidR="00000000" w:rsidRPr="00000000">
        <w:rPr>
          <w:rFonts w:ascii="Arial" w:cs="Arial" w:eastAsia="Arial" w:hAnsi="Arial"/>
          <w:color w:val="000000"/>
          <w:sz w:val="24"/>
          <w:szCs w:val="24"/>
          <w:rtl w:val="0"/>
        </w:rPr>
        <w:t xml:space="preserve">receipt of the Suppliers calculation of the Adjustable TUPE Premium and, if applicable, a request for an Adjustable TUPE Premium</w:t>
      </w:r>
      <w:r w:rsidDel="00000000" w:rsidR="00000000" w:rsidRPr="00000000">
        <w:rPr>
          <w:rtl w:val="0"/>
        </w:rPr>
        <w:t xml:space="preserve"> </w:t>
      </w:r>
      <w:r w:rsidDel="00000000" w:rsidR="00000000" w:rsidRPr="00000000">
        <w:rPr>
          <w:rFonts w:ascii="Arial" w:cs="Arial" w:eastAsia="Arial" w:hAnsi="Arial"/>
          <w:color w:val="000000"/>
          <w:sz w:val="24"/>
          <w:szCs w:val="24"/>
          <w:rtl w:val="0"/>
        </w:rPr>
        <w:t xml:space="preserve">adjustment, the Buyer shall either:</w:t>
      </w:r>
    </w:p>
    <w:p w:rsidR="00000000" w:rsidDel="00000000" w:rsidP="00000000" w:rsidRDefault="00000000" w:rsidRPr="00000000" w14:paraId="0000005D">
      <w:pPr>
        <w:numPr>
          <w:ilvl w:val="3"/>
          <w:numId w:val="2"/>
        </w:numPr>
        <w:pBdr>
          <w:top w:space="0" w:sz="0" w:val="nil"/>
          <w:left w:space="0" w:sz="0" w:val="nil"/>
          <w:bottom w:space="0" w:sz="0" w:val="nil"/>
          <w:right w:space="0" w:sz="0" w:val="nil"/>
          <w:between w:space="0" w:sz="0" w:val="nil"/>
        </w:pBdr>
        <w:tabs>
          <w:tab w:val="left" w:leader="none" w:pos="1985"/>
        </w:tabs>
        <w:spacing w:after="120" w:line="276" w:lineRule="auto"/>
        <w:ind w:left="2733" w:hanging="935"/>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Notify the Supplier in writing of acceptance of the Adjustable TUPE Premium and,</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color w:val="000000"/>
          <w:sz w:val="24"/>
          <w:szCs w:val="24"/>
          <w:rtl w:val="0"/>
        </w:rPr>
        <w:t xml:space="preserve">if applicable, the Adjustable TUPE Premium</w:t>
      </w:r>
      <w:r w:rsidDel="00000000" w:rsidR="00000000" w:rsidRPr="00000000">
        <w:rPr>
          <w:rtl w:val="0"/>
        </w:rPr>
        <w:t xml:space="preserve"> </w:t>
      </w:r>
      <w:r w:rsidDel="00000000" w:rsidR="00000000" w:rsidRPr="00000000">
        <w:rPr>
          <w:rFonts w:ascii="Arial" w:cs="Arial" w:eastAsia="Arial" w:hAnsi="Arial"/>
          <w:color w:val="000000"/>
          <w:sz w:val="24"/>
          <w:szCs w:val="24"/>
          <w:rtl w:val="0"/>
        </w:rPr>
        <w:t xml:space="preserve"> adjustment relating to the Relevant Transfer; </w:t>
      </w:r>
    </w:p>
    <w:p w:rsidR="00000000" w:rsidDel="00000000" w:rsidP="00000000" w:rsidRDefault="00000000" w:rsidRPr="00000000" w14:paraId="0000005E">
      <w:pPr>
        <w:numPr>
          <w:ilvl w:val="3"/>
          <w:numId w:val="2"/>
        </w:numPr>
        <w:pBdr>
          <w:top w:space="0" w:sz="0" w:val="nil"/>
          <w:left w:space="0" w:sz="0" w:val="nil"/>
          <w:bottom w:space="0" w:sz="0" w:val="nil"/>
          <w:right w:space="0" w:sz="0" w:val="nil"/>
          <w:between w:space="0" w:sz="0" w:val="nil"/>
        </w:pBdr>
        <w:tabs>
          <w:tab w:val="left" w:leader="none" w:pos="1985"/>
        </w:tabs>
        <w:spacing w:after="120" w:line="276" w:lineRule="auto"/>
        <w:ind w:left="2733" w:hanging="935"/>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Request further information/evidence; and/or</w:t>
      </w:r>
    </w:p>
    <w:p w:rsidR="00000000" w:rsidDel="00000000" w:rsidP="00000000" w:rsidRDefault="00000000" w:rsidRPr="00000000" w14:paraId="0000005F">
      <w:pPr>
        <w:numPr>
          <w:ilvl w:val="3"/>
          <w:numId w:val="2"/>
        </w:numPr>
        <w:pBdr>
          <w:top w:space="0" w:sz="0" w:val="nil"/>
          <w:left w:space="0" w:sz="0" w:val="nil"/>
          <w:bottom w:space="0" w:sz="0" w:val="nil"/>
          <w:right w:space="0" w:sz="0" w:val="nil"/>
          <w:between w:space="0" w:sz="0" w:val="nil"/>
        </w:pBdr>
        <w:tabs>
          <w:tab w:val="left" w:leader="none" w:pos="1985"/>
        </w:tabs>
        <w:spacing w:after="120" w:line="276" w:lineRule="auto"/>
        <w:ind w:left="2733" w:hanging="935"/>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Request a meeting to discuss/clarify the evidence provided.</w:t>
      </w:r>
    </w:p>
    <w:p w:rsidR="00000000" w:rsidDel="00000000" w:rsidP="00000000" w:rsidRDefault="00000000" w:rsidRPr="00000000" w14:paraId="00000060">
      <w:pPr>
        <w:numPr>
          <w:ilvl w:val="2"/>
          <w:numId w:val="2"/>
        </w:numPr>
        <w:pBdr>
          <w:top w:space="0" w:sz="0" w:val="nil"/>
          <w:left w:space="0" w:sz="0" w:val="nil"/>
          <w:bottom w:space="0" w:sz="0" w:val="nil"/>
          <w:right w:space="0" w:sz="0" w:val="nil"/>
          <w:between w:space="0" w:sz="0" w:val="nil"/>
        </w:pBdr>
        <w:tabs>
          <w:tab w:val="left" w:leader="none" w:pos="1985"/>
        </w:tabs>
        <w:spacing w:after="120" w:before="120" w:line="276" w:lineRule="auto"/>
        <w:ind w:left="1620" w:hanging="720"/>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Where the Adjustable TUPE Premium is agreed following the receipt of further information/evidence or following a meeting, the Buyer shall notify the Supplier in writing and confirm the Adjustable TUPE Premium to apply. </w:t>
      </w:r>
    </w:p>
    <w:p w:rsidR="00000000" w:rsidDel="00000000" w:rsidP="00000000" w:rsidRDefault="00000000" w:rsidRPr="00000000" w14:paraId="00000061">
      <w:pPr>
        <w:numPr>
          <w:ilvl w:val="2"/>
          <w:numId w:val="2"/>
        </w:numPr>
        <w:pBdr>
          <w:top w:space="0" w:sz="0" w:val="nil"/>
          <w:left w:space="0" w:sz="0" w:val="nil"/>
          <w:bottom w:space="0" w:sz="0" w:val="nil"/>
          <w:right w:space="0" w:sz="0" w:val="nil"/>
          <w:between w:space="0" w:sz="0" w:val="nil"/>
        </w:pBdr>
        <w:tabs>
          <w:tab w:val="left" w:leader="none" w:pos="1985"/>
        </w:tabs>
        <w:spacing w:after="120" w:before="120" w:line="276" w:lineRule="auto"/>
        <w:ind w:left="1620" w:hanging="720"/>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Where the Supplier requests an Adjustable TUPE Premium</w:t>
      </w:r>
      <w:r w:rsidDel="00000000" w:rsidR="00000000" w:rsidRPr="00000000">
        <w:rPr>
          <w:rtl w:val="0"/>
        </w:rPr>
        <w:t xml:space="preserve">     </w:t>
      </w:r>
      <w:r w:rsidDel="00000000" w:rsidR="00000000" w:rsidRPr="00000000">
        <w:rPr>
          <w:rFonts w:ascii="Arial" w:cs="Arial" w:eastAsia="Arial" w:hAnsi="Arial"/>
          <w:color w:val="000000"/>
          <w:sz w:val="24"/>
          <w:szCs w:val="24"/>
          <w:rtl w:val="0"/>
        </w:rPr>
        <w:t xml:space="preserve"> adjustment and it is agreed by the Buyer, the Adjustable TUPE Premium shall be adjusted accordingly.</w:t>
      </w:r>
    </w:p>
    <w:p w:rsidR="00000000" w:rsidDel="00000000" w:rsidP="00000000" w:rsidRDefault="00000000" w:rsidRPr="00000000" w14:paraId="00000062">
      <w:pPr>
        <w:numPr>
          <w:ilvl w:val="2"/>
          <w:numId w:val="2"/>
        </w:numPr>
        <w:pBdr>
          <w:top w:space="0" w:sz="0" w:val="nil"/>
          <w:left w:space="0" w:sz="0" w:val="nil"/>
          <w:bottom w:space="0" w:sz="0" w:val="nil"/>
          <w:right w:space="0" w:sz="0" w:val="nil"/>
          <w:between w:space="0" w:sz="0" w:val="nil"/>
        </w:pBdr>
        <w:tabs>
          <w:tab w:val="left" w:leader="none" w:pos="1985"/>
        </w:tabs>
        <w:spacing w:after="120" w:before="120" w:line="276" w:lineRule="auto"/>
        <w:ind w:left="1620" w:hanging="720"/>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In the event that the Parties are unable to agree </w:t>
      </w:r>
      <w:r w:rsidDel="00000000" w:rsidR="00000000" w:rsidRPr="00000000">
        <w:rPr>
          <w:rFonts w:ascii="Arial" w:cs="Arial" w:eastAsia="Arial" w:hAnsi="Arial"/>
          <w:sz w:val="24"/>
          <w:szCs w:val="24"/>
          <w:rtl w:val="0"/>
        </w:rPr>
        <w:t xml:space="preserve">a final</w:t>
      </w:r>
      <w:r w:rsidDel="00000000" w:rsidR="00000000" w:rsidRPr="00000000">
        <w:rPr>
          <w:rFonts w:ascii="Arial" w:cs="Arial" w:eastAsia="Arial" w:hAnsi="Arial"/>
          <w:color w:val="000000"/>
          <w:sz w:val="24"/>
          <w:szCs w:val="24"/>
          <w:rtl w:val="0"/>
        </w:rPr>
        <w:t xml:space="preserve"> Adjustable TUPE Premium the Parties shall follow the Dispute Resolution Procedure.</w:t>
      </w:r>
    </w:p>
    <w:p w:rsidR="00000000" w:rsidDel="00000000" w:rsidP="00000000" w:rsidRDefault="00000000" w:rsidRPr="00000000" w14:paraId="00000063">
      <w:pPr>
        <w:numPr>
          <w:ilvl w:val="2"/>
          <w:numId w:val="2"/>
        </w:numPr>
        <w:pBdr>
          <w:top w:space="0" w:sz="0" w:val="nil"/>
          <w:left w:space="0" w:sz="0" w:val="nil"/>
          <w:bottom w:space="0" w:sz="0" w:val="nil"/>
          <w:right w:space="0" w:sz="0" w:val="nil"/>
          <w:between w:space="0" w:sz="0" w:val="nil"/>
        </w:pBdr>
        <w:tabs>
          <w:tab w:val="left" w:leader="none" w:pos="1985"/>
        </w:tabs>
        <w:spacing w:after="120" w:before="120" w:line="276" w:lineRule="auto"/>
        <w:ind w:left="1620" w:hanging="720"/>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On agreement of the Adjustable TUPE Premium</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color w:val="000000"/>
          <w:sz w:val="24"/>
          <w:szCs w:val="24"/>
          <w:rtl w:val="0"/>
        </w:rPr>
        <w:t xml:space="preserve"> the Adjustable TUPE Premium Average shall be calculated and this </w:t>
      </w:r>
      <w:r w:rsidDel="00000000" w:rsidR="00000000" w:rsidRPr="00000000">
        <w:rPr>
          <w:rFonts w:ascii="Arial" w:cs="Arial" w:eastAsia="Arial" w:hAnsi="Arial"/>
          <w:sz w:val="24"/>
          <w:szCs w:val="24"/>
          <w:rtl w:val="0"/>
        </w:rPr>
        <w:t xml:space="preserve">shall</w:t>
      </w:r>
      <w:r w:rsidDel="00000000" w:rsidR="00000000" w:rsidRPr="00000000">
        <w:rPr>
          <w:rFonts w:ascii="Arial" w:cs="Arial" w:eastAsia="Arial" w:hAnsi="Arial"/>
          <w:color w:val="000000"/>
          <w:sz w:val="24"/>
          <w:szCs w:val="24"/>
          <w:rtl w:val="0"/>
        </w:rPr>
        <w:t xml:space="preserve"> be used as the basis for the annual review of the Adjustable TUPE Premium.</w:t>
      </w:r>
    </w:p>
    <w:p w:rsidR="00000000" w:rsidDel="00000000" w:rsidP="00000000" w:rsidRDefault="00000000" w:rsidRPr="00000000" w14:paraId="00000064">
      <w:pPr>
        <w:numPr>
          <w:ilvl w:val="1"/>
          <w:numId w:val="2"/>
        </w:numPr>
        <w:pBdr>
          <w:top w:space="0" w:sz="0" w:val="nil"/>
          <w:left w:space="0" w:sz="0" w:val="nil"/>
          <w:bottom w:space="0" w:sz="0" w:val="nil"/>
          <w:right w:space="0" w:sz="0" w:val="nil"/>
          <w:between w:space="0" w:sz="0" w:val="nil"/>
        </w:pBdr>
        <w:tabs>
          <w:tab w:val="left" w:leader="none" w:pos="1134"/>
        </w:tabs>
        <w:spacing w:after="120" w:before="120" w:line="276" w:lineRule="auto"/>
        <w:ind w:left="936" w:hanging="576"/>
        <w:jc w:val="left"/>
        <w:rPr>
          <w:rFonts w:ascii="Arial" w:cs="Arial" w:eastAsia="Arial" w:hAnsi="Arial"/>
          <w:color w:val="000000"/>
          <w:sz w:val="24"/>
          <w:szCs w:val="24"/>
        </w:rPr>
      </w:pPr>
      <w:r w:rsidDel="00000000" w:rsidR="00000000" w:rsidRPr="00000000">
        <w:rPr>
          <w:rFonts w:ascii="Arial" w:cs="Arial" w:eastAsia="Arial" w:hAnsi="Arial"/>
          <w:b w:val="1"/>
          <w:color w:val="000000"/>
          <w:sz w:val="24"/>
          <w:szCs w:val="24"/>
          <w:rtl w:val="0"/>
        </w:rPr>
        <w:t xml:space="preserve">Annual review of the Adjustable TUPE Premium</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65">
      <w:pPr>
        <w:numPr>
          <w:ilvl w:val="2"/>
          <w:numId w:val="2"/>
        </w:numPr>
        <w:pBdr>
          <w:top w:space="0" w:sz="0" w:val="nil"/>
          <w:left w:space="0" w:sz="0" w:val="nil"/>
          <w:bottom w:space="0" w:sz="0" w:val="nil"/>
          <w:right w:space="0" w:sz="0" w:val="nil"/>
          <w:between w:space="0" w:sz="0" w:val="nil"/>
        </w:pBdr>
        <w:tabs>
          <w:tab w:val="left" w:leader="none" w:pos="1985"/>
        </w:tabs>
        <w:spacing w:after="120" w:before="120" w:line="276" w:lineRule="auto"/>
        <w:ind w:left="1620" w:hanging="720"/>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The Adjustable TUPE Premium shall be reviewed by the Buyer at the commencement of each Contract Year.</w:t>
      </w:r>
    </w:p>
    <w:p w:rsidR="00000000" w:rsidDel="00000000" w:rsidP="00000000" w:rsidRDefault="00000000" w:rsidRPr="00000000" w14:paraId="00000066">
      <w:pPr>
        <w:numPr>
          <w:ilvl w:val="2"/>
          <w:numId w:val="2"/>
        </w:numPr>
        <w:pBdr>
          <w:top w:space="0" w:sz="0" w:val="nil"/>
          <w:left w:space="0" w:sz="0" w:val="nil"/>
          <w:bottom w:space="0" w:sz="0" w:val="nil"/>
          <w:right w:space="0" w:sz="0" w:val="nil"/>
          <w:between w:space="0" w:sz="0" w:val="nil"/>
        </w:pBdr>
        <w:tabs>
          <w:tab w:val="left" w:leader="none" w:pos="1985"/>
        </w:tabs>
        <w:spacing w:after="120" w:before="120" w:line="276" w:lineRule="auto"/>
        <w:ind w:left="1620" w:hanging="720"/>
        <w:jc w:val="left"/>
        <w:rPr>
          <w:rFonts w:ascii="Arial" w:cs="Arial" w:eastAsia="Arial" w:hAnsi="Arial"/>
          <w:color w:val="000000"/>
          <w:sz w:val="24"/>
          <w:szCs w:val="24"/>
        </w:rPr>
      </w:pPr>
      <w:bookmarkStart w:colFirst="0" w:colLast="0" w:name="_heading=h.tyjcwt" w:id="10"/>
      <w:bookmarkEnd w:id="10"/>
      <w:r w:rsidDel="00000000" w:rsidR="00000000" w:rsidRPr="00000000">
        <w:rPr>
          <w:rFonts w:ascii="Arial" w:cs="Arial" w:eastAsia="Arial" w:hAnsi="Arial"/>
          <w:color w:val="000000"/>
          <w:sz w:val="24"/>
          <w:szCs w:val="24"/>
          <w:rtl w:val="0"/>
        </w:rPr>
        <w:t xml:space="preserve">The Supplier shall submit to the Buyer, no later than 20 Working Days prior to the beginning of each Contract Year, evidence of any change to the TUPE Count in the previous Contract Year or since it was last adjusted. </w:t>
      </w:r>
    </w:p>
    <w:p w:rsidR="00000000" w:rsidDel="00000000" w:rsidP="00000000" w:rsidRDefault="00000000" w:rsidRPr="00000000" w14:paraId="00000067">
      <w:pPr>
        <w:numPr>
          <w:ilvl w:val="2"/>
          <w:numId w:val="2"/>
        </w:numPr>
        <w:pBdr>
          <w:top w:space="0" w:sz="0" w:val="nil"/>
          <w:left w:space="0" w:sz="0" w:val="nil"/>
          <w:bottom w:space="0" w:sz="0" w:val="nil"/>
          <w:right w:space="0" w:sz="0" w:val="nil"/>
          <w:between w:space="0" w:sz="0" w:val="nil"/>
        </w:pBdr>
        <w:tabs>
          <w:tab w:val="left" w:leader="none" w:pos="1985"/>
        </w:tabs>
        <w:spacing w:after="120" w:before="120" w:line="276" w:lineRule="auto"/>
        <w:ind w:left="1620" w:hanging="720"/>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Where the TUPE Count is less than the TUPE Count in the previous Contract Year, the Adjustable TUPE Premium shall be adjusted using the following calculation:</w:t>
      </w:r>
    </w:p>
    <w:p w:rsidR="00000000" w:rsidDel="00000000" w:rsidP="00000000" w:rsidRDefault="00000000" w:rsidRPr="00000000" w14:paraId="00000068">
      <w:pPr>
        <w:pBdr>
          <w:top w:space="0" w:sz="0" w:val="nil"/>
          <w:left w:space="0" w:sz="0" w:val="nil"/>
          <w:bottom w:space="0" w:sz="0" w:val="nil"/>
          <w:right w:space="0" w:sz="0" w:val="nil"/>
          <w:between w:space="0" w:sz="0" w:val="nil"/>
        </w:pBdr>
        <w:tabs>
          <w:tab w:val="left" w:leader="none" w:pos="1985"/>
        </w:tabs>
        <w:spacing w:after="120" w:before="120" w:line="276" w:lineRule="auto"/>
        <w:ind w:left="1985" w:firstLine="0"/>
        <w:jc w:val="left"/>
        <w:rPr>
          <w:rFonts w:ascii="Arial" w:cs="Arial" w:eastAsia="Arial" w:hAnsi="Arial"/>
          <w:i w:val="1"/>
          <w:color w:val="000000"/>
          <w:sz w:val="24"/>
          <w:szCs w:val="24"/>
        </w:rPr>
      </w:pPr>
      <w:r w:rsidDel="00000000" w:rsidR="00000000" w:rsidRPr="00000000">
        <w:rPr>
          <w:rFonts w:ascii="Arial" w:cs="Arial" w:eastAsia="Arial" w:hAnsi="Arial"/>
          <w:i w:val="1"/>
          <w:color w:val="000000"/>
          <w:sz w:val="24"/>
          <w:szCs w:val="24"/>
          <w:rtl w:val="0"/>
        </w:rPr>
        <w:t xml:space="preserve">Difference in TUPE Count (Previous Contract Year less current Contract Year) x TUPE Premium Average.</w:t>
      </w:r>
    </w:p>
    <w:p w:rsidR="00000000" w:rsidDel="00000000" w:rsidP="00000000" w:rsidRDefault="00000000" w:rsidRPr="00000000" w14:paraId="00000069">
      <w:pPr>
        <w:numPr>
          <w:ilvl w:val="2"/>
          <w:numId w:val="2"/>
        </w:numPr>
        <w:pBdr>
          <w:top w:space="0" w:sz="0" w:val="nil"/>
          <w:left w:space="0" w:sz="0" w:val="nil"/>
          <w:bottom w:space="0" w:sz="0" w:val="nil"/>
          <w:right w:space="0" w:sz="0" w:val="nil"/>
          <w:between w:space="0" w:sz="0" w:val="nil"/>
        </w:pBdr>
        <w:tabs>
          <w:tab w:val="left" w:leader="none" w:pos="1985"/>
        </w:tabs>
        <w:spacing w:after="120" w:before="120" w:line="276" w:lineRule="auto"/>
        <w:ind w:left="1620" w:hanging="720"/>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The Buyer shall cease to be liable to pay the Adjustable TUPE Premium Average in respect of a particular Transferring Former Supplier Employee or a Transferring Buyer Employee from the date upon which he ceases to be employed by the Supplier or engaged on this Contract (whichever occurs the earliest).</w:t>
      </w:r>
    </w:p>
    <w:p w:rsidR="00000000" w:rsidDel="00000000" w:rsidP="00000000" w:rsidRDefault="00000000" w:rsidRPr="00000000" w14:paraId="0000006A">
      <w:pPr>
        <w:numPr>
          <w:ilvl w:val="3"/>
          <w:numId w:val="2"/>
        </w:numPr>
        <w:pBdr>
          <w:top w:space="0" w:sz="0" w:val="nil"/>
          <w:left w:space="0" w:sz="0" w:val="nil"/>
          <w:bottom w:space="0" w:sz="0" w:val="nil"/>
          <w:right w:space="0" w:sz="0" w:val="nil"/>
          <w:between w:space="0" w:sz="0" w:val="nil"/>
        </w:pBdr>
        <w:tabs>
          <w:tab w:val="left" w:leader="none" w:pos="1985"/>
        </w:tabs>
        <w:spacing w:after="120" w:line="276" w:lineRule="auto"/>
        <w:ind w:left="2733" w:hanging="935"/>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If an employee ceases to be employed part way through the year, the TUPE Premium Average allocated to that employee </w:t>
      </w:r>
      <w:r w:rsidDel="00000000" w:rsidR="00000000" w:rsidRPr="00000000">
        <w:rPr>
          <w:rFonts w:ascii="Arial" w:cs="Arial" w:eastAsia="Arial" w:hAnsi="Arial"/>
          <w:sz w:val="24"/>
          <w:szCs w:val="24"/>
          <w:rtl w:val="0"/>
        </w:rPr>
        <w:t xml:space="preserve">shall </w:t>
      </w:r>
      <w:r w:rsidDel="00000000" w:rsidR="00000000" w:rsidRPr="00000000">
        <w:rPr>
          <w:rFonts w:ascii="Arial" w:cs="Arial" w:eastAsia="Arial" w:hAnsi="Arial"/>
          <w:color w:val="000000"/>
          <w:sz w:val="24"/>
          <w:szCs w:val="24"/>
          <w:rtl w:val="0"/>
        </w:rPr>
        <w:t xml:space="preserve">be deducted on a pro rata basis.</w:t>
      </w:r>
    </w:p>
    <w:p w:rsidR="00000000" w:rsidDel="00000000" w:rsidP="00000000" w:rsidRDefault="00000000" w:rsidRPr="00000000" w14:paraId="0000006B">
      <w:pPr>
        <w:numPr>
          <w:ilvl w:val="2"/>
          <w:numId w:val="2"/>
        </w:numPr>
        <w:pBdr>
          <w:top w:space="0" w:sz="0" w:val="nil"/>
          <w:left w:space="0" w:sz="0" w:val="nil"/>
          <w:bottom w:space="0" w:sz="0" w:val="nil"/>
          <w:right w:space="0" w:sz="0" w:val="nil"/>
          <w:between w:space="0" w:sz="0" w:val="nil"/>
        </w:pBdr>
        <w:tabs>
          <w:tab w:val="left" w:leader="none" w:pos="1985"/>
        </w:tabs>
        <w:spacing w:after="120" w:before="120" w:line="276" w:lineRule="auto"/>
        <w:ind w:left="1620" w:hanging="720"/>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On receipt of the Supplier’s calculation of the Adjustable TUPE Premium submitted pursuant to paragraph 2.</w:t>
      </w:r>
      <w:r w:rsidDel="00000000" w:rsidR="00000000" w:rsidRPr="00000000">
        <w:rPr>
          <w:rFonts w:ascii="Arial" w:cs="Arial" w:eastAsia="Arial" w:hAnsi="Arial"/>
          <w:sz w:val="24"/>
          <w:szCs w:val="24"/>
          <w:rtl w:val="0"/>
        </w:rPr>
        <w:t xml:space="preserve">2</w:t>
      </w:r>
      <w:r w:rsidDel="00000000" w:rsidR="00000000" w:rsidRPr="00000000">
        <w:rPr>
          <w:rFonts w:ascii="Arial" w:cs="Arial" w:eastAsia="Arial" w:hAnsi="Arial"/>
          <w:color w:val="000000"/>
          <w:sz w:val="24"/>
          <w:szCs w:val="24"/>
          <w:rtl w:val="0"/>
        </w:rPr>
        <w:t xml:space="preserve">.2, the Buyer shall either:</w:t>
      </w:r>
    </w:p>
    <w:p w:rsidR="00000000" w:rsidDel="00000000" w:rsidP="00000000" w:rsidRDefault="00000000" w:rsidRPr="00000000" w14:paraId="0000006C">
      <w:pPr>
        <w:numPr>
          <w:ilvl w:val="3"/>
          <w:numId w:val="2"/>
        </w:numPr>
        <w:pBdr>
          <w:top w:space="0" w:sz="0" w:val="nil"/>
          <w:left w:space="0" w:sz="0" w:val="nil"/>
          <w:bottom w:space="0" w:sz="0" w:val="nil"/>
          <w:right w:space="0" w:sz="0" w:val="nil"/>
          <w:between w:space="0" w:sz="0" w:val="nil"/>
        </w:pBdr>
        <w:tabs>
          <w:tab w:val="left" w:leader="none" w:pos="1985"/>
        </w:tabs>
        <w:spacing w:after="120" w:line="276" w:lineRule="auto"/>
        <w:ind w:left="2733" w:hanging="935"/>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Notify the Supplier in writing of acceptance of the adjusted Adjustable TUPE Premium; or </w:t>
      </w:r>
    </w:p>
    <w:p w:rsidR="00000000" w:rsidDel="00000000" w:rsidP="00000000" w:rsidRDefault="00000000" w:rsidRPr="00000000" w14:paraId="0000006D">
      <w:pPr>
        <w:numPr>
          <w:ilvl w:val="3"/>
          <w:numId w:val="2"/>
        </w:numPr>
        <w:pBdr>
          <w:top w:space="0" w:sz="0" w:val="nil"/>
          <w:left w:space="0" w:sz="0" w:val="nil"/>
          <w:bottom w:space="0" w:sz="0" w:val="nil"/>
          <w:right w:space="0" w:sz="0" w:val="nil"/>
          <w:between w:space="0" w:sz="0" w:val="nil"/>
        </w:pBdr>
        <w:tabs>
          <w:tab w:val="left" w:leader="none" w:pos="1985"/>
        </w:tabs>
        <w:spacing w:after="120" w:line="276" w:lineRule="auto"/>
        <w:ind w:left="2733" w:hanging="935"/>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Request further information/evidence; and/or</w:t>
      </w:r>
    </w:p>
    <w:p w:rsidR="00000000" w:rsidDel="00000000" w:rsidP="00000000" w:rsidRDefault="00000000" w:rsidRPr="00000000" w14:paraId="0000006E">
      <w:pPr>
        <w:numPr>
          <w:ilvl w:val="3"/>
          <w:numId w:val="2"/>
        </w:numPr>
        <w:pBdr>
          <w:top w:space="0" w:sz="0" w:val="nil"/>
          <w:left w:space="0" w:sz="0" w:val="nil"/>
          <w:bottom w:space="0" w:sz="0" w:val="nil"/>
          <w:right w:space="0" w:sz="0" w:val="nil"/>
          <w:between w:space="0" w:sz="0" w:val="nil"/>
        </w:pBdr>
        <w:tabs>
          <w:tab w:val="left" w:leader="none" w:pos="1985"/>
        </w:tabs>
        <w:spacing w:after="120" w:line="276" w:lineRule="auto"/>
        <w:ind w:left="2733" w:hanging="935"/>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Request a meeting to</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color w:val="000000"/>
          <w:sz w:val="24"/>
          <w:szCs w:val="24"/>
          <w:rtl w:val="0"/>
        </w:rPr>
        <w:t xml:space="preserve">discuss/clarify the evidence provided.</w:t>
      </w:r>
    </w:p>
    <w:p w:rsidR="00000000" w:rsidDel="00000000" w:rsidP="00000000" w:rsidRDefault="00000000" w:rsidRPr="00000000" w14:paraId="0000006F">
      <w:pPr>
        <w:numPr>
          <w:ilvl w:val="2"/>
          <w:numId w:val="2"/>
        </w:numPr>
        <w:pBdr>
          <w:top w:space="0" w:sz="0" w:val="nil"/>
          <w:left w:space="0" w:sz="0" w:val="nil"/>
          <w:bottom w:space="0" w:sz="0" w:val="nil"/>
          <w:right w:space="0" w:sz="0" w:val="nil"/>
          <w:between w:space="0" w:sz="0" w:val="nil"/>
        </w:pBdr>
        <w:tabs>
          <w:tab w:val="left" w:leader="none" w:pos="1985"/>
        </w:tabs>
        <w:spacing w:after="120" w:before="120" w:line="276" w:lineRule="auto"/>
        <w:ind w:left="1620" w:hanging="720"/>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Where the adjustment to the Adjustable TUPE Premium</w:t>
      </w:r>
      <w:r w:rsidDel="00000000" w:rsidR="00000000" w:rsidRPr="00000000">
        <w:rPr>
          <w:rtl w:val="0"/>
        </w:rPr>
        <w:t xml:space="preserve"> </w:t>
      </w:r>
      <w:r w:rsidDel="00000000" w:rsidR="00000000" w:rsidRPr="00000000">
        <w:rPr>
          <w:rFonts w:ascii="Arial" w:cs="Arial" w:eastAsia="Arial" w:hAnsi="Arial"/>
          <w:color w:val="000000"/>
          <w:sz w:val="24"/>
          <w:szCs w:val="24"/>
          <w:rtl w:val="0"/>
        </w:rPr>
        <w:t xml:space="preserve">is agreed following the receipt of further information/evidence or following a meeting, the Buyer shall notify the Supplier in writing and confirm the Adjustable TUPE Premium that </w:t>
      </w:r>
      <w:r w:rsidDel="00000000" w:rsidR="00000000" w:rsidRPr="00000000">
        <w:rPr>
          <w:rFonts w:ascii="Arial" w:cs="Arial" w:eastAsia="Arial" w:hAnsi="Arial"/>
          <w:sz w:val="24"/>
          <w:szCs w:val="24"/>
          <w:rtl w:val="0"/>
        </w:rPr>
        <w:t xml:space="preserve">shall</w:t>
      </w:r>
      <w:r w:rsidDel="00000000" w:rsidR="00000000" w:rsidRPr="00000000">
        <w:rPr>
          <w:rFonts w:ascii="Arial" w:cs="Arial" w:eastAsia="Arial" w:hAnsi="Arial"/>
          <w:color w:val="000000"/>
          <w:sz w:val="24"/>
          <w:szCs w:val="24"/>
          <w:rtl w:val="0"/>
        </w:rPr>
        <w:t xml:space="preserve"> apply. </w:t>
      </w:r>
    </w:p>
    <w:p w:rsidR="00000000" w:rsidDel="00000000" w:rsidP="00000000" w:rsidRDefault="00000000" w:rsidRPr="00000000" w14:paraId="00000070">
      <w:pPr>
        <w:numPr>
          <w:ilvl w:val="2"/>
          <w:numId w:val="2"/>
        </w:numPr>
        <w:pBdr>
          <w:top w:space="0" w:sz="0" w:val="nil"/>
          <w:left w:space="0" w:sz="0" w:val="nil"/>
          <w:bottom w:space="0" w:sz="0" w:val="nil"/>
          <w:right w:space="0" w:sz="0" w:val="nil"/>
          <w:between w:space="0" w:sz="0" w:val="nil"/>
        </w:pBdr>
        <w:tabs>
          <w:tab w:val="left" w:leader="none" w:pos="1985"/>
        </w:tabs>
        <w:spacing w:after="120" w:before="120" w:line="276" w:lineRule="auto"/>
        <w:ind w:left="1620" w:hanging="720"/>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In the event that the Supplier and the Buyer are unable to agree the adjustment to the Adjustable TUPE Premium, they shall follow the Dispute Resolution Procedure.</w:t>
      </w:r>
    </w:p>
    <w:p w:rsidR="00000000" w:rsidDel="00000000" w:rsidP="00000000" w:rsidRDefault="00000000" w:rsidRPr="00000000" w14:paraId="00000071">
      <w:pPr>
        <w:numPr>
          <w:ilvl w:val="2"/>
          <w:numId w:val="2"/>
        </w:numPr>
        <w:pBdr>
          <w:top w:space="0" w:sz="0" w:val="nil"/>
          <w:left w:space="0" w:sz="0" w:val="nil"/>
          <w:bottom w:space="0" w:sz="0" w:val="nil"/>
          <w:right w:space="0" w:sz="0" w:val="nil"/>
          <w:between w:space="0" w:sz="0" w:val="nil"/>
        </w:pBdr>
        <w:tabs>
          <w:tab w:val="left" w:leader="none" w:pos="1985"/>
        </w:tabs>
        <w:spacing w:after="120" w:before="120" w:line="276" w:lineRule="auto"/>
        <w:ind w:left="1620" w:hanging="720"/>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The a</w:t>
      </w:r>
      <w:r w:rsidDel="00000000" w:rsidR="00000000" w:rsidRPr="00000000">
        <w:rPr>
          <w:rFonts w:ascii="Arial" w:cs="Arial" w:eastAsia="Arial" w:hAnsi="Arial"/>
          <w:sz w:val="24"/>
          <w:szCs w:val="24"/>
          <w:rtl w:val="0"/>
        </w:rPr>
        <w:t xml:space="preserve">mended</w:t>
      </w:r>
      <w:r w:rsidDel="00000000" w:rsidR="00000000" w:rsidRPr="00000000">
        <w:rPr>
          <w:rFonts w:ascii="Arial" w:cs="Arial" w:eastAsia="Arial" w:hAnsi="Arial"/>
          <w:color w:val="000000"/>
          <w:sz w:val="24"/>
          <w:szCs w:val="24"/>
          <w:rtl w:val="0"/>
        </w:rPr>
        <w:t xml:space="preserve"> Adjustable TUPE Premium shall be used as the benchmark in the subsequent annual review of the Adjustable TUPE Premium.</w:t>
      </w:r>
    </w:p>
    <w:p w:rsidR="00000000" w:rsidDel="00000000" w:rsidP="00000000" w:rsidRDefault="00000000" w:rsidRPr="00000000" w14:paraId="00000072">
      <w:pPr>
        <w:numPr>
          <w:ilvl w:val="2"/>
          <w:numId w:val="2"/>
        </w:numPr>
        <w:pBdr>
          <w:top w:space="0" w:sz="0" w:val="nil"/>
          <w:left w:space="0" w:sz="0" w:val="nil"/>
          <w:bottom w:space="0" w:sz="0" w:val="nil"/>
          <w:right w:space="0" w:sz="0" w:val="nil"/>
          <w:between w:space="0" w:sz="0" w:val="nil"/>
        </w:pBdr>
        <w:tabs>
          <w:tab w:val="left" w:leader="none" w:pos="1985"/>
        </w:tabs>
        <w:spacing w:after="120" w:before="120" w:line="276" w:lineRule="auto"/>
        <w:ind w:left="1620" w:hanging="720"/>
        <w:jc w:val="left"/>
        <w:rPr>
          <w:rFonts w:ascii="Arial" w:cs="Arial" w:eastAsia="Arial" w:hAnsi="Arial"/>
          <w:color w:val="000000"/>
          <w:sz w:val="24"/>
          <w:szCs w:val="24"/>
        </w:rPr>
      </w:pPr>
      <w:bookmarkStart w:colFirst="0" w:colLast="0" w:name="_heading=h.4d34og8" w:id="11"/>
      <w:bookmarkEnd w:id="11"/>
      <w:r w:rsidDel="00000000" w:rsidR="00000000" w:rsidRPr="00000000">
        <w:rPr>
          <w:rFonts w:ascii="Arial" w:cs="Arial" w:eastAsia="Arial" w:hAnsi="Arial"/>
          <w:color w:val="000000"/>
          <w:sz w:val="24"/>
          <w:szCs w:val="24"/>
          <w:rtl w:val="0"/>
        </w:rPr>
        <w:t xml:space="preserve">Where the </w:t>
      </w:r>
      <w:r w:rsidDel="00000000" w:rsidR="00000000" w:rsidRPr="00000000">
        <w:rPr>
          <w:rFonts w:ascii="Arial" w:cs="Arial" w:eastAsia="Arial" w:hAnsi="Arial"/>
          <w:sz w:val="24"/>
          <w:szCs w:val="24"/>
          <w:rtl w:val="0"/>
        </w:rPr>
        <w:t xml:space="preserve">amended</w:t>
      </w:r>
      <w:r w:rsidDel="00000000" w:rsidR="00000000" w:rsidRPr="00000000">
        <w:rPr>
          <w:rFonts w:ascii="Arial" w:cs="Arial" w:eastAsia="Arial" w:hAnsi="Arial"/>
          <w:color w:val="000000"/>
          <w:sz w:val="24"/>
          <w:szCs w:val="24"/>
          <w:rtl w:val="0"/>
        </w:rPr>
        <w:t xml:space="preserve"> Adjustable TUPE Premium is more than the Adjustable TUPE Premium in the previous Contract Year, the Adjustable TUPE Premium shall not be adjusted</w:t>
      </w:r>
      <w:r w:rsidDel="00000000" w:rsidR="00000000" w:rsidRPr="00000000">
        <w:rPr>
          <w:rFonts w:ascii="Arial" w:cs="Arial" w:eastAsia="Arial" w:hAnsi="Arial"/>
          <w:b w:val="1"/>
          <w:color w:val="000000"/>
          <w:sz w:val="24"/>
          <w:szCs w:val="24"/>
          <w:rtl w:val="0"/>
        </w:rPr>
        <w:t xml:space="preserve">.</w:t>
      </w:r>
      <w:r w:rsidDel="00000000" w:rsidR="00000000" w:rsidRPr="00000000">
        <w:rPr>
          <w:rtl w:val="0"/>
        </w:rPr>
      </w:r>
    </w:p>
    <w:p w:rsidR="00000000" w:rsidDel="00000000" w:rsidP="00000000" w:rsidRDefault="00000000" w:rsidRPr="00000000" w14:paraId="00000073">
      <w:pPr>
        <w:numPr>
          <w:ilvl w:val="1"/>
          <w:numId w:val="2"/>
        </w:numPr>
        <w:pBdr>
          <w:top w:space="0" w:sz="0" w:val="nil"/>
          <w:left w:space="0" w:sz="0" w:val="nil"/>
          <w:bottom w:space="0" w:sz="0" w:val="nil"/>
          <w:right w:space="0" w:sz="0" w:val="nil"/>
          <w:between w:space="0" w:sz="0" w:val="nil"/>
        </w:pBdr>
        <w:tabs>
          <w:tab w:val="left" w:leader="none" w:pos="1134"/>
        </w:tabs>
        <w:spacing w:after="120" w:before="120" w:line="276" w:lineRule="auto"/>
        <w:ind w:left="936" w:hanging="576"/>
        <w:jc w:val="left"/>
        <w:rPr>
          <w:rFonts w:ascii="Arial" w:cs="Arial" w:eastAsia="Arial" w:hAnsi="Arial"/>
          <w:b w:val="1"/>
          <w:color w:val="000000"/>
          <w:sz w:val="24"/>
          <w:szCs w:val="24"/>
        </w:rPr>
      </w:pPr>
      <w:r w:rsidDel="00000000" w:rsidR="00000000" w:rsidRPr="00000000">
        <w:rPr>
          <w:rFonts w:ascii="Arial" w:cs="Arial" w:eastAsia="Arial" w:hAnsi="Arial"/>
          <w:b w:val="1"/>
          <w:color w:val="000000"/>
          <w:sz w:val="24"/>
          <w:szCs w:val="24"/>
          <w:rtl w:val="0"/>
        </w:rPr>
        <w:t xml:space="preserve">Right of audit</w:t>
      </w:r>
    </w:p>
    <w:p w:rsidR="00000000" w:rsidDel="00000000" w:rsidP="00000000" w:rsidRDefault="00000000" w:rsidRPr="00000000" w14:paraId="00000074">
      <w:pPr>
        <w:numPr>
          <w:ilvl w:val="2"/>
          <w:numId w:val="2"/>
        </w:numPr>
        <w:pBdr>
          <w:top w:space="0" w:sz="0" w:val="nil"/>
          <w:left w:space="0" w:sz="0" w:val="nil"/>
          <w:bottom w:space="0" w:sz="0" w:val="nil"/>
          <w:right w:space="0" w:sz="0" w:val="nil"/>
          <w:between w:space="0" w:sz="0" w:val="nil"/>
        </w:pBdr>
        <w:tabs>
          <w:tab w:val="left" w:leader="none" w:pos="1985"/>
        </w:tabs>
        <w:spacing w:after="120" w:before="120" w:line="276" w:lineRule="auto"/>
        <w:ind w:left="1620" w:hanging="720"/>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The Buyer reserves the right to review and audit the calculation of the Adjustable TUPE Premium at any time. </w:t>
      </w:r>
    </w:p>
    <w:p w:rsidR="00000000" w:rsidDel="00000000" w:rsidP="00000000" w:rsidRDefault="00000000" w:rsidRPr="00000000" w14:paraId="00000075">
      <w:pPr>
        <w:numPr>
          <w:ilvl w:val="2"/>
          <w:numId w:val="2"/>
        </w:numPr>
        <w:pBdr>
          <w:top w:space="0" w:sz="0" w:val="nil"/>
          <w:left w:space="0" w:sz="0" w:val="nil"/>
          <w:bottom w:space="0" w:sz="0" w:val="nil"/>
          <w:right w:space="0" w:sz="0" w:val="nil"/>
          <w:between w:space="0" w:sz="0" w:val="nil"/>
        </w:pBdr>
        <w:tabs>
          <w:tab w:val="left" w:leader="none" w:pos="1985"/>
        </w:tabs>
        <w:spacing w:after="120" w:before="120" w:line="276" w:lineRule="auto"/>
        <w:ind w:left="1620" w:hanging="720"/>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Where an overpayment of the Adjustable TUPE Premium is identified following a review and/or audit carried out or by any other means, the Supplier shall repay to the Buyer any over payment of the Adjustable TUPE Premium within 20 Working Days of being notified or becoming aware of the overpayment.</w:t>
      </w:r>
    </w:p>
    <w:p w:rsidR="00000000" w:rsidDel="00000000" w:rsidP="00000000" w:rsidRDefault="00000000" w:rsidRPr="00000000" w14:paraId="00000076">
      <w:pPr>
        <w:numPr>
          <w:ilvl w:val="0"/>
          <w:numId w:val="2"/>
        </w:numPr>
        <w:pBdr>
          <w:top w:space="0" w:sz="0" w:val="nil"/>
          <w:left w:space="0" w:sz="0" w:val="nil"/>
          <w:bottom w:space="0" w:sz="0" w:val="nil"/>
          <w:right w:space="0" w:sz="0" w:val="nil"/>
          <w:between w:space="0" w:sz="0" w:val="nil"/>
        </w:pBdr>
        <w:tabs>
          <w:tab w:val="left" w:leader="none" w:pos="1134"/>
        </w:tabs>
        <w:spacing w:after="120" w:before="120" w:line="276" w:lineRule="auto"/>
        <w:ind w:left="502" w:hanging="360"/>
        <w:jc w:val="left"/>
        <w:rPr>
          <w:rFonts w:ascii="Arial" w:cs="Arial" w:eastAsia="Arial" w:hAnsi="Arial"/>
          <w:b w:val="1"/>
          <w:color w:val="000000"/>
          <w:sz w:val="24"/>
          <w:szCs w:val="24"/>
        </w:rPr>
      </w:pPr>
      <w:bookmarkStart w:colFirst="0" w:colLast="0" w:name="_heading=h.3dy6vkm" w:id="12"/>
      <w:bookmarkEnd w:id="12"/>
      <w:r w:rsidDel="00000000" w:rsidR="00000000" w:rsidRPr="00000000">
        <w:rPr>
          <w:rFonts w:ascii="Arial" w:cs="Arial" w:eastAsia="Arial" w:hAnsi="Arial"/>
          <w:b w:val="1"/>
          <w:color w:val="000000"/>
          <w:sz w:val="24"/>
          <w:szCs w:val="24"/>
          <w:rtl w:val="0"/>
        </w:rPr>
        <w:t xml:space="preserve">Option 3 – Fixed TUPE Premium</w:t>
      </w:r>
    </w:p>
    <w:p w:rsidR="00000000" w:rsidDel="00000000" w:rsidP="00000000" w:rsidRDefault="00000000" w:rsidRPr="00000000" w14:paraId="00000077">
      <w:pPr>
        <w:numPr>
          <w:ilvl w:val="1"/>
          <w:numId w:val="2"/>
        </w:numPr>
        <w:pBdr>
          <w:top w:space="0" w:sz="0" w:val="nil"/>
          <w:left w:space="0" w:sz="0" w:val="nil"/>
          <w:bottom w:space="0" w:sz="0" w:val="nil"/>
          <w:right w:space="0" w:sz="0" w:val="nil"/>
          <w:between w:space="0" w:sz="0" w:val="nil"/>
        </w:pBdr>
        <w:tabs>
          <w:tab w:val="left" w:leader="none" w:pos="1134"/>
        </w:tabs>
        <w:spacing w:after="120" w:before="120" w:line="276" w:lineRule="auto"/>
        <w:ind w:left="1078" w:hanging="579"/>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The Fixed TUPE Premium shall be priced for </w:t>
      </w:r>
      <w:r w:rsidDel="00000000" w:rsidR="00000000" w:rsidRPr="00000000">
        <w:rPr>
          <w:rFonts w:ascii="Arial" w:cs="Arial" w:eastAsia="Arial" w:hAnsi="Arial"/>
          <w:sz w:val="24"/>
          <w:szCs w:val="24"/>
          <w:rtl w:val="0"/>
        </w:rPr>
        <w:t xml:space="preserve">as part of a Call-Off Procedure </w:t>
      </w:r>
      <w:r w:rsidDel="00000000" w:rsidR="00000000" w:rsidRPr="00000000">
        <w:rPr>
          <w:rFonts w:ascii="Arial" w:cs="Arial" w:eastAsia="Arial" w:hAnsi="Arial"/>
          <w:color w:val="000000"/>
          <w:sz w:val="24"/>
          <w:szCs w:val="24"/>
          <w:rtl w:val="0"/>
        </w:rPr>
        <w:t xml:space="preserve">as set out in Annex 1 - </w:t>
      </w:r>
      <w:r w:rsidDel="00000000" w:rsidR="00000000" w:rsidRPr="00000000">
        <w:rPr>
          <w:rFonts w:ascii="Arial" w:cs="Arial" w:eastAsia="Arial" w:hAnsi="Arial"/>
          <w:sz w:val="24"/>
          <w:szCs w:val="24"/>
          <w:rtl w:val="0"/>
        </w:rPr>
        <w:t xml:space="preserve">Call-Off</w:t>
      </w:r>
      <w:r w:rsidDel="00000000" w:rsidR="00000000" w:rsidRPr="00000000">
        <w:rPr>
          <w:rFonts w:ascii="Arial" w:cs="Arial" w:eastAsia="Arial" w:hAnsi="Arial"/>
          <w:color w:val="000000"/>
          <w:sz w:val="24"/>
          <w:szCs w:val="24"/>
          <w:rtl w:val="0"/>
        </w:rPr>
        <w:t xml:space="preserve"> Schedule 5 (</w:t>
      </w:r>
      <w:r w:rsidDel="00000000" w:rsidR="00000000" w:rsidRPr="00000000">
        <w:rPr>
          <w:rFonts w:ascii="Arial" w:cs="Arial" w:eastAsia="Arial" w:hAnsi="Arial"/>
          <w:i w:val="1"/>
          <w:color w:val="000000"/>
          <w:sz w:val="24"/>
          <w:szCs w:val="24"/>
          <w:rtl w:val="0"/>
        </w:rPr>
        <w:t xml:space="preserve">Pricing Details</w:t>
      </w:r>
      <w:r w:rsidDel="00000000" w:rsidR="00000000" w:rsidRPr="00000000">
        <w:rPr>
          <w:rFonts w:ascii="Arial" w:cs="Arial" w:eastAsia="Arial" w:hAnsi="Arial"/>
          <w:color w:val="000000"/>
          <w:sz w:val="24"/>
          <w:szCs w:val="24"/>
          <w:rtl w:val="0"/>
        </w:rPr>
        <w:t xml:space="preserve">) and no further adjustments shall be permitted except as set out in paragraph 4 of this Schedule </w:t>
      </w:r>
      <w:r w:rsidDel="00000000" w:rsidR="00000000" w:rsidRPr="00000000">
        <w:rPr>
          <w:rFonts w:ascii="Arial" w:cs="Arial" w:eastAsia="Arial" w:hAnsi="Arial"/>
          <w:sz w:val="24"/>
          <w:szCs w:val="24"/>
          <w:rtl w:val="0"/>
        </w:rPr>
        <w:t xml:space="preserve">31</w:t>
      </w:r>
      <w:r w:rsidDel="00000000" w:rsidR="00000000" w:rsidRPr="00000000">
        <w:rPr>
          <w:rFonts w:ascii="Arial" w:cs="Arial" w:eastAsia="Arial" w:hAnsi="Arial"/>
          <w:color w:val="000000"/>
          <w:sz w:val="24"/>
          <w:szCs w:val="24"/>
          <w:rtl w:val="0"/>
        </w:rPr>
        <w:t xml:space="preserve"> </w:t>
      </w:r>
      <w:r w:rsidDel="00000000" w:rsidR="00000000" w:rsidRPr="00000000">
        <w:rPr>
          <w:rFonts w:ascii="Arial" w:cs="Arial" w:eastAsia="Arial" w:hAnsi="Arial"/>
          <w:i w:val="1"/>
          <w:color w:val="000000"/>
          <w:sz w:val="24"/>
          <w:szCs w:val="24"/>
          <w:rtl w:val="0"/>
        </w:rPr>
        <w:t xml:space="preserve">(TUPE Premium)</w:t>
      </w:r>
      <w:r w:rsidDel="00000000" w:rsidR="00000000" w:rsidRPr="00000000">
        <w:rPr>
          <w:rFonts w:ascii="Arial" w:cs="Arial" w:eastAsia="Arial" w:hAnsi="Arial"/>
          <w:color w:val="000000"/>
          <w:sz w:val="24"/>
          <w:szCs w:val="24"/>
          <w:rtl w:val="0"/>
        </w:rPr>
        <w:t xml:space="preserve">.</w:t>
      </w:r>
    </w:p>
    <w:p w:rsidR="00000000" w:rsidDel="00000000" w:rsidP="00000000" w:rsidRDefault="00000000" w:rsidRPr="00000000" w14:paraId="00000078">
      <w:pPr>
        <w:numPr>
          <w:ilvl w:val="0"/>
          <w:numId w:val="2"/>
        </w:numPr>
        <w:pBdr>
          <w:top w:space="0" w:sz="0" w:val="nil"/>
          <w:left w:space="0" w:sz="0" w:val="nil"/>
          <w:bottom w:space="0" w:sz="0" w:val="nil"/>
          <w:right w:space="0" w:sz="0" w:val="nil"/>
          <w:between w:space="0" w:sz="0" w:val="nil"/>
        </w:pBdr>
        <w:tabs>
          <w:tab w:val="left" w:leader="none" w:pos="1134"/>
        </w:tabs>
        <w:spacing w:after="120" w:before="120" w:line="276" w:lineRule="auto"/>
        <w:ind w:left="502" w:hanging="360"/>
        <w:jc w:val="left"/>
        <w:rPr>
          <w:rFonts w:ascii="Arial" w:cs="Arial" w:eastAsia="Arial" w:hAnsi="Arial"/>
          <w:b w:val="1"/>
          <w:color w:val="000000"/>
          <w:sz w:val="24"/>
          <w:szCs w:val="24"/>
        </w:rPr>
      </w:pPr>
      <w:r w:rsidDel="00000000" w:rsidR="00000000" w:rsidRPr="00000000">
        <w:rPr>
          <w:rFonts w:ascii="Arial" w:cs="Arial" w:eastAsia="Arial" w:hAnsi="Arial"/>
          <w:b w:val="1"/>
          <w:color w:val="000000"/>
          <w:sz w:val="24"/>
          <w:szCs w:val="24"/>
          <w:rtl w:val="0"/>
        </w:rPr>
        <w:t xml:space="preserve">Employer Pensions Contribution Cap &amp; other pension cost</w:t>
      </w:r>
    </w:p>
    <w:p w:rsidR="00000000" w:rsidDel="00000000" w:rsidP="00000000" w:rsidRDefault="00000000" w:rsidRPr="00000000" w14:paraId="00000079">
      <w:pPr>
        <w:numPr>
          <w:ilvl w:val="1"/>
          <w:numId w:val="2"/>
        </w:numPr>
        <w:pBdr>
          <w:top w:space="0" w:sz="0" w:val="nil"/>
          <w:left w:space="0" w:sz="0" w:val="nil"/>
          <w:bottom w:space="0" w:sz="0" w:val="nil"/>
          <w:right w:space="0" w:sz="0" w:val="nil"/>
          <w:between w:space="0" w:sz="0" w:val="nil"/>
        </w:pBdr>
        <w:tabs>
          <w:tab w:val="left" w:leader="none" w:pos="1134"/>
        </w:tabs>
        <w:spacing w:after="120" w:before="120" w:line="276" w:lineRule="auto"/>
        <w:ind w:left="936" w:hanging="576"/>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For options detailed at paragraphs 1, 2 and 3 above the following shall apply:</w:t>
      </w:r>
    </w:p>
    <w:p w:rsidR="00000000" w:rsidDel="00000000" w:rsidP="00000000" w:rsidRDefault="00000000" w:rsidRPr="00000000" w14:paraId="0000007A">
      <w:pPr>
        <w:numPr>
          <w:ilvl w:val="2"/>
          <w:numId w:val="1"/>
        </w:numPr>
        <w:pBdr>
          <w:top w:space="0" w:sz="0" w:val="nil"/>
          <w:left w:space="0" w:sz="0" w:val="nil"/>
          <w:bottom w:space="0" w:sz="0" w:val="nil"/>
          <w:right w:space="0" w:sz="0" w:val="nil"/>
          <w:between w:space="0" w:sz="0" w:val="nil"/>
        </w:pBdr>
        <w:tabs>
          <w:tab w:val="left" w:leader="none" w:pos="175"/>
        </w:tabs>
        <w:spacing w:after="120" w:line="276" w:lineRule="auto"/>
        <w:ind w:left="1620" w:hanging="720"/>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Where any Annual Pension Cost would have included Employer Pension Contribution in excess of the 6% Employer Pension Contribution Cap or Other Pension Costs, the Supplier may request a pension adjustment to cover the additional cost. </w:t>
      </w:r>
      <w:r w:rsidDel="00000000" w:rsidR="00000000" w:rsidRPr="00000000">
        <w:rPr>
          <w:rFonts w:ascii="Arial" w:cs="Arial" w:eastAsia="Arial" w:hAnsi="Arial"/>
          <w:sz w:val="24"/>
          <w:szCs w:val="24"/>
          <w:rtl w:val="0"/>
        </w:rPr>
        <w:t xml:space="preserve">Such a request</w:t>
      </w:r>
      <w:r w:rsidDel="00000000" w:rsidR="00000000" w:rsidRPr="00000000">
        <w:rPr>
          <w:rFonts w:ascii="Arial" w:cs="Arial" w:eastAsia="Arial" w:hAnsi="Arial"/>
          <w:color w:val="000000"/>
          <w:sz w:val="24"/>
          <w:szCs w:val="24"/>
          <w:rtl w:val="0"/>
        </w:rPr>
        <w:t xml:space="preserve"> for a pension adjustment </w:t>
      </w:r>
      <w:r w:rsidDel="00000000" w:rsidR="00000000" w:rsidRPr="00000000">
        <w:rPr>
          <w:rFonts w:ascii="Arial" w:cs="Arial" w:eastAsia="Arial" w:hAnsi="Arial"/>
          <w:sz w:val="24"/>
          <w:szCs w:val="24"/>
          <w:rtl w:val="0"/>
        </w:rPr>
        <w:t xml:space="preserve">shall</w:t>
      </w:r>
      <w:r w:rsidDel="00000000" w:rsidR="00000000" w:rsidRPr="00000000">
        <w:rPr>
          <w:rFonts w:ascii="Arial" w:cs="Arial" w:eastAsia="Arial" w:hAnsi="Arial"/>
          <w:color w:val="000000"/>
          <w:sz w:val="24"/>
          <w:szCs w:val="24"/>
          <w:rtl w:val="0"/>
        </w:rPr>
        <w:t xml:space="preserve"> be submitted to the Buyer no later than 20 Working Days after the end of the relevant Contract Year.</w:t>
      </w:r>
    </w:p>
    <w:p w:rsidR="00000000" w:rsidDel="00000000" w:rsidP="00000000" w:rsidRDefault="00000000" w:rsidRPr="00000000" w14:paraId="0000007B">
      <w:pPr>
        <w:numPr>
          <w:ilvl w:val="2"/>
          <w:numId w:val="1"/>
        </w:numPr>
        <w:pBdr>
          <w:top w:space="0" w:sz="0" w:val="nil"/>
          <w:left w:space="0" w:sz="0" w:val="nil"/>
          <w:bottom w:space="0" w:sz="0" w:val="nil"/>
          <w:right w:space="0" w:sz="0" w:val="nil"/>
          <w:between w:space="0" w:sz="0" w:val="nil"/>
        </w:pBdr>
        <w:tabs>
          <w:tab w:val="left" w:leader="none" w:pos="1985"/>
        </w:tabs>
        <w:spacing w:after="120" w:before="120" w:line="276" w:lineRule="auto"/>
        <w:ind w:left="1620" w:hanging="720"/>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If the Supplier requests a pension adjustment in accordance with the provisions of paragraph 4.1.1, they </w:t>
      </w:r>
      <w:r w:rsidDel="00000000" w:rsidR="00000000" w:rsidRPr="00000000">
        <w:rPr>
          <w:rFonts w:ascii="Arial" w:cs="Arial" w:eastAsia="Arial" w:hAnsi="Arial"/>
          <w:sz w:val="24"/>
          <w:szCs w:val="24"/>
          <w:rtl w:val="0"/>
        </w:rPr>
        <w:t xml:space="preserve">shall</w:t>
      </w:r>
      <w:r w:rsidDel="00000000" w:rsidR="00000000" w:rsidRPr="00000000">
        <w:rPr>
          <w:rFonts w:ascii="Arial" w:cs="Arial" w:eastAsia="Arial" w:hAnsi="Arial"/>
          <w:color w:val="000000"/>
          <w:sz w:val="24"/>
          <w:szCs w:val="24"/>
          <w:rtl w:val="0"/>
        </w:rPr>
        <w:t xml:space="preserve"> provide sufficient evidence to the Buyer to justify the pension adjustment.</w:t>
      </w:r>
    </w:p>
    <w:p w:rsidR="00000000" w:rsidDel="00000000" w:rsidP="00000000" w:rsidRDefault="00000000" w:rsidRPr="00000000" w14:paraId="0000007C">
      <w:pPr>
        <w:keepNext w:val="1"/>
        <w:numPr>
          <w:ilvl w:val="2"/>
          <w:numId w:val="1"/>
        </w:numPr>
        <w:pBdr>
          <w:top w:space="0" w:sz="0" w:val="nil"/>
          <w:left w:space="0" w:sz="0" w:val="nil"/>
          <w:bottom w:space="0" w:sz="0" w:val="nil"/>
          <w:right w:space="0" w:sz="0" w:val="nil"/>
          <w:between w:space="0" w:sz="0" w:val="nil"/>
        </w:pBdr>
        <w:tabs>
          <w:tab w:val="left" w:leader="none" w:pos="1985"/>
        </w:tabs>
        <w:spacing w:after="120" w:before="120" w:line="276" w:lineRule="auto"/>
        <w:ind w:left="1620" w:hanging="720"/>
        <w:jc w:val="left"/>
        <w:rPr>
          <w:rFonts w:ascii="Arial" w:cs="Arial" w:eastAsia="Arial" w:hAnsi="Arial"/>
          <w:color w:val="000000"/>
          <w:sz w:val="24"/>
          <w:szCs w:val="24"/>
        </w:rPr>
      </w:pPr>
      <w:bookmarkStart w:colFirst="0" w:colLast="0" w:name="_heading=h.17dp8vu" w:id="13"/>
      <w:bookmarkEnd w:id="13"/>
      <w:r w:rsidDel="00000000" w:rsidR="00000000" w:rsidRPr="00000000">
        <w:rPr>
          <w:rFonts w:ascii="Arial" w:cs="Arial" w:eastAsia="Arial" w:hAnsi="Arial"/>
          <w:color w:val="000000"/>
          <w:sz w:val="24"/>
          <w:szCs w:val="24"/>
          <w:rtl w:val="0"/>
        </w:rPr>
        <w:t xml:space="preserve">On receipt of the Supplier's calculation of the pension adjustment, the Buyer </w:t>
      </w:r>
      <w:r w:rsidDel="00000000" w:rsidR="00000000" w:rsidRPr="00000000">
        <w:rPr>
          <w:rFonts w:ascii="Arial" w:cs="Arial" w:eastAsia="Arial" w:hAnsi="Arial"/>
          <w:sz w:val="24"/>
          <w:szCs w:val="24"/>
          <w:rtl w:val="0"/>
        </w:rPr>
        <w:t xml:space="preserve">shall</w:t>
      </w:r>
      <w:r w:rsidDel="00000000" w:rsidR="00000000" w:rsidRPr="00000000">
        <w:rPr>
          <w:rFonts w:ascii="Arial" w:cs="Arial" w:eastAsia="Arial" w:hAnsi="Arial"/>
          <w:color w:val="000000"/>
          <w:sz w:val="24"/>
          <w:szCs w:val="24"/>
          <w:rtl w:val="0"/>
        </w:rPr>
        <w:t xml:space="preserve"> either:</w:t>
      </w:r>
    </w:p>
    <w:p w:rsidR="00000000" w:rsidDel="00000000" w:rsidP="00000000" w:rsidRDefault="00000000" w:rsidRPr="00000000" w14:paraId="0000007D">
      <w:pPr>
        <w:numPr>
          <w:ilvl w:val="3"/>
          <w:numId w:val="2"/>
        </w:numPr>
        <w:pBdr>
          <w:top w:space="0" w:sz="0" w:val="nil"/>
          <w:left w:space="0" w:sz="0" w:val="nil"/>
          <w:bottom w:space="0" w:sz="0" w:val="nil"/>
          <w:right w:space="0" w:sz="0" w:val="nil"/>
          <w:between w:space="0" w:sz="0" w:val="nil"/>
        </w:pBdr>
        <w:tabs>
          <w:tab w:val="left" w:leader="none" w:pos="1985"/>
        </w:tabs>
        <w:spacing w:after="120" w:line="276" w:lineRule="auto"/>
        <w:ind w:left="2733" w:hanging="935"/>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Notify the Supplier in writing of acceptance of the pension adjustment; </w:t>
      </w:r>
    </w:p>
    <w:p w:rsidR="00000000" w:rsidDel="00000000" w:rsidP="00000000" w:rsidRDefault="00000000" w:rsidRPr="00000000" w14:paraId="0000007E">
      <w:pPr>
        <w:numPr>
          <w:ilvl w:val="3"/>
          <w:numId w:val="2"/>
        </w:numPr>
        <w:pBdr>
          <w:top w:space="0" w:sz="0" w:val="nil"/>
          <w:left w:space="0" w:sz="0" w:val="nil"/>
          <w:bottom w:space="0" w:sz="0" w:val="nil"/>
          <w:right w:space="0" w:sz="0" w:val="nil"/>
          <w:between w:space="0" w:sz="0" w:val="nil"/>
        </w:pBdr>
        <w:tabs>
          <w:tab w:val="left" w:leader="none" w:pos="1985"/>
        </w:tabs>
        <w:spacing w:after="120" w:line="276" w:lineRule="auto"/>
        <w:ind w:left="2733" w:hanging="935"/>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Request further information/evidence; and/or</w:t>
      </w:r>
    </w:p>
    <w:p w:rsidR="00000000" w:rsidDel="00000000" w:rsidP="00000000" w:rsidRDefault="00000000" w:rsidRPr="00000000" w14:paraId="0000007F">
      <w:pPr>
        <w:numPr>
          <w:ilvl w:val="3"/>
          <w:numId w:val="2"/>
        </w:numPr>
        <w:pBdr>
          <w:top w:space="0" w:sz="0" w:val="nil"/>
          <w:left w:space="0" w:sz="0" w:val="nil"/>
          <w:bottom w:space="0" w:sz="0" w:val="nil"/>
          <w:right w:space="0" w:sz="0" w:val="nil"/>
          <w:between w:space="0" w:sz="0" w:val="nil"/>
        </w:pBdr>
        <w:tabs>
          <w:tab w:val="left" w:leader="none" w:pos="1985"/>
        </w:tabs>
        <w:spacing w:after="120" w:line="276" w:lineRule="auto"/>
        <w:ind w:left="2733" w:hanging="935"/>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Request a meeting to discuss/clarify the evidence provided.</w:t>
      </w:r>
    </w:p>
    <w:p w:rsidR="00000000" w:rsidDel="00000000" w:rsidP="00000000" w:rsidRDefault="00000000" w:rsidRPr="00000000" w14:paraId="00000080">
      <w:pPr>
        <w:keepNext w:val="1"/>
        <w:numPr>
          <w:ilvl w:val="2"/>
          <w:numId w:val="1"/>
        </w:numPr>
        <w:pBdr>
          <w:top w:space="0" w:sz="0" w:val="nil"/>
          <w:left w:space="0" w:sz="0" w:val="nil"/>
          <w:bottom w:space="0" w:sz="0" w:val="nil"/>
          <w:right w:space="0" w:sz="0" w:val="nil"/>
          <w:between w:space="0" w:sz="0" w:val="nil"/>
        </w:pBdr>
        <w:tabs>
          <w:tab w:val="left" w:leader="none" w:pos="1985"/>
        </w:tabs>
        <w:spacing w:after="120" w:before="120" w:line="276" w:lineRule="auto"/>
        <w:ind w:left="1620" w:hanging="720"/>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Where the pension adjustment in Paragraph 4.1.1 is agreed following the receipt of further information/evidence or following a meeting, the Buyer shall notify the Supplier in writing. </w:t>
      </w:r>
    </w:p>
    <w:p w:rsidR="00000000" w:rsidDel="00000000" w:rsidP="00000000" w:rsidRDefault="00000000" w:rsidRPr="00000000" w14:paraId="00000081">
      <w:pPr>
        <w:keepNext w:val="1"/>
        <w:numPr>
          <w:ilvl w:val="2"/>
          <w:numId w:val="1"/>
        </w:numPr>
        <w:pBdr>
          <w:top w:space="0" w:sz="0" w:val="nil"/>
          <w:left w:space="0" w:sz="0" w:val="nil"/>
          <w:bottom w:space="0" w:sz="0" w:val="nil"/>
          <w:right w:space="0" w:sz="0" w:val="nil"/>
          <w:between w:space="0" w:sz="0" w:val="nil"/>
        </w:pBdr>
        <w:tabs>
          <w:tab w:val="left" w:leader="none" w:pos="1985"/>
        </w:tabs>
        <w:spacing w:after="120" w:before="120" w:line="276" w:lineRule="auto"/>
        <w:ind w:left="1620" w:hanging="720"/>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In the event that the Supplier and the Buyer are unable to agree the pension adjustment, they shall follow the Dispute Resolution Procedure. </w:t>
      </w:r>
    </w:p>
    <w:p w:rsidR="00000000" w:rsidDel="00000000" w:rsidP="00000000" w:rsidRDefault="00000000" w:rsidRPr="00000000" w14:paraId="00000082">
      <w:pPr>
        <w:keepNext w:val="1"/>
        <w:numPr>
          <w:ilvl w:val="2"/>
          <w:numId w:val="1"/>
        </w:numPr>
        <w:pBdr>
          <w:top w:space="0" w:sz="0" w:val="nil"/>
          <w:left w:space="0" w:sz="0" w:val="nil"/>
          <w:bottom w:space="0" w:sz="0" w:val="nil"/>
          <w:right w:space="0" w:sz="0" w:val="nil"/>
          <w:between w:space="0" w:sz="0" w:val="nil"/>
        </w:pBdr>
        <w:tabs>
          <w:tab w:val="left" w:leader="none" w:pos="1985"/>
        </w:tabs>
        <w:spacing w:after="120" w:before="120" w:line="276" w:lineRule="auto"/>
        <w:ind w:left="1620" w:hanging="720"/>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If paragraph 4.1.4 above applies, the excess amount calculated for the pension adjustment is not included in any calculation of the TUPE Premium Average.</w:t>
      </w:r>
    </w:p>
    <w:p w:rsidR="00000000" w:rsidDel="00000000" w:rsidP="00000000" w:rsidRDefault="00000000" w:rsidRPr="00000000" w14:paraId="00000083">
      <w:pPr>
        <w:keepNext w:val="1"/>
        <w:numPr>
          <w:ilvl w:val="2"/>
          <w:numId w:val="1"/>
        </w:numPr>
        <w:pBdr>
          <w:top w:space="0" w:sz="0" w:val="nil"/>
          <w:left w:space="0" w:sz="0" w:val="nil"/>
          <w:bottom w:space="0" w:sz="0" w:val="nil"/>
          <w:right w:space="0" w:sz="0" w:val="nil"/>
          <w:between w:space="0" w:sz="0" w:val="nil"/>
        </w:pBdr>
        <w:tabs>
          <w:tab w:val="left" w:leader="none" w:pos="1985"/>
        </w:tabs>
        <w:spacing w:after="120" w:before="120" w:line="276" w:lineRule="auto"/>
        <w:ind w:left="1620" w:hanging="720"/>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Any pension adjustment agreed by the Buyer over the Employer Pension Contribution Cap or in respect of Other Pension Cost shall be </w:t>
      </w:r>
      <w:r w:rsidDel="00000000" w:rsidR="00000000" w:rsidRPr="00000000">
        <w:rPr>
          <w:rFonts w:ascii="Arial" w:cs="Arial" w:eastAsia="Arial" w:hAnsi="Arial"/>
          <w:sz w:val="24"/>
          <w:szCs w:val="24"/>
          <w:rtl w:val="0"/>
        </w:rPr>
        <w:t xml:space="preserve">invoiced in accordance with Call-Off Schedule 5 </w:t>
      </w:r>
      <w:r w:rsidDel="00000000" w:rsidR="00000000" w:rsidRPr="00000000">
        <w:rPr>
          <w:rFonts w:ascii="Arial" w:cs="Arial" w:eastAsia="Arial" w:hAnsi="Arial"/>
          <w:i w:val="1"/>
          <w:sz w:val="24"/>
          <w:szCs w:val="24"/>
          <w:rtl w:val="0"/>
        </w:rPr>
        <w:t xml:space="preserve">(Pricing Details).</w:t>
      </w:r>
      <w:r w:rsidDel="00000000" w:rsidR="00000000" w:rsidRPr="00000000">
        <w:rPr>
          <w:rtl w:val="0"/>
        </w:rPr>
      </w:r>
    </w:p>
    <w:p w:rsidR="00000000" w:rsidDel="00000000" w:rsidP="00000000" w:rsidRDefault="00000000" w:rsidRPr="00000000" w14:paraId="00000084">
      <w:pPr>
        <w:numPr>
          <w:ilvl w:val="0"/>
          <w:numId w:val="1"/>
        </w:numPr>
        <w:pBdr>
          <w:top w:space="0" w:sz="0" w:val="nil"/>
          <w:left w:space="0" w:sz="0" w:val="nil"/>
          <w:bottom w:space="0" w:sz="0" w:val="nil"/>
          <w:right w:space="0" w:sz="0" w:val="nil"/>
          <w:between w:space="0" w:sz="0" w:val="nil"/>
        </w:pBdr>
        <w:tabs>
          <w:tab w:val="left" w:leader="none" w:pos="175"/>
        </w:tabs>
        <w:spacing w:after="120" w:line="276" w:lineRule="auto"/>
        <w:ind w:left="502" w:hanging="360"/>
        <w:jc w:val="left"/>
        <w:rPr>
          <w:rFonts w:ascii="Arial" w:cs="Arial" w:eastAsia="Arial" w:hAnsi="Arial"/>
          <w:b w:val="1"/>
          <w:color w:val="000000"/>
          <w:sz w:val="24"/>
          <w:szCs w:val="24"/>
        </w:rPr>
      </w:pPr>
      <w:r w:rsidDel="00000000" w:rsidR="00000000" w:rsidRPr="00000000">
        <w:rPr>
          <w:rtl w:val="0"/>
        </w:rPr>
        <w:t xml:space="preserve">     </w:t>
      </w:r>
      <w:r w:rsidDel="00000000" w:rsidR="00000000" w:rsidRPr="00000000">
        <w:rPr>
          <w:rFonts w:ascii="Arial" w:cs="Arial" w:eastAsia="Arial" w:hAnsi="Arial"/>
          <w:b w:val="1"/>
          <w:color w:val="000000"/>
          <w:sz w:val="24"/>
          <w:szCs w:val="24"/>
          <w:rtl w:val="0"/>
        </w:rPr>
        <w:t xml:space="preserve">TUPE Management Cost</w:t>
      </w:r>
    </w:p>
    <w:p w:rsidR="00000000" w:rsidDel="00000000" w:rsidP="00000000" w:rsidRDefault="00000000" w:rsidRPr="00000000" w14:paraId="00000085">
      <w:pPr>
        <w:numPr>
          <w:ilvl w:val="1"/>
          <w:numId w:val="1"/>
        </w:numPr>
        <w:pBdr>
          <w:top w:space="0" w:sz="0" w:val="nil"/>
          <w:left w:space="0" w:sz="0" w:val="nil"/>
          <w:bottom w:space="0" w:sz="0" w:val="nil"/>
          <w:right w:space="0" w:sz="0" w:val="nil"/>
          <w:between w:space="0" w:sz="0" w:val="nil"/>
        </w:pBdr>
        <w:tabs>
          <w:tab w:val="left" w:leader="none" w:pos="1134"/>
        </w:tabs>
        <w:spacing w:after="120" w:before="120" w:line="276" w:lineRule="auto"/>
        <w:ind w:left="1078" w:hanging="579"/>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Option 1 - Award Without Competition TUPE Premium and </w:t>
      </w:r>
      <w:r w:rsidDel="00000000" w:rsidR="00000000" w:rsidRPr="00000000">
        <w:rPr>
          <w:rFonts w:ascii="Arial" w:cs="Arial" w:eastAsia="Arial" w:hAnsi="Arial"/>
          <w:sz w:val="24"/>
          <w:szCs w:val="24"/>
          <w:rtl w:val="0"/>
        </w:rPr>
        <w:t xml:space="preserve">Option 2 - </w:t>
      </w:r>
      <w:r w:rsidDel="00000000" w:rsidR="00000000" w:rsidRPr="00000000">
        <w:rPr>
          <w:rFonts w:ascii="Arial" w:cs="Arial" w:eastAsia="Arial" w:hAnsi="Arial"/>
          <w:color w:val="000000"/>
          <w:sz w:val="24"/>
          <w:szCs w:val="24"/>
          <w:rtl w:val="0"/>
        </w:rPr>
        <w:t xml:space="preserve">Adjustable TUPE Premium.</w:t>
      </w:r>
    </w:p>
    <w:p w:rsidR="00000000" w:rsidDel="00000000" w:rsidP="00000000" w:rsidRDefault="00000000" w:rsidRPr="00000000" w14:paraId="00000086">
      <w:pPr>
        <w:numPr>
          <w:ilvl w:val="2"/>
          <w:numId w:val="1"/>
        </w:numPr>
        <w:pBdr>
          <w:top w:space="0" w:sz="0" w:val="nil"/>
          <w:left w:space="0" w:sz="0" w:val="nil"/>
          <w:bottom w:space="0" w:sz="0" w:val="nil"/>
          <w:right w:space="0" w:sz="0" w:val="nil"/>
          <w:between w:space="0" w:sz="0" w:val="nil"/>
        </w:pBdr>
        <w:tabs>
          <w:tab w:val="left" w:leader="none" w:pos="1985"/>
        </w:tabs>
        <w:spacing w:after="120" w:before="120" w:line="276" w:lineRule="auto"/>
        <w:ind w:left="1620" w:hanging="720"/>
        <w:jc w:val="left"/>
        <w:rPr>
          <w:rFonts w:ascii="Arial" w:cs="Arial" w:eastAsia="Arial" w:hAnsi="Arial"/>
          <w:color w:val="000000"/>
          <w:sz w:val="24"/>
          <w:szCs w:val="24"/>
        </w:rPr>
      </w:pPr>
      <w:bookmarkStart w:colFirst="0" w:colLast="0" w:name="_heading=h.gjdgxs" w:id="14"/>
      <w:bookmarkEnd w:id="14"/>
      <w:r w:rsidDel="00000000" w:rsidR="00000000" w:rsidRPr="00000000">
        <w:rPr>
          <w:rFonts w:ascii="Arial" w:cs="Arial" w:eastAsia="Arial" w:hAnsi="Arial"/>
          <w:color w:val="000000"/>
          <w:sz w:val="24"/>
          <w:szCs w:val="24"/>
          <w:rtl w:val="0"/>
        </w:rPr>
        <w:t xml:space="preserve">If the Supplier requests a post award adjustment to </w:t>
      </w:r>
      <w:r w:rsidDel="00000000" w:rsidR="00000000" w:rsidRPr="00000000">
        <w:rPr>
          <w:rFonts w:ascii="Arial" w:cs="Arial" w:eastAsia="Arial" w:hAnsi="Arial"/>
          <w:sz w:val="24"/>
          <w:szCs w:val="24"/>
          <w:rtl w:val="0"/>
        </w:rPr>
        <w:t xml:space="preserve">the TUPE Management Cost</w:t>
      </w:r>
      <w:r w:rsidDel="00000000" w:rsidR="00000000" w:rsidRPr="00000000">
        <w:rPr>
          <w:rFonts w:ascii="Arial" w:cs="Arial" w:eastAsia="Arial" w:hAnsi="Arial"/>
          <w:color w:val="000000"/>
          <w:sz w:val="24"/>
          <w:szCs w:val="24"/>
          <w:rtl w:val="0"/>
        </w:rPr>
        <w:t xml:space="preserve">, they </w:t>
      </w:r>
      <w:r w:rsidDel="00000000" w:rsidR="00000000" w:rsidRPr="00000000">
        <w:rPr>
          <w:rFonts w:ascii="Arial" w:cs="Arial" w:eastAsia="Arial" w:hAnsi="Arial"/>
          <w:sz w:val="24"/>
          <w:szCs w:val="24"/>
          <w:rtl w:val="0"/>
        </w:rPr>
        <w:t xml:space="preserve">shall</w:t>
      </w:r>
      <w:r w:rsidDel="00000000" w:rsidR="00000000" w:rsidRPr="00000000">
        <w:rPr>
          <w:rFonts w:ascii="Arial" w:cs="Arial" w:eastAsia="Arial" w:hAnsi="Arial"/>
          <w:color w:val="000000"/>
          <w:sz w:val="24"/>
          <w:szCs w:val="24"/>
          <w:rtl w:val="0"/>
        </w:rPr>
        <w:t xml:space="preserve"> provide sufficient evidence to the Buyer to justify the post award adjustment.</w:t>
      </w:r>
    </w:p>
    <w:p w:rsidR="00000000" w:rsidDel="00000000" w:rsidP="00000000" w:rsidRDefault="00000000" w:rsidRPr="00000000" w14:paraId="00000087">
      <w:pPr>
        <w:keepNext w:val="1"/>
        <w:numPr>
          <w:ilvl w:val="2"/>
          <w:numId w:val="1"/>
        </w:numPr>
        <w:pBdr>
          <w:top w:space="0" w:sz="0" w:val="nil"/>
          <w:left w:space="0" w:sz="0" w:val="nil"/>
          <w:bottom w:space="0" w:sz="0" w:val="nil"/>
          <w:right w:space="0" w:sz="0" w:val="nil"/>
          <w:between w:space="0" w:sz="0" w:val="nil"/>
        </w:pBdr>
        <w:tabs>
          <w:tab w:val="left" w:leader="none" w:pos="1985"/>
        </w:tabs>
        <w:spacing w:after="120" w:before="120" w:line="276" w:lineRule="auto"/>
        <w:ind w:left="1620" w:hanging="720"/>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On receipt of the Supplier</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color w:val="000000"/>
          <w:sz w:val="24"/>
          <w:szCs w:val="24"/>
          <w:rtl w:val="0"/>
        </w:rPr>
        <w:t xml:space="preserve">s calculation of the post award adjustment the Buyer shall either:</w:t>
      </w:r>
    </w:p>
    <w:p w:rsidR="00000000" w:rsidDel="00000000" w:rsidP="00000000" w:rsidRDefault="00000000" w:rsidRPr="00000000" w14:paraId="00000088">
      <w:pPr>
        <w:keepNext w:val="0"/>
        <w:keepLines w:val="0"/>
        <w:pageBreakBefore w:val="0"/>
        <w:widowControl w:val="1"/>
        <w:numPr>
          <w:ilvl w:val="3"/>
          <w:numId w:val="3"/>
        </w:numPr>
        <w:pBdr>
          <w:top w:space="0" w:sz="0" w:val="nil"/>
          <w:left w:space="0" w:sz="0" w:val="nil"/>
          <w:bottom w:space="0" w:sz="0" w:val="nil"/>
          <w:right w:space="0" w:sz="0" w:val="nil"/>
          <w:between w:space="0" w:sz="0" w:val="nil"/>
        </w:pBdr>
        <w:shd w:fill="auto" w:val="clear"/>
        <w:tabs>
          <w:tab w:val="left" w:leader="none" w:pos="175"/>
          <w:tab w:val="left" w:leader="none" w:pos="1985"/>
        </w:tabs>
        <w:spacing w:after="120" w:before="0" w:line="276" w:lineRule="auto"/>
        <w:ind w:left="2733" w:right="0" w:hanging="93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Notify the Supplier in writing of acceptance of the TUPE Management Cost adjustments, or</w:t>
      </w:r>
    </w:p>
    <w:p w:rsidR="00000000" w:rsidDel="00000000" w:rsidP="00000000" w:rsidRDefault="00000000" w:rsidRPr="00000000" w14:paraId="00000089">
      <w:pPr>
        <w:keepNext w:val="0"/>
        <w:keepLines w:val="0"/>
        <w:pageBreakBefore w:val="0"/>
        <w:widowControl w:val="1"/>
        <w:numPr>
          <w:ilvl w:val="3"/>
          <w:numId w:val="3"/>
        </w:numPr>
        <w:pBdr>
          <w:top w:space="0" w:sz="0" w:val="nil"/>
          <w:left w:space="0" w:sz="0" w:val="nil"/>
          <w:bottom w:space="0" w:sz="0" w:val="nil"/>
          <w:right w:space="0" w:sz="0" w:val="nil"/>
          <w:between w:space="0" w:sz="0" w:val="nil"/>
        </w:pBdr>
        <w:shd w:fill="auto" w:val="clear"/>
        <w:tabs>
          <w:tab w:val="left" w:leader="none" w:pos="175"/>
          <w:tab w:val="left" w:leader="none" w:pos="1985"/>
        </w:tabs>
        <w:spacing w:after="120" w:before="0" w:line="276" w:lineRule="auto"/>
        <w:ind w:left="2733" w:right="0" w:hanging="93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Request further information/evidence; and/or</w:t>
      </w:r>
    </w:p>
    <w:p w:rsidR="00000000" w:rsidDel="00000000" w:rsidP="00000000" w:rsidRDefault="00000000" w:rsidRPr="00000000" w14:paraId="0000008A">
      <w:pPr>
        <w:keepNext w:val="0"/>
        <w:keepLines w:val="0"/>
        <w:pageBreakBefore w:val="0"/>
        <w:widowControl w:val="1"/>
        <w:numPr>
          <w:ilvl w:val="3"/>
          <w:numId w:val="3"/>
        </w:numPr>
        <w:pBdr>
          <w:top w:space="0" w:sz="0" w:val="nil"/>
          <w:left w:space="0" w:sz="0" w:val="nil"/>
          <w:bottom w:space="0" w:sz="0" w:val="nil"/>
          <w:right w:space="0" w:sz="0" w:val="nil"/>
          <w:between w:space="0" w:sz="0" w:val="nil"/>
        </w:pBdr>
        <w:shd w:fill="auto" w:val="clear"/>
        <w:tabs>
          <w:tab w:val="left" w:leader="none" w:pos="175"/>
          <w:tab w:val="left" w:leader="none" w:pos="1985"/>
        </w:tabs>
        <w:spacing w:after="120" w:before="0" w:line="276" w:lineRule="auto"/>
        <w:ind w:left="2733" w:right="0" w:hanging="93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Request a meeting to discuss/clarify the evidence provided.</w:t>
      </w:r>
    </w:p>
    <w:p w:rsidR="00000000" w:rsidDel="00000000" w:rsidP="00000000" w:rsidRDefault="00000000" w:rsidRPr="00000000" w14:paraId="0000008B">
      <w:pPr>
        <w:numPr>
          <w:ilvl w:val="1"/>
          <w:numId w:val="1"/>
        </w:numPr>
        <w:pBdr>
          <w:top w:space="0" w:sz="0" w:val="nil"/>
          <w:left w:space="0" w:sz="0" w:val="nil"/>
          <w:bottom w:space="0" w:sz="0" w:val="nil"/>
          <w:right w:space="0" w:sz="0" w:val="nil"/>
          <w:between w:space="0" w:sz="0" w:val="nil"/>
        </w:pBdr>
        <w:tabs>
          <w:tab w:val="left" w:leader="none" w:pos="1134"/>
        </w:tabs>
        <w:spacing w:after="120" w:before="120" w:line="276" w:lineRule="auto"/>
        <w:ind w:left="1078" w:hanging="579"/>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Option 3 – Fixed TUPE Premium</w:t>
      </w:r>
    </w:p>
    <w:p w:rsidR="00000000" w:rsidDel="00000000" w:rsidP="00000000" w:rsidRDefault="00000000" w:rsidRPr="00000000" w14:paraId="0000008C">
      <w:pPr>
        <w:numPr>
          <w:ilvl w:val="2"/>
          <w:numId w:val="1"/>
        </w:numPr>
        <w:pBdr>
          <w:top w:space="0" w:sz="0" w:val="nil"/>
          <w:left w:space="0" w:sz="0" w:val="nil"/>
          <w:bottom w:space="0" w:sz="0" w:val="nil"/>
          <w:right w:space="0" w:sz="0" w:val="nil"/>
          <w:between w:space="0" w:sz="0" w:val="nil"/>
        </w:pBdr>
        <w:tabs>
          <w:tab w:val="left" w:leader="none" w:pos="1985"/>
        </w:tabs>
        <w:spacing w:after="120" w:before="120" w:line="276" w:lineRule="auto"/>
        <w:ind w:left="1798" w:hanging="720"/>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There shall be no post award adjustment to TUPE Management Cost.</w:t>
      </w:r>
    </w:p>
    <w:p w:rsidR="00000000" w:rsidDel="00000000" w:rsidP="00000000" w:rsidRDefault="00000000" w:rsidRPr="00000000" w14:paraId="0000008D">
      <w:pPr>
        <w:pBdr>
          <w:top w:space="0" w:sz="0" w:val="nil"/>
          <w:left w:space="0" w:sz="0" w:val="nil"/>
          <w:bottom w:space="0" w:sz="0" w:val="nil"/>
          <w:right w:space="0" w:sz="0" w:val="nil"/>
          <w:between w:space="0" w:sz="0" w:val="nil"/>
        </w:pBdr>
        <w:tabs>
          <w:tab w:val="left" w:leader="none" w:pos="1134"/>
        </w:tabs>
        <w:spacing w:after="120" w:before="120" w:line="276" w:lineRule="auto"/>
        <w:ind w:left="1078" w:hanging="579"/>
        <w:jc w:val="left"/>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8E">
      <w:pPr>
        <w:spacing w:after="0" w:line="276" w:lineRule="auto"/>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 </w:t>
      </w:r>
    </w:p>
    <w:sectPr>
      <w:headerReference r:id="rId7" w:type="default"/>
      <w:headerReference r:id="rId8" w:type="first"/>
      <w:headerReference r:id="rId9" w:type="even"/>
      <w:footerReference r:id="rId10" w:type="default"/>
      <w:footerReference r:id="rId11" w:type="first"/>
      <w:footerReference r:id="rId12" w:type="even"/>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Cambria"/>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5">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6">
    <w:pPr>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Framework Ref: RM6378</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97">
    <w:pPr>
      <w:spacing w:after="0" w:line="276" w:lineRule="auto"/>
      <w:rPr>
        <w:rFonts w:ascii="Arial" w:cs="Arial" w:eastAsia="Arial" w:hAnsi="Arial"/>
        <w:sz w:val="20"/>
        <w:szCs w:val="20"/>
      </w:rPr>
    </w:pPr>
    <w:bookmarkStart w:colFirst="0" w:colLast="0" w:name="_heading=h.1t3h5sf" w:id="16"/>
    <w:bookmarkEnd w:id="16"/>
    <w:r w:rsidDel="00000000" w:rsidR="00000000" w:rsidRPr="00000000">
      <w:rPr>
        <w:rFonts w:ascii="Arial" w:cs="Arial" w:eastAsia="Arial" w:hAnsi="Arial"/>
        <w:sz w:val="20"/>
        <w:szCs w:val="20"/>
        <w:rtl w:val="0"/>
      </w:rPr>
      <w:t xml:space="preserve">Project Ref: v1.0</w:t>
      <w:tab/>
      <w:tab/>
      <w:tab/>
      <w:tab/>
      <w:tab/>
      <w:tab/>
      <w:tab/>
      <w:tab/>
      <w:tab/>
      <w:tab/>
    </w:r>
    <w:r w:rsidDel="00000000" w:rsidR="00000000" w:rsidRPr="00000000">
      <w:rPr>
        <w:rFonts w:ascii="Arial" w:cs="Arial" w:eastAsia="Arial" w:hAnsi="Arial"/>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98">
    <w:pPr>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Model Ref: v1.0</w:t>
    </w:r>
  </w:p>
  <w:p w:rsidR="00000000" w:rsidDel="00000000" w:rsidP="00000000" w:rsidRDefault="00000000" w:rsidRPr="00000000" w14:paraId="00000099">
    <w:pPr>
      <w:spacing w:after="0" w:line="276" w:lineRule="auto"/>
      <w:jc w:val="right"/>
      <w:rPr>
        <w:rFonts w:ascii="Arial" w:cs="Arial" w:eastAsia="Arial" w:hAnsi="Arial"/>
        <w:sz w:val="20"/>
        <w:szCs w:val="20"/>
      </w:rPr>
    </w:pPr>
    <w:bookmarkStart w:colFirst="0" w:colLast="0" w:name="_heading=h.j1ebnxc429z4" w:id="17"/>
    <w:bookmarkEnd w:id="17"/>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A">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F">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0">
    <w:pPr>
      <w:tabs>
        <w:tab w:val="center" w:leader="none" w:pos="4513"/>
        <w:tab w:val="right" w:leader="none" w:pos="9026"/>
      </w:tabs>
      <w:spacing w:after="0" w:line="276" w:lineRule="auto"/>
      <w:jc w:val="left"/>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Call-Off Schedule</w:t>
    </w:r>
    <w:r w:rsidDel="00000000" w:rsidR="00000000" w:rsidRPr="00000000">
      <w:rPr>
        <w:rFonts w:ascii="Arial" w:cs="Arial" w:eastAsia="Arial" w:hAnsi="Arial"/>
        <w:b w:val="1"/>
        <w:sz w:val="20"/>
        <w:szCs w:val="20"/>
        <w:highlight w:val="white"/>
        <w:rtl w:val="0"/>
      </w:rPr>
      <w:t xml:space="preserve"> 31</w:t>
    </w:r>
    <w:r w:rsidDel="00000000" w:rsidR="00000000" w:rsidRPr="00000000">
      <w:rPr>
        <w:rtl w:val="0"/>
      </w:rPr>
      <w:t xml:space="preserve"> </w:t>
    </w:r>
    <w:r w:rsidDel="00000000" w:rsidR="00000000" w:rsidRPr="00000000">
      <w:rPr>
        <w:rFonts w:ascii="Arial" w:cs="Arial" w:eastAsia="Arial" w:hAnsi="Arial"/>
        <w:b w:val="1"/>
        <w:sz w:val="20"/>
        <w:szCs w:val="20"/>
        <w:rtl w:val="0"/>
      </w:rPr>
      <w:t xml:space="preserve">(TUPE Premium)</w:t>
    </w:r>
  </w:p>
  <w:p w:rsidR="00000000" w:rsidDel="00000000" w:rsidP="00000000" w:rsidRDefault="00000000" w:rsidRPr="00000000" w14:paraId="00000091">
    <w:pPr>
      <w:tabs>
        <w:tab w:val="center" w:leader="none" w:pos="4513"/>
        <w:tab w:val="right" w:leader="none" w:pos="9026"/>
      </w:tabs>
      <w:spacing w:after="0" w:line="276" w:lineRule="auto"/>
      <w:jc w:val="left"/>
      <w:rPr>
        <w:rFonts w:ascii="Arial" w:cs="Arial" w:eastAsia="Arial" w:hAnsi="Arial"/>
        <w:sz w:val="20"/>
        <w:szCs w:val="20"/>
      </w:rPr>
    </w:pPr>
    <w:bookmarkStart w:colFirst="0" w:colLast="0" w:name="_heading=h.1fob9te" w:id="15"/>
    <w:bookmarkEnd w:id="15"/>
    <w:r w:rsidDel="00000000" w:rsidR="00000000" w:rsidRPr="00000000">
      <w:rPr>
        <w:rFonts w:ascii="Arial" w:cs="Arial" w:eastAsia="Arial" w:hAnsi="Arial"/>
        <w:sz w:val="20"/>
        <w:szCs w:val="20"/>
        <w:rtl w:val="0"/>
      </w:rPr>
      <w:t xml:space="preserve">Call-Off Ref: </w:t>
    </w:r>
  </w:p>
  <w:p w:rsidR="00000000" w:rsidDel="00000000" w:rsidP="00000000" w:rsidRDefault="00000000" w:rsidRPr="00000000" w14:paraId="00000092">
    <w:pPr>
      <w:tabs>
        <w:tab w:val="center" w:leader="none" w:pos="4513"/>
        <w:tab w:val="right" w:leader="none" w:pos="9026"/>
      </w:tabs>
      <w:spacing w:after="0" w:line="276" w:lineRule="auto"/>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Crown Copyright 2021</w:t>
    </w:r>
  </w:p>
  <w:p w:rsidR="00000000" w:rsidDel="00000000" w:rsidP="00000000" w:rsidRDefault="00000000" w:rsidRPr="00000000" w14:paraId="00000093">
    <w:pPr>
      <w:tabs>
        <w:tab w:val="center" w:leader="none" w:pos="4513"/>
        <w:tab w:val="right" w:leader="none" w:pos="9026"/>
      </w:tabs>
      <w:spacing w:after="0" w:lineRule="auto"/>
      <w:jc w:val="right"/>
      <w:rPr>
        <w:rFonts w:ascii="Arial" w:cs="Arial" w:eastAsia="Arial" w:hAnsi="Arial"/>
        <w:sz w:val="20"/>
        <w:szCs w:val="2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4">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4"/>
      <w:numFmt w:val="decimal"/>
      <w:lvlText w:val="%1."/>
      <w:lvlJc w:val="left"/>
      <w:pPr>
        <w:ind w:left="502" w:hanging="360"/>
      </w:pPr>
      <w:rPr>
        <w:color w:val="000000"/>
        <w:u w:val="none"/>
      </w:rPr>
    </w:lvl>
    <w:lvl w:ilvl="1">
      <w:start w:val="1"/>
      <w:numFmt w:val="decimal"/>
      <w:lvlText w:val="%1.%2."/>
      <w:lvlJc w:val="left"/>
      <w:pPr>
        <w:ind w:left="1078" w:hanging="579"/>
      </w:pPr>
      <w:rPr>
        <w:rFonts w:ascii="Arial" w:cs="Arial" w:eastAsia="Arial" w:hAnsi="Arial"/>
        <w:b w:val="0"/>
        <w:color w:val="000000"/>
        <w:u w:val="none"/>
      </w:rPr>
    </w:lvl>
    <w:lvl w:ilvl="2">
      <w:start w:val="1"/>
      <w:numFmt w:val="decimal"/>
      <w:lvlText w:val="%1.%2.%3."/>
      <w:lvlJc w:val="left"/>
      <w:pPr>
        <w:ind w:left="1798" w:hanging="720"/>
      </w:pPr>
      <w:rPr>
        <w:rFonts w:ascii="Arial" w:cs="Arial" w:eastAsia="Arial" w:hAnsi="Arial"/>
        <w:b w:val="0"/>
        <w:color w:val="000000"/>
        <w:u w:val="none"/>
      </w:rPr>
    </w:lvl>
    <w:lvl w:ilvl="3">
      <w:start w:val="1"/>
      <w:numFmt w:val="lowerLetter"/>
      <w:lvlText w:val="(%4)"/>
      <w:lvlJc w:val="left"/>
      <w:pPr>
        <w:ind w:left="2733" w:hanging="935"/>
      </w:pPr>
      <w:rPr>
        <w:rFonts w:ascii="Arial" w:cs="Arial" w:eastAsia="Arial" w:hAnsi="Arial"/>
        <w:b w:val="0"/>
        <w:color w:val="000000"/>
        <w:u w:val="none"/>
      </w:rPr>
    </w:lvl>
    <w:lvl w:ilvl="4">
      <w:start w:val="1"/>
      <w:numFmt w:val="lowerRoman"/>
      <w:lvlText w:val="(%5)"/>
      <w:lvlJc w:val="left"/>
      <w:pPr>
        <w:ind w:left="3261" w:hanging="566"/>
      </w:pPr>
      <w:rPr>
        <w:rFonts w:ascii="Calibri" w:cs="Calibri" w:eastAsia="Calibri" w:hAnsi="Calibri"/>
        <w:color w:val="0000ff"/>
        <w:u w:val="single"/>
      </w:rPr>
    </w:lvl>
    <w:lvl w:ilvl="5">
      <w:start w:val="1"/>
      <w:numFmt w:val="decimal"/>
      <w:lvlText w:val="%1.%2.%3.%4.%5.%6."/>
      <w:lvlJc w:val="left"/>
      <w:pPr>
        <w:ind w:left="2878" w:hanging="935"/>
      </w:pPr>
      <w:rPr>
        <w:color w:val="0000ff"/>
        <w:u w:val="single"/>
      </w:rPr>
    </w:lvl>
    <w:lvl w:ilvl="6">
      <w:start w:val="1"/>
      <w:numFmt w:val="decimal"/>
      <w:lvlText w:val="%1.%2.%3.%4.%5.%6.%7."/>
      <w:lvlJc w:val="left"/>
      <w:pPr>
        <w:ind w:left="3382" w:hanging="1080"/>
      </w:pPr>
      <w:rPr>
        <w:color w:val="0000ff"/>
        <w:u w:val="single"/>
      </w:rPr>
    </w:lvl>
    <w:lvl w:ilvl="7">
      <w:start w:val="1"/>
      <w:numFmt w:val="decimal"/>
      <w:lvlText w:val="%1.%2.%3.%4.%5.%6.%7.%8."/>
      <w:lvlJc w:val="left"/>
      <w:pPr>
        <w:ind w:left="3886" w:hanging="1223"/>
      </w:pPr>
      <w:rPr>
        <w:color w:val="0000ff"/>
        <w:u w:val="single"/>
      </w:rPr>
    </w:lvl>
    <w:lvl w:ilvl="8">
      <w:start w:val="1"/>
      <w:numFmt w:val="decimal"/>
      <w:lvlText w:val="%1.%2.%3.%4.%5.%6.%7.%8.%9."/>
      <w:lvlJc w:val="left"/>
      <w:pPr>
        <w:ind w:left="4462" w:hanging="1440"/>
      </w:pPr>
      <w:rPr>
        <w:color w:val="0000ff"/>
        <w:u w:val="single"/>
      </w:rPr>
    </w:lvl>
  </w:abstractNum>
  <w:abstractNum w:abstractNumId="2">
    <w:lvl w:ilvl="0">
      <w:start w:val="1"/>
      <w:numFmt w:val="decimal"/>
      <w:lvlText w:val="%1."/>
      <w:lvlJc w:val="left"/>
      <w:pPr>
        <w:ind w:left="502" w:hanging="360"/>
      </w:pPr>
      <w:rPr>
        <w:rFonts w:ascii="Arial" w:cs="Arial" w:eastAsia="Arial" w:hAnsi="Arial"/>
        <w:b w:val="1"/>
      </w:rPr>
    </w:lvl>
    <w:lvl w:ilvl="1">
      <w:start w:val="1"/>
      <w:numFmt w:val="decimal"/>
      <w:lvlText w:val="%1.%2."/>
      <w:lvlJc w:val="left"/>
      <w:pPr>
        <w:ind w:left="1078" w:hanging="579"/>
      </w:pPr>
      <w:rPr>
        <w:rFonts w:ascii="Arial" w:cs="Arial" w:eastAsia="Arial" w:hAnsi="Arial"/>
        <w:b w:val="0"/>
      </w:rPr>
    </w:lvl>
    <w:lvl w:ilvl="2">
      <w:start w:val="1"/>
      <w:numFmt w:val="decimal"/>
      <w:lvlText w:val="%1.%2.%3."/>
      <w:lvlJc w:val="left"/>
      <w:pPr>
        <w:ind w:left="1798" w:hanging="720"/>
      </w:pPr>
      <w:rPr>
        <w:rFonts w:ascii="Arial" w:cs="Arial" w:eastAsia="Arial" w:hAnsi="Arial"/>
        <w:b w:val="0"/>
      </w:rPr>
    </w:lvl>
    <w:lvl w:ilvl="3">
      <w:start w:val="1"/>
      <w:numFmt w:val="lowerLetter"/>
      <w:lvlText w:val="(%4)"/>
      <w:lvlJc w:val="left"/>
      <w:pPr>
        <w:ind w:left="2733" w:hanging="935"/>
      </w:pPr>
      <w:rPr>
        <w:rFonts w:ascii="Arial" w:cs="Arial" w:eastAsia="Arial" w:hAnsi="Arial"/>
        <w:b w:val="0"/>
      </w:rPr>
    </w:lvl>
    <w:lvl w:ilvl="4">
      <w:start w:val="1"/>
      <w:numFmt w:val="lowerRoman"/>
      <w:lvlText w:val="(%5)"/>
      <w:lvlJc w:val="left"/>
      <w:pPr>
        <w:ind w:left="3261" w:hanging="566"/>
      </w:pPr>
      <w:rPr>
        <w:rFonts w:ascii="Calibri" w:cs="Calibri" w:eastAsia="Calibri" w:hAnsi="Calibri"/>
      </w:rPr>
    </w:lvl>
    <w:lvl w:ilvl="5">
      <w:start w:val="1"/>
      <w:numFmt w:val="decimal"/>
      <w:lvlText w:val="%1.%2.%3.%4.%5.%6."/>
      <w:lvlJc w:val="left"/>
      <w:pPr>
        <w:ind w:left="2878" w:hanging="935"/>
      </w:pPr>
      <w:rPr/>
    </w:lvl>
    <w:lvl w:ilvl="6">
      <w:start w:val="1"/>
      <w:numFmt w:val="decimal"/>
      <w:lvlText w:val="%1.%2.%3.%4.%5.%6.%7."/>
      <w:lvlJc w:val="left"/>
      <w:pPr>
        <w:ind w:left="3382" w:hanging="1080"/>
      </w:pPr>
      <w:rPr/>
    </w:lvl>
    <w:lvl w:ilvl="7">
      <w:start w:val="1"/>
      <w:numFmt w:val="decimal"/>
      <w:lvlText w:val="%1.%2.%3.%4.%5.%6.%7.%8."/>
      <w:lvlJc w:val="left"/>
      <w:pPr>
        <w:ind w:left="3886" w:hanging="1223"/>
      </w:pPr>
      <w:rPr/>
    </w:lvl>
    <w:lvl w:ilvl="8">
      <w:start w:val="1"/>
      <w:numFmt w:val="decimal"/>
      <w:lvlText w:val="%1.%2.%3.%4.%5.%6.%7.%8.%9."/>
      <w:lvlJc w:val="left"/>
      <w:pPr>
        <w:ind w:left="4462" w:hanging="1440"/>
      </w:pPr>
      <w:rPr/>
    </w:lvl>
  </w:abstractNum>
  <w:abstractNum w:abstractNumId="3">
    <w:lvl w:ilvl="0">
      <w:start w:val="1"/>
      <w:numFmt w:val="decimal"/>
      <w:lvlText w:val="%1."/>
      <w:lvlJc w:val="left"/>
      <w:pPr>
        <w:ind w:left="502" w:hanging="360"/>
      </w:pPr>
      <w:rPr>
        <w:rFonts w:ascii="Arial" w:cs="Arial" w:eastAsia="Arial" w:hAnsi="Arial"/>
        <w:b w:val="1"/>
      </w:rPr>
    </w:lvl>
    <w:lvl w:ilvl="1">
      <w:start w:val="1"/>
      <w:numFmt w:val="decimal"/>
      <w:lvlText w:val="%1.%2."/>
      <w:lvlJc w:val="left"/>
      <w:pPr>
        <w:ind w:left="1078" w:hanging="579"/>
      </w:pPr>
      <w:rPr>
        <w:rFonts w:ascii="Arial" w:cs="Arial" w:eastAsia="Arial" w:hAnsi="Arial"/>
        <w:b w:val="0"/>
      </w:rPr>
    </w:lvl>
    <w:lvl w:ilvl="2">
      <w:start w:val="1"/>
      <w:numFmt w:val="decimal"/>
      <w:lvlText w:val="%1.%2.%3."/>
      <w:lvlJc w:val="left"/>
      <w:pPr>
        <w:ind w:left="1798" w:hanging="720"/>
      </w:pPr>
      <w:rPr>
        <w:rFonts w:ascii="Arial" w:cs="Arial" w:eastAsia="Arial" w:hAnsi="Arial"/>
        <w:b w:val="0"/>
      </w:rPr>
    </w:lvl>
    <w:lvl w:ilvl="3">
      <w:start w:val="1"/>
      <w:numFmt w:val="lowerLetter"/>
      <w:lvlText w:val="(%4)"/>
      <w:lvlJc w:val="left"/>
      <w:pPr>
        <w:ind w:left="2733" w:hanging="935"/>
      </w:pPr>
      <w:rPr>
        <w:rFonts w:ascii="Arial" w:cs="Arial" w:eastAsia="Arial" w:hAnsi="Arial"/>
        <w:b w:val="0"/>
      </w:rPr>
    </w:lvl>
    <w:lvl w:ilvl="4">
      <w:start w:val="1"/>
      <w:numFmt w:val="lowerRoman"/>
      <w:lvlText w:val="(%5)"/>
      <w:lvlJc w:val="left"/>
      <w:pPr>
        <w:ind w:left="3261" w:hanging="566"/>
      </w:pPr>
      <w:rPr>
        <w:rFonts w:ascii="Calibri" w:cs="Calibri" w:eastAsia="Calibri" w:hAnsi="Calibri"/>
      </w:rPr>
    </w:lvl>
    <w:lvl w:ilvl="5">
      <w:start w:val="1"/>
      <w:numFmt w:val="decimal"/>
      <w:lvlText w:val="%1.%2.%3.%4.%5.%6."/>
      <w:lvlJc w:val="left"/>
      <w:pPr>
        <w:ind w:left="2878" w:hanging="935"/>
      </w:pPr>
      <w:rPr/>
    </w:lvl>
    <w:lvl w:ilvl="6">
      <w:start w:val="1"/>
      <w:numFmt w:val="decimal"/>
      <w:lvlText w:val="%1.%2.%3.%4.%5.%6.%7."/>
      <w:lvlJc w:val="left"/>
      <w:pPr>
        <w:ind w:left="3382" w:hanging="1080"/>
      </w:pPr>
      <w:rPr/>
    </w:lvl>
    <w:lvl w:ilvl="7">
      <w:start w:val="1"/>
      <w:numFmt w:val="decimal"/>
      <w:lvlText w:val="%1.%2.%3.%4.%5.%6.%7.%8."/>
      <w:lvlJc w:val="left"/>
      <w:pPr>
        <w:ind w:left="3886" w:hanging="1223"/>
      </w:pPr>
      <w:rPr/>
    </w:lvl>
    <w:lvl w:ilvl="8">
      <w:start w:val="1"/>
      <w:numFmt w:val="decimal"/>
      <w:lvlText w:val="%1.%2.%3.%4.%5.%6.%7.%8.%9."/>
      <w:lvlJc w:val="left"/>
      <w:pPr>
        <w:ind w:left="4462" w:hanging="144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240"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0" w:lineRule="auto"/>
      <w:jc w:val="left"/>
    </w:pPr>
    <w:rPr>
      <w:rFonts w:ascii="Times New Roman" w:cs="Times New Roman" w:eastAsia="Times New Roman" w:hAnsi="Times New Roman"/>
      <w:i w:val="1"/>
      <w:sz w:val="18"/>
      <w:szCs w:val="18"/>
    </w:rPr>
  </w:style>
  <w:style w:type="paragraph" w:styleId="Heading2">
    <w:name w:val="heading 2"/>
    <w:basedOn w:val="Normal"/>
    <w:next w:val="Normal"/>
    <w:pPr>
      <w:ind w:left="862" w:hanging="720"/>
    </w:pPr>
    <w:rPr/>
  </w:style>
  <w:style w:type="paragraph" w:styleId="Heading3">
    <w:name w:val="heading 3"/>
    <w:basedOn w:val="Normal"/>
    <w:next w:val="Normal"/>
    <w:pPr>
      <w:keepNext w:val="1"/>
      <w:spacing w:after="60" w:before="240" w:line="276" w:lineRule="auto"/>
      <w:jc w:val="left"/>
    </w:pPr>
    <w:rPr>
      <w:rFonts w:ascii="Cambria" w:cs="Cambria" w:eastAsia="Cambria" w:hAnsi="Cambria"/>
      <w:b w:val="1"/>
      <w:sz w:val="26"/>
      <w:szCs w:val="26"/>
    </w:rPr>
  </w:style>
  <w:style w:type="paragraph" w:styleId="Heading4">
    <w:name w:val="heading 4"/>
    <w:basedOn w:val="Normal"/>
    <w:next w:val="Normal"/>
    <w:pPr>
      <w:ind w:left="2781" w:hanging="1080"/>
    </w:pPr>
    <w:rPr/>
  </w:style>
  <w:style w:type="paragraph" w:styleId="Heading5">
    <w:name w:val="heading 5"/>
    <w:basedOn w:val="Normal"/>
    <w:next w:val="Normal"/>
    <w:pPr>
      <w:ind w:left="3600" w:hanging="720"/>
    </w:pPr>
    <w:rPr/>
  </w:style>
  <w:style w:type="paragraph" w:styleId="Heading6">
    <w:name w:val="heading 6"/>
    <w:basedOn w:val="Normal"/>
    <w:next w:val="Normal"/>
    <w:pPr>
      <w:ind w:left="4320" w:hanging="720"/>
    </w:pPr>
    <w:rPr/>
  </w:style>
  <w:style w:type="paragraph" w:styleId="Title">
    <w:name w:val="Title"/>
    <w:basedOn w:val="Normal"/>
    <w:next w:val="Normal"/>
    <w:pPr>
      <w:keepNext w:val="1"/>
      <w:keepLines w:val="1"/>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100.0" w:type="dxa"/>
        <w:left w:w="100.0" w:type="dxa"/>
        <w:bottom w:w="100.0" w:type="dxa"/>
        <w:right w:w="100.0" w:type="dxa"/>
      </w:tblCellMar>
    </w:tblPr>
  </w:style>
  <w:style w:type="table" w:styleId="TableNormal1" w:customStyle="1">
    <w:name w:val="TableNormal"/>
    <w:tblPr>
      <w:tblCellMar>
        <w:top w:w="100.0" w:type="dxa"/>
        <w:left w:w="100.0" w:type="dxa"/>
        <w:bottom w:w="100.0" w:type="dxa"/>
        <w:right w:w="100.0" w:type="dxa"/>
      </w:tblCellMar>
    </w:tblPr>
  </w:style>
  <w:style w:type="table" w:styleId="TableNormal2" w:customStyle="1">
    <w:name w:val="TableNormal"/>
    <w:tblPr>
      <w:tblCellMar>
        <w:top w:w="100.0" w:type="dxa"/>
        <w:left w:w="100.0" w:type="dxa"/>
        <w:bottom w:w="100.0" w:type="dxa"/>
        <w:right w:w="100.0" w:type="dxa"/>
      </w:tblCellMar>
    </w:tblPr>
  </w:style>
  <w:style w:type="character" w:styleId="Heading1Char" w:customStyle="1">
    <w:name w:val="Heading 1 Char"/>
    <w:link w:val="Heading1"/>
    <w:uiPriority w:val="9"/>
    <w:rPr>
      <w:rFonts w:ascii="Cambria" w:cs="Times New Roman" w:eastAsia="Times New Roman" w:hAnsi="Cambria"/>
      <w:b w:val="1"/>
      <w:bCs w:val="1"/>
      <w:kern w:val="32"/>
      <w:sz w:val="32"/>
      <w:szCs w:val="32"/>
    </w:rPr>
  </w:style>
  <w:style w:type="character" w:styleId="Heading2Char" w:customStyle="1">
    <w:name w:val="Heading 2 Char"/>
    <w:link w:val="Heading2"/>
    <w:uiPriority w:val="9"/>
    <w:rPr>
      <w:rFonts w:ascii="Arial" w:cs="Times New Roman" w:eastAsia="STZhongsong" w:hAnsi="Arial"/>
      <w:sz w:val="20"/>
      <w:szCs w:val="20"/>
      <w:lang w:val="x-none"/>
    </w:rPr>
  </w:style>
  <w:style w:type="character" w:styleId="Heading3Char" w:customStyle="1">
    <w:name w:val="Heading 3 Char"/>
    <w:link w:val="Heading3"/>
    <w:uiPriority w:val="9"/>
    <w:rPr>
      <w:rFonts w:ascii="Cambria" w:cs="Times New Roman" w:eastAsia="Times New Roman" w:hAnsi="Cambria"/>
      <w:b w:val="1"/>
      <w:sz w:val="26"/>
      <w:szCs w:val="26"/>
      <w:lang w:val="x-none"/>
    </w:rPr>
  </w:style>
  <w:style w:type="character" w:styleId="Heading4Char" w:customStyle="1">
    <w:name w:val="Heading 4 Char"/>
    <w:link w:val="Heading4"/>
    <w:uiPriority w:val="6"/>
    <w:rPr>
      <w:rFonts w:ascii="Arial" w:cs="Times New Roman" w:eastAsia="STZhongsong" w:hAnsi="Arial"/>
      <w:sz w:val="20"/>
      <w:szCs w:val="20"/>
      <w:lang w:val="x-none"/>
    </w:rPr>
  </w:style>
  <w:style w:type="character" w:styleId="Heading5Char" w:customStyle="1">
    <w:name w:val="Heading 5 Char"/>
    <w:link w:val="Heading5"/>
    <w:uiPriority w:val="9"/>
    <w:rPr>
      <w:rFonts w:ascii="Arial" w:cs="Times New Roman" w:eastAsia="STZhongsong" w:hAnsi="Arial"/>
      <w:sz w:val="20"/>
      <w:szCs w:val="20"/>
      <w:lang w:val="x-none"/>
    </w:rPr>
  </w:style>
  <w:style w:type="character" w:styleId="Heading6Char" w:customStyle="1">
    <w:name w:val="Heading 6 Char"/>
    <w:link w:val="Heading6"/>
    <w:uiPriority w:val="9"/>
    <w:rPr>
      <w:rFonts w:ascii="Arial" w:cs="Times New Roman" w:eastAsia="STZhongsong" w:hAnsi="Arial"/>
      <w:sz w:val="20"/>
      <w:szCs w:val="20"/>
      <w:lang w:val="x-none"/>
    </w:rPr>
  </w:style>
  <w:style w:type="paragraph" w:styleId="Header">
    <w:name w:val="header"/>
    <w:basedOn w:val="Normal"/>
    <w:link w:val="HeaderChar"/>
    <w:uiPriority w:val="99"/>
    <w:pPr>
      <w:tabs>
        <w:tab w:val="center" w:pos="4513"/>
        <w:tab w:val="right" w:pos="9026"/>
      </w:tabs>
      <w:spacing w:after="0"/>
    </w:pPr>
  </w:style>
  <w:style w:type="character" w:styleId="HeaderChar" w:customStyle="1">
    <w:name w:val="Header Char"/>
    <w:link w:val="Header"/>
    <w:uiPriority w:val="99"/>
    <w:rPr>
      <w:rFonts w:ascii="Calibri" w:cs="Arial" w:hAnsi="Calibri"/>
    </w:rPr>
  </w:style>
  <w:style w:type="paragraph" w:styleId="Footer">
    <w:name w:val="footer"/>
    <w:basedOn w:val="Normal"/>
    <w:link w:val="FooterChar"/>
    <w:uiPriority w:val="99"/>
    <w:pPr>
      <w:tabs>
        <w:tab w:val="center" w:pos="4513"/>
        <w:tab w:val="right" w:pos="9026"/>
      </w:tabs>
      <w:spacing w:after="0"/>
    </w:pPr>
  </w:style>
  <w:style w:type="character" w:styleId="FooterChar" w:customStyle="1">
    <w:name w:val="Footer Char"/>
    <w:link w:val="Footer"/>
    <w:uiPriority w:val="99"/>
    <w:rPr>
      <w:rFonts w:ascii="Calibri" w:cs="Arial" w:hAnsi="Calibri"/>
    </w:rPr>
  </w:style>
  <w:style w:type="paragraph" w:styleId="GPSmacrorestart" w:customStyle="1">
    <w:name w:val="GPS macro restart"/>
    <w:basedOn w:val="Normal"/>
    <w:qFormat w:val="1"/>
    <w:pPr>
      <w:spacing w:after="0"/>
    </w:pPr>
    <w:rPr>
      <w:color w:val="ffffff"/>
      <w:sz w:val="16"/>
      <w:szCs w:val="16"/>
    </w:rPr>
  </w:style>
  <w:style w:type="paragraph" w:styleId="GPSL1CLAUSEHEADING" w:customStyle="1">
    <w:name w:val="GPS L1 CLAUSE HEADING"/>
    <w:basedOn w:val="Normal"/>
    <w:next w:val="Normal"/>
    <w:uiPriority w:val="99"/>
    <w:qFormat w:val="1"/>
    <w:pPr>
      <w:tabs>
        <w:tab w:val="left" w:pos="142"/>
      </w:tabs>
      <w:spacing w:before="120"/>
      <w:outlineLvl w:val="1"/>
    </w:pPr>
    <w:rPr>
      <w:rFonts w:eastAsia="STZhongsong"/>
      <w:b w:val="1"/>
      <w:caps w:val="1"/>
    </w:rPr>
  </w:style>
  <w:style w:type="paragraph" w:styleId="GPSL2numberedclause" w:customStyle="1">
    <w:name w:val="GPS L2 numbered clause"/>
    <w:basedOn w:val="Normal"/>
    <w:qFormat w:val="1"/>
    <w:pPr>
      <w:numPr>
        <w:ilvl w:val="1"/>
        <w:numId w:val="3"/>
      </w:numPr>
      <w:tabs>
        <w:tab w:val="left" w:pos="1134"/>
      </w:tabs>
      <w:spacing w:after="120" w:before="120"/>
    </w:pPr>
  </w:style>
  <w:style w:type="paragraph" w:styleId="GPSL3numberedclause" w:customStyle="1">
    <w:name w:val="GPS L3 numbered clause"/>
    <w:basedOn w:val="Normal"/>
    <w:qFormat w:val="1"/>
    <w:pPr>
      <w:numPr>
        <w:ilvl w:val="2"/>
        <w:numId w:val="3"/>
      </w:numPr>
      <w:tabs>
        <w:tab w:val="left" w:pos="1985"/>
      </w:tabs>
      <w:spacing w:after="120" w:before="120"/>
    </w:pPr>
  </w:style>
  <w:style w:type="paragraph" w:styleId="GPSL4numberedclause" w:customStyle="1">
    <w:name w:val="GPS L4 numbered clause"/>
    <w:basedOn w:val="GPSL3numberedclause"/>
    <w:qFormat w:val="1"/>
    <w:pPr>
      <w:numPr>
        <w:ilvl w:val="3"/>
      </w:numPr>
      <w:tabs>
        <w:tab w:val="clear" w:pos="1985"/>
      </w:tabs>
    </w:pPr>
  </w:style>
  <w:style w:type="character" w:styleId="GPSL2numberedclauseChar1" w:customStyle="1">
    <w:name w:val="GPS L2 numbered clause Char1"/>
    <w:rPr>
      <w:rFonts w:ascii="Calibri" w:hAnsi="Calibri"/>
      <w:lang w:val="x-none"/>
    </w:rPr>
  </w:style>
  <w:style w:type="character" w:styleId="GPSL3numberedclauseChar" w:customStyle="1">
    <w:name w:val="GPS L3 numbered clause Char"/>
    <w:rPr>
      <w:rFonts w:ascii="Calibri" w:hAnsi="Calibri"/>
      <w:lang w:val="x-none"/>
    </w:rPr>
  </w:style>
  <w:style w:type="character" w:styleId="GPSL4numberedclauseChar" w:customStyle="1">
    <w:name w:val="GPS L4 numbered clause Char"/>
    <w:rPr>
      <w:rFonts w:ascii="Calibri" w:hAnsi="Calibri"/>
      <w:lang w:val="x-none"/>
    </w:rPr>
  </w:style>
  <w:style w:type="paragraph" w:styleId="GPSL5numberedclause" w:customStyle="1">
    <w:name w:val="GPS L5 numbered clause"/>
    <w:basedOn w:val="GPSL4numberedclause"/>
    <w:qFormat w:val="1"/>
    <w:pPr>
      <w:numPr>
        <w:ilvl w:val="4"/>
      </w:numPr>
    </w:pPr>
  </w:style>
  <w:style w:type="paragraph" w:styleId="GPSL6numbered" w:customStyle="1">
    <w:name w:val="GPS L6 numbered"/>
    <w:basedOn w:val="GPSL5numberedclause"/>
    <w:uiPriority w:val="99"/>
    <w:qFormat w:val="1"/>
    <w:pPr>
      <w:numPr>
        <w:ilvl w:val="0"/>
        <w:numId w:val="0"/>
      </w:numPr>
      <w:tabs>
        <w:tab w:val="left" w:pos="3686"/>
      </w:tabs>
    </w:pPr>
  </w:style>
  <w:style w:type="paragraph" w:styleId="GPSSchTitleandNumber" w:customStyle="1">
    <w:name w:val="GPS Sch Title and Number"/>
    <w:basedOn w:val="Normal"/>
    <w:qFormat w:val="1"/>
    <w:pPr>
      <w:keepNext w:val="1"/>
      <w:ind w:firstLine="426"/>
      <w:jc w:val="center"/>
      <w:outlineLvl w:val="0"/>
    </w:pPr>
    <w:rPr>
      <w:rFonts w:ascii="Arial Bold" w:cs="Times New Roman" w:eastAsia="STZhongsong" w:hAnsi="Arial Bold"/>
      <w:b w:val="1"/>
      <w:caps w:val="1"/>
    </w:rPr>
  </w:style>
  <w:style w:type="character" w:styleId="GPSSchTitleandNumberChar" w:customStyle="1">
    <w:name w:val="GPS Sch Title and Number Char"/>
    <w:rPr>
      <w:rFonts w:ascii="Arial Bold" w:eastAsia="STZhongsong" w:hAnsi="Arial Bold"/>
      <w:b w:val="1"/>
      <w:caps w:val="1"/>
      <w:lang w:val="x-none"/>
    </w:rPr>
  </w:style>
  <w:style w:type="paragraph" w:styleId="GPSDefinitionTerm" w:customStyle="1">
    <w:name w:val="GPS Definition Term"/>
    <w:basedOn w:val="Normal"/>
    <w:qFormat w:val="1"/>
    <w:pPr>
      <w:spacing w:after="120"/>
      <w:ind w:left="-108"/>
      <w:jc w:val="left"/>
    </w:pPr>
    <w:rPr>
      <w:b w:val="1"/>
    </w:rPr>
  </w:style>
  <w:style w:type="paragraph" w:styleId="GPsDefinition" w:customStyle="1">
    <w:name w:val="GPs Definition"/>
    <w:basedOn w:val="Normal"/>
    <w:qFormat w:val="1"/>
    <w:pPr>
      <w:numPr>
        <w:numId w:val="2"/>
      </w:numPr>
      <w:tabs>
        <w:tab w:val="left" w:pos="175"/>
      </w:tabs>
      <w:spacing w:after="120"/>
    </w:pPr>
  </w:style>
  <w:style w:type="paragraph" w:styleId="GPSDefinitionL2" w:customStyle="1">
    <w:name w:val="GPS Definition L2"/>
    <w:basedOn w:val="GPsDefinition"/>
    <w:uiPriority w:val="99"/>
    <w:qFormat w:val="1"/>
    <w:pPr>
      <w:numPr>
        <w:ilvl w:val="1"/>
      </w:numPr>
    </w:pPr>
  </w:style>
  <w:style w:type="paragraph" w:styleId="GPSDefinitionL3" w:customStyle="1">
    <w:name w:val="GPS Definition L3"/>
    <w:basedOn w:val="GPSDefinitionL2"/>
    <w:uiPriority w:val="99"/>
    <w:qFormat w:val="1"/>
    <w:pPr>
      <w:numPr>
        <w:ilvl w:val="2"/>
      </w:numPr>
    </w:pPr>
  </w:style>
  <w:style w:type="paragraph" w:styleId="GPSDefinitionL4" w:customStyle="1">
    <w:name w:val="GPS Definition L4"/>
    <w:basedOn w:val="GPSDefinitionL3"/>
    <w:uiPriority w:val="99"/>
    <w:qFormat w:val="1"/>
    <w:pPr>
      <w:numPr>
        <w:ilvl w:val="3"/>
      </w:numPr>
    </w:pPr>
  </w:style>
  <w:style w:type="paragraph" w:styleId="GPSL1SCHEDULEHeading" w:customStyle="1">
    <w:name w:val="GPS L1 SCHEDULE Heading"/>
    <w:basedOn w:val="GPSL1CLAUSEHEADING"/>
    <w:qFormat w:val="1"/>
    <w:pPr>
      <w:outlineLvl w:val="9"/>
    </w:pPr>
  </w:style>
  <w:style w:type="character" w:styleId="GPSL1SCHEDULEHeadingChar" w:customStyle="1">
    <w:name w:val="GPS L1 SCHEDULE Heading Char"/>
    <w:rPr>
      <w:rFonts w:ascii="Calibri" w:eastAsia="STZhongsong" w:hAnsi="Calibri"/>
      <w:b w:val="1"/>
      <w:caps w:val="1"/>
      <w:lang w:val="x-none"/>
    </w:rPr>
  </w:style>
  <w:style w:type="paragraph" w:styleId="BalloonText">
    <w:name w:val="Balloon Text"/>
    <w:basedOn w:val="Normal"/>
    <w:link w:val="BalloonTextChar"/>
    <w:uiPriority w:val="99"/>
    <w:pPr>
      <w:spacing w:after="0"/>
    </w:pPr>
    <w:rPr>
      <w:rFonts w:ascii="Tahoma" w:cs="Tahoma" w:hAnsi="Tahoma"/>
      <w:sz w:val="16"/>
      <w:szCs w:val="16"/>
    </w:rPr>
  </w:style>
  <w:style w:type="character" w:styleId="BalloonTextChar" w:customStyle="1">
    <w:name w:val="Balloon Text Char"/>
    <w:link w:val="BalloonText"/>
    <w:uiPriority w:val="99"/>
    <w:rPr>
      <w:rFonts w:ascii="Tahoma" w:cs="Tahoma" w:hAnsi="Tahoma"/>
      <w:sz w:val="16"/>
      <w:szCs w:val="16"/>
    </w:rPr>
  </w:style>
  <w:style w:type="character" w:styleId="CommentReference">
    <w:name w:val="annotation reference"/>
    <w:uiPriority w:val="99"/>
    <w:rPr>
      <w:rFonts w:cs="Times New Roman"/>
      <w:sz w:val="16"/>
      <w:szCs w:val="16"/>
    </w:rPr>
  </w:style>
  <w:style w:type="paragraph" w:styleId="CommentText">
    <w:name w:val="annotation text"/>
    <w:basedOn w:val="Normal"/>
    <w:link w:val="CommentTextChar"/>
    <w:uiPriority w:val="99"/>
    <w:rPr>
      <w:sz w:val="20"/>
      <w:szCs w:val="20"/>
    </w:rPr>
  </w:style>
  <w:style w:type="character" w:styleId="CommentTextChar" w:customStyle="1">
    <w:name w:val="Comment Text Char"/>
    <w:link w:val="CommentText"/>
    <w:uiPriority w:val="99"/>
    <w:rPr>
      <w:rFonts w:ascii="Calibri" w:cs="Arial" w:hAnsi="Calibri"/>
      <w:sz w:val="20"/>
      <w:szCs w:val="20"/>
    </w:rPr>
  </w:style>
  <w:style w:type="paragraph" w:styleId="CommentSubject">
    <w:name w:val="annotation subject"/>
    <w:basedOn w:val="CommentText"/>
    <w:next w:val="CommentText"/>
    <w:link w:val="CommentSubjectChar"/>
    <w:uiPriority w:val="99"/>
    <w:rPr>
      <w:b w:val="1"/>
    </w:rPr>
  </w:style>
  <w:style w:type="character" w:styleId="CommentSubjectChar" w:customStyle="1">
    <w:name w:val="Comment Subject Char"/>
    <w:link w:val="CommentSubject"/>
    <w:uiPriority w:val="99"/>
    <w:rPr>
      <w:rFonts w:ascii="Calibri" w:cs="Arial" w:hAnsi="Calibri"/>
      <w:b w:val="1"/>
      <w:sz w:val="20"/>
      <w:szCs w:val="20"/>
    </w:rPr>
  </w:style>
  <w:style w:type="character" w:styleId="Hyperlink">
    <w:name w:val="Hyperlink"/>
    <w:uiPriority w:val="99"/>
    <w:rPr>
      <w:rFonts w:cs="Times New Roman"/>
      <w:color w:val="0000ff"/>
      <w:u w:val="single"/>
    </w:rPr>
  </w:style>
  <w:style w:type="character" w:styleId="FollowedHyperlink">
    <w:name w:val="FollowedHyperlink"/>
    <w:uiPriority w:val="99"/>
    <w:rPr>
      <w:rFonts w:cs="Times New Roman"/>
      <w:color w:val="800080"/>
      <w:u w:val="single"/>
    </w:rPr>
  </w:style>
  <w:style w:type="paragraph" w:styleId="Revision">
    <w:name w:val="Revision"/>
    <w:hidden w:val="1"/>
    <w:uiPriority w:val="99"/>
    <w:pPr>
      <w:autoSpaceDE w:val="0"/>
      <w:autoSpaceDN w:val="0"/>
      <w:adjustRightInd w:val="0"/>
    </w:pPr>
    <w:rPr>
      <w:rFonts w:ascii="Arial" w:cs="Arial" w:hAnsi="Arial"/>
    </w:rPr>
  </w:style>
  <w:style w:type="character" w:styleId="Heading1Char1" w:customStyle="1">
    <w:name w:val="Heading 1 Char1"/>
    <w:aliases w:val="Se Char1,Paragraph Char1,MPS Standard Heading 1 Char1,PA Chapter Char1,h1 Char1,numbered indent 1 Char1,ni1 Char1,Section Char1,Numbered - 1 Char1,Heading.CAPS Char1,H1 Char1,A MAJOR/BOLD Char1,Schedheading Char1,2 Char"/>
    <w:uiPriority w:val="1"/>
    <w:rPr>
      <w:rFonts w:ascii="Cambria" w:cs="Times New Roman" w:eastAsia="Times New Roman" w:hAnsi="Cambria"/>
      <w:b w:val="1"/>
      <w:kern w:val="32"/>
      <w:sz w:val="32"/>
      <w:szCs w:val="32"/>
      <w:lang w:val="x-none"/>
    </w:rPr>
  </w:style>
  <w:style w:type="paragraph" w:styleId="GPSL2NumberedBoldHeading" w:customStyle="1">
    <w:name w:val="GPS L2 Numbered Bold Heading"/>
    <w:basedOn w:val="Normal"/>
    <w:qFormat w:val="1"/>
    <w:pPr>
      <w:tabs>
        <w:tab w:val="left" w:pos="1134"/>
      </w:tabs>
      <w:spacing w:after="120" w:before="120"/>
    </w:pPr>
    <w:rPr>
      <w:b w:val="1"/>
    </w:rPr>
  </w:style>
  <w:style w:type="paragraph" w:styleId="GPSL2Numbered" w:customStyle="1">
    <w:name w:val="GPS L2 Numbered"/>
    <w:basedOn w:val="GPSL2NumberedBoldHeading"/>
    <w:qFormat w:val="1"/>
    <w:pPr>
      <w:tabs>
        <w:tab w:val="clear" w:pos="1134"/>
      </w:tabs>
    </w:pPr>
    <w:rPr>
      <w:b w:val="0"/>
    </w:rPr>
  </w:style>
  <w:style w:type="character" w:styleId="GPSL2NumberedChar" w:customStyle="1">
    <w:name w:val="GPS L2 Numbered Char"/>
    <w:rPr>
      <w:rFonts w:ascii="Calibri" w:hAnsi="Calibri"/>
      <w:lang w:val="x-none"/>
    </w:rPr>
  </w:style>
  <w:style w:type="character" w:styleId="Emphasis">
    <w:name w:val="Emphasis"/>
    <w:uiPriority w:val="20"/>
    <w:qFormat w:val="1"/>
    <w:rPr>
      <w:rFonts w:cs="Times New Roman"/>
      <w:i w:val="1"/>
    </w:rPr>
  </w:style>
  <w:style w:type="character" w:styleId="GPSL1CLAUSEHEADINGChar" w:customStyle="1">
    <w:name w:val="GPS L1 CLAUSE HEADING Char"/>
    <w:uiPriority w:val="99"/>
    <w:rPr>
      <w:rFonts w:ascii="Calibri" w:eastAsia="STZhongsong" w:hAnsi="Calibri"/>
      <w:b w:val="1"/>
      <w:caps w:val="1"/>
      <w:lang w:val="x-none"/>
    </w:rPr>
  </w:style>
  <w:style w:type="character" w:styleId="GPSL2NumberedBoldHeadingChar" w:customStyle="1">
    <w:name w:val="GPS L2 Numbered Bold Heading Char"/>
    <w:rPr>
      <w:rFonts w:ascii="Calibri" w:hAnsi="Calibri"/>
      <w:b w:val="1"/>
      <w:lang w:val="x-none"/>
    </w:rPr>
  </w:style>
  <w:style w:type="character" w:styleId="GPSL5numberedclauseChar" w:customStyle="1">
    <w:name w:val="GPS L5 numbered clause Char"/>
    <w:rPr>
      <w:rFonts w:ascii="Calibri" w:hAnsi="Calibri"/>
      <w:lang w:val="x-none"/>
    </w:rPr>
  </w:style>
  <w:style w:type="paragraph" w:styleId="Normal1" w:customStyle="1">
    <w:name w:val="Normal1"/>
    <w:pPr>
      <w:widowControl w:val="0"/>
      <w:autoSpaceDE w:val="0"/>
      <w:autoSpaceDN w:val="0"/>
      <w:adjustRightInd w:val="0"/>
      <w:spacing w:after="80"/>
    </w:pPr>
    <w:rPr>
      <w:color w:val="000000"/>
    </w:rPr>
  </w:style>
  <w:style w:type="paragraph" w:styleId="ListParagraph">
    <w:name w:val="List Paragraph"/>
    <w:basedOn w:val="Normal"/>
    <w:uiPriority w:val="34"/>
    <w:qFormat w:val="1"/>
    <w:pPr>
      <w:ind w:left="720"/>
      <w:contextualSpacing w:val="1"/>
    </w:pPr>
  </w:style>
  <w:style w:type="paragraph" w:styleId="BodyText">
    <w:name w:val="Body Text"/>
    <w:basedOn w:val="Normal"/>
    <w:next w:val="GPSmacrorestart"/>
    <w:link w:val="BodyTextChar"/>
    <w:uiPriority w:val="99"/>
    <w:pPr>
      <w:spacing w:after="0"/>
      <w:jc w:val="left"/>
    </w:pPr>
    <w:rPr>
      <w:rFonts w:ascii="Times New Roman" w:cs="Times New Roman" w:hAnsi="Times New Roman"/>
      <w:sz w:val="18"/>
      <w:szCs w:val="24"/>
      <w:lang w:val="en-US"/>
    </w:rPr>
  </w:style>
  <w:style w:type="character" w:styleId="BodyTextChar" w:customStyle="1">
    <w:name w:val="Body Text Char"/>
    <w:link w:val="BodyText"/>
    <w:uiPriority w:val="99"/>
    <w:semiHidden w:val="1"/>
    <w:rPr>
      <w:rFonts w:ascii="Calibri" w:cs="Arial" w:hAnsi="Calibri"/>
    </w:rPr>
  </w:style>
  <w:style w:type="paragraph" w:styleId="DocumentMap">
    <w:name w:val="Document Map"/>
    <w:basedOn w:val="Normal"/>
    <w:next w:val="GPSL5numberedclause"/>
    <w:link w:val="DocumentMapChar"/>
    <w:uiPriority w:val="99"/>
    <w:pPr>
      <w:shd w:color="auto" w:fill="000080" w:val="clear"/>
      <w:spacing w:after="0"/>
      <w:jc w:val="left"/>
    </w:pPr>
    <w:rPr>
      <w:rFonts w:ascii="Tahoma" w:cs="Times New Roman" w:hAnsi="Tahoma"/>
      <w:sz w:val="24"/>
      <w:szCs w:val="24"/>
      <w:lang w:val="en-US"/>
    </w:rPr>
  </w:style>
  <w:style w:type="character" w:styleId="DocumentMapChar" w:customStyle="1">
    <w:name w:val="Document Map Char"/>
    <w:link w:val="DocumentMap"/>
    <w:uiPriority w:val="99"/>
    <w:semiHidden w:val="1"/>
    <w:rPr>
      <w:rFonts w:ascii="Tahoma" w:cs="Tahoma" w:hAnsi="Tahoma"/>
      <w:sz w:val="16"/>
      <w:szCs w:val="16"/>
    </w:rPr>
  </w:style>
  <w:style w:type="table" w:styleId="a" w:customStyle="1">
    <w:basedOn w:val="TableNormal"/>
    <w:tblPr>
      <w:tblStyleRowBandSize w:val="1"/>
      <w:tblStyleColBandSize w:val="1"/>
      <w:tblCellMar>
        <w:left w:w="115.0" w:type="dxa"/>
        <w:right w:w="115.0" w:type="dxa"/>
      </w:tblCellMar>
    </w:tblPr>
  </w:style>
  <w:style w:type="table" w:styleId="a0" w:customStyle="1">
    <w:basedOn w:val="TableNormal"/>
    <w:tblPr>
      <w:tblStyleRowBandSize w:val="1"/>
      <w:tblStyleColBandSize w:val="1"/>
      <w:tblCellMar>
        <w:left w:w="115.0" w:type="dxa"/>
        <w:right w:w="115.0" w:type="dxa"/>
      </w:tblCellMar>
    </w:tblPr>
  </w:style>
  <w:style w:type="table" w:styleId="a1" w:customStyle="1">
    <w:basedOn w:val="TableNormal"/>
    <w:tblPr>
      <w:tblStyleRowBandSize w:val="1"/>
      <w:tblStyleColBandSize w:val="1"/>
      <w:tblCellMar>
        <w:left w:w="115.0" w:type="dxa"/>
        <w:right w:w="115.0" w:type="dxa"/>
      </w:tblCellMar>
    </w:tblPr>
  </w:style>
  <w:style w:type="table" w:styleId="a2" w:customStyle="1">
    <w:basedOn w:val="TableNormal"/>
    <w:tblPr>
      <w:tblStyleRowBandSize w:val="1"/>
      <w:tblStyleColBandSize w:val="1"/>
      <w:tblCellMar>
        <w:left w:w="115.0" w:type="dxa"/>
        <w:right w:w="115.0" w:type="dxa"/>
      </w:tblCellMar>
    </w:tblPr>
  </w:style>
  <w:style w:type="table" w:styleId="a3" w:customStyle="1">
    <w:basedOn w:val="TableNormal"/>
    <w:tblPr>
      <w:tblStyleRowBandSize w:val="1"/>
      <w:tblStyleColBandSize w:val="1"/>
      <w:tblCellMar>
        <w:left w:w="115.0" w:type="dxa"/>
        <w:right w:w="115.0" w:type="dxa"/>
      </w:tblCellMar>
    </w:tblPr>
  </w:style>
  <w:style w:type="table" w:styleId="a4" w:customStyle="1">
    <w:basedOn w:val="TableNormal"/>
    <w:tblPr>
      <w:tblStyleRowBandSize w:val="1"/>
      <w:tblStyleColBandSize w:val="1"/>
      <w:tblCellMar>
        <w:left w:w="115.0" w:type="dxa"/>
        <w:right w:w="115.0" w:type="dxa"/>
      </w:tblCellMar>
    </w:tblPr>
  </w:style>
  <w:style w:type="paragraph" w:styleId="NormalWeb">
    <w:name w:val="Normal (Web)"/>
    <w:basedOn w:val="Normal"/>
    <w:uiPriority w:val="99"/>
    <w:semiHidden w:val="1"/>
    <w:unhideWhenUsed w:val="1"/>
    <w:rsid w:val="00924C08"/>
    <w:pPr>
      <w:spacing w:after="100" w:afterAutospacing="1" w:before="100" w:beforeAutospacing="1"/>
      <w:jc w:val="left"/>
    </w:pPr>
    <w:rPr>
      <w:rFonts w:ascii="Times New Roman" w:cs="Times New Roman" w:eastAsia="Times New Roman" w:hAnsi="Times New Roman"/>
      <w:sz w:val="24"/>
      <w:szCs w:val="24"/>
    </w:rPr>
  </w:style>
  <w:style w:type="table" w:styleId="a5" w:customStyle="1">
    <w:basedOn w:val="TableNormal"/>
    <w:tblPr>
      <w:tblStyleRowBandSize w:val="1"/>
      <w:tblStyleColBandSize w:val="1"/>
      <w:tblCellMar>
        <w:left w:w="115.0" w:type="dxa"/>
        <w:right w:w="115.0" w:type="dxa"/>
      </w:tblCellMar>
    </w:tblPr>
  </w:style>
  <w:style w:type="table" w:styleId="a6" w:customStyle="1">
    <w:basedOn w:val="TableNormal"/>
    <w:tblPr>
      <w:tblStyleRowBandSize w:val="1"/>
      <w:tblStyleColBandSize w:val="1"/>
      <w:tblCellMar>
        <w:left w:w="115.0" w:type="dxa"/>
        <w:right w:w="115.0" w:type="dxa"/>
      </w:tblCellMar>
    </w:tblPr>
  </w:style>
  <w:style w:type="table" w:styleId="a7" w:customStyle="1">
    <w:basedOn w:val="TableNormal"/>
    <w:tblPr>
      <w:tblStyleRowBandSize w:val="1"/>
      <w:tblStyleColBandSize w:val="1"/>
      <w:tblCellMar>
        <w:left w:w="115.0" w:type="dxa"/>
        <w:right w:w="115.0" w:type="dxa"/>
      </w:tblCellMar>
    </w:tblPr>
  </w:style>
  <w:style w:type="table" w:styleId="a8" w:customStyle="1">
    <w:basedOn w:val="TableNormal"/>
    <w:tblPr>
      <w:tblStyleRowBandSize w:val="1"/>
      <w:tblStyleColBandSize w:val="1"/>
      <w:tblCellMar>
        <w:left w:w="115.0" w:type="dxa"/>
        <w:right w:w="115.0" w:type="dxa"/>
      </w:tblCellMar>
    </w:tblPr>
  </w:style>
  <w:style w:type="table" w:styleId="a9" w:customStyle="1">
    <w:basedOn w:val="TableNormal"/>
    <w:tblPr>
      <w:tblStyleRowBandSize w:val="1"/>
      <w:tblStyleColBandSize w:val="1"/>
      <w:tblCellMar>
        <w:left w:w="115.0" w:type="dxa"/>
        <w:right w:w="115.0" w:type="dxa"/>
      </w:tblCellMar>
    </w:tblPr>
  </w:style>
  <w:style w:type="table" w:styleId="aa" w:customStyle="1">
    <w:basedOn w:val="TableNormal"/>
    <w:tblPr>
      <w:tblStyleRowBandSize w:val="1"/>
      <w:tblStyleColBandSize w:val="1"/>
      <w:tblCellMar>
        <w:left w:w="115.0" w:type="dxa"/>
        <w:right w:w="115.0" w:type="dxa"/>
      </w:tblCellMar>
    </w:tblPr>
  </w:style>
  <w:style w:type="table" w:styleId="ab" w:customStyle="1">
    <w:basedOn w:val="TableNormal"/>
    <w:tblPr>
      <w:tblStyleRowBandSize w:val="1"/>
      <w:tblStyleColBandSize w:val="1"/>
      <w:tblCellMar>
        <w:left w:w="115.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12"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2G8HsiDq+Brre8RnqsTPNQ2CHjQ==">CgMxLjAyDWgucnI1MnNrcWZobnUyCWguMzBqMHpsbDIOaC5vcWQzNDA0MnpjenoyCWguM3JkY3JqbjIOaC51N3plOTJ6NzViM3QyDmguM3Qwb2pqYnpxbDN6MgloLjJzOGV5bzEyDmguZmI2aWpvcjZ5NGlyMgloLjN6bnlzaDcyCWguMmV0OTJwMDIIaC50eWpjd3QyCWguNGQzNG9nODIJaC4zZHk2dmttMgloLjE3ZHA4dnUyCGguZ2pkZ3hzMgloLjFmb2I5dGUyCWguMXQzaDVzZjIOaC5qMWVibnhjNDI5ejQ4AHIhMUl5SUpFOThrUm5yUk9oYms3b1VKMlZLOGhyTkZGTC1N</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2025-10-10T09:01:00Z</dcterms:created>
  <dc:creator>Tom McCaldon</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CurrentVersion">
    <vt:lpwstr>20 November 2017 D1V7</vt:lpwstr>
  </property>
  <property fmtid="{D5CDD505-2E9C-101B-9397-08002B2CF9AE}" pid="3" name="iManageFooter">
    <vt:lpwstr>76051518v2</vt:lpwstr>
  </property>
</Properties>
</file>