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770"/>
        </w:tabs>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Call-Off Schedule 32 (Redundancy)</w:t>
      </w:r>
    </w:p>
    <w:p w:rsidR="00000000" w:rsidDel="00000000" w:rsidP="00000000" w:rsidRDefault="00000000" w:rsidRPr="00000000" w14:paraId="00000002">
      <w:pPr>
        <w:numPr>
          <w:ilvl w:val="0"/>
          <w:numId w:val="1"/>
        </w:numPr>
        <w:tabs>
          <w:tab w:val="left" w:leader="none" w:pos="851"/>
        </w:tabs>
        <w:spacing w:after="240" w:lineRule="auto"/>
        <w:ind w:left="720" w:hanging="720"/>
        <w:rPr>
          <w:color w:val="000000"/>
          <w:sz w:val="24"/>
          <w:szCs w:val="24"/>
        </w:rPr>
      </w:pPr>
      <w:bookmarkStart w:colFirst="0" w:colLast="0" w:name="_heading=h.uea518r7raht" w:id="0"/>
      <w:bookmarkEnd w:id="0"/>
      <w:r w:rsidDel="00000000" w:rsidR="00000000" w:rsidRPr="00000000">
        <w:rPr>
          <w:rFonts w:ascii="Arial" w:cs="Arial" w:eastAsia="Arial" w:hAnsi="Arial"/>
          <w:b w:val="1"/>
          <w:bCs w:val="1"/>
          <w:sz w:val="24"/>
          <w:szCs w:val="24"/>
          <w:rtl w:val="0"/>
        </w:rPr>
        <w:t xml:space="preserve">Definitions</w:t>
      </w:r>
      <w:r w:rsidDel="00000000" w:rsidR="00000000" w:rsidRPr="00000000">
        <w:rPr>
          <w:rtl w:val="0"/>
        </w:rPr>
      </w:r>
    </w:p>
    <w:p w:rsidR="00000000" w:rsidDel="00000000" w:rsidP="00000000" w:rsidRDefault="00000000" w:rsidRPr="00000000" w14:paraId="00000003">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smallCaps w:val="1"/>
          <w:color w:val="000000"/>
        </w:rPr>
      </w:pPr>
      <w:r w:rsidDel="00000000" w:rsidR="00000000" w:rsidRPr="00000000">
        <w:rPr>
          <w:rFonts w:ascii="Arial" w:cs="Arial" w:eastAsia="Arial" w:hAnsi="Arial"/>
          <w:color w:val="000000"/>
          <w:sz w:val="24"/>
          <w:szCs w:val="24"/>
          <w:rtl w:val="0"/>
        </w:rPr>
        <w:t xml:space="preserve">For the purposes of this Call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Off Schedule 32, the following terms shall have the following meanings:</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2"/>
        <w:gridCol w:w="6334"/>
        <w:tblGridChange w:id="0">
          <w:tblGrid>
            <w:gridCol w:w="2692"/>
            <w:gridCol w:w="6334"/>
          </w:tblGrid>
        </w:tblGridChange>
      </w:tblGrid>
      <w:tr>
        <w:trPr>
          <w:cantSplit w:val="0"/>
          <w:tblHeader w:val="0"/>
        </w:trPr>
        <w:tc>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“Affected Employee”</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an employee of the Supplier (or, if relevant, a notified Sub-Contractor) who is at risk of redundancy as a result of either of the occurrence of either of the events set out in paragraph 2.1 of this Schedule;</w:t>
            </w:r>
          </w:p>
        </w:tc>
      </w:tr>
      <w:tr>
        <w:trPr>
          <w:cantSplit w:val="0"/>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"Early Retirement Right"</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right to retirement benefit arising on termination for redundancy, whether such benefit is reduced or otherwise and whether such right arises on retirement or otherwise;</w:t>
            </w:r>
          </w:p>
        </w:tc>
      </w:tr>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“Redundancy Payment”</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any and all of the following payments which may be made by the Supplier (or, if relevant, the notified Sub-Contractor) to any Affected Employee:</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bookmarkStart w:colFirst="0" w:colLast="0" w:name="_heading=h.bdj9bbuutd8t" w:id="1"/>
            <w:bookmarkEnd w:id="1"/>
            <w:r w:rsidDel="00000000" w:rsidR="00000000" w:rsidRPr="00000000">
              <w:rPr>
                <w:rFonts w:ascii="Arial" w:cs="Arial" w:eastAsia="Arial" w:hAnsi="Arial"/>
                <w:color w:val="000000"/>
                <w:sz w:val="24"/>
                <w:szCs w:val="24"/>
                <w:rtl w:val="0"/>
              </w:rPr>
              <w:t xml:space="preserve">a)</w:t>
              <w:tab/>
              <w:t xml:space="preserve">statutory redundancy payments made in accordance with section 162 of the Employment Rights Act 1996;</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contractual redundancy payments (which for this purpose shall mean redundancy payments made in accordance with the terms and conditions of employment to which the relevant Affected Employee was entitled at the Reference Date and for the avoidance of doubt, in each </w:t>
            </w:r>
            <w:r w:rsidDel="00000000" w:rsidR="00000000" w:rsidRPr="00000000">
              <w:rPr>
                <w:rFonts w:ascii="Arial" w:cs="Arial" w:eastAsia="Arial" w:hAnsi="Arial"/>
                <w:sz w:val="24"/>
                <w:szCs w:val="24"/>
                <w:rtl w:val="0"/>
              </w:rPr>
              <w:t xml:space="preserve">Affected Employee’s</w:t>
            </w:r>
            <w:r w:rsidDel="00000000" w:rsidR="00000000" w:rsidRPr="00000000">
              <w:rPr>
                <w:rFonts w:ascii="Arial" w:cs="Arial" w:eastAsia="Arial" w:hAnsi="Arial"/>
                <w:color w:val="000000"/>
                <w:sz w:val="24"/>
                <w:szCs w:val="24"/>
                <w:rtl w:val="0"/>
              </w:rPr>
              <w:t xml:space="preserve"> case, shall not include any ex gratia payment, payment for accrued holiday or any other payment made as compensation for the termination of employment);</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w:t>
              <w:tab/>
              <w:t xml:space="preserve">where it is not reasonably practicable to require the Affected Employee to work their notice period, in respect of each Affected Employee, either:</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 xml:space="preserve">i) payment of damages for breach of the applicable statutory notice entitlement or, if higher, the notice entitlement under the terms and conditions of employment to which the relevant employee was entitled at the Reference Date; or</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 xml:space="preserve">ii) payment in lieu of any such notice entitlement, made pursuant to such terms and conditions of employment, but for the avoidance of doubt, shall not include any payment of salary or wages or of any benefit in respect of any period of continuing employment (whether during a notice period or otherwise);</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 any payment made in satisfaction of any Early Retirement Right to which the relevant employee was entitled to on the Reference Date under his or her terms and conditions of employment or the rules of any pension scheme referenced in annexes D1, D2, D3 or D4.</w:t>
            </w:r>
          </w:p>
        </w:tc>
      </w:tr>
      <w:tr>
        <w:trPr>
          <w:cantSplit w:val="0"/>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“Reference Date”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either:</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bookmarkStart w:colFirst="0" w:colLast="0" w:name="_heading=h.nob8z9glo7vs" w:id="2"/>
            <w:bookmarkEnd w:id="2"/>
            <w:r w:rsidDel="00000000" w:rsidR="00000000" w:rsidRPr="00000000">
              <w:rPr>
                <w:rFonts w:ascii="Arial" w:cs="Arial" w:eastAsia="Arial" w:hAnsi="Arial"/>
                <w:color w:val="000000"/>
                <w:sz w:val="24"/>
                <w:szCs w:val="24"/>
                <w:rtl w:val="0"/>
              </w:rPr>
              <w:t xml:space="preserve">a)</w:t>
              <w:tab/>
              <w:t xml:space="preserve">the date of commencement of employment, if the Affected Employee became employed by the Supplier (or, if relevant, notified Sub-contractor) after the Relevant Transfer Date; or</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the Relevant Transfer Date,</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save that where the Supplier (or, if relevant, notified Sub-contractor) and Former Supplier are the same entity such that the Employment Regulations do not apply to transfer staff, the relevant date shall be either the Contract Date or, if the Affected Employee became employed by the Supplier (or, if relevant, notified Sub-contractor) after such date, the date of commencement of employment;</w:t>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“Redundancy Surcharge”</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amount </w:t>
            </w:r>
            <w:r w:rsidDel="00000000" w:rsidR="00000000" w:rsidRPr="00000000">
              <w:rPr>
                <w:rFonts w:ascii="Arial" w:cs="Arial" w:eastAsia="Arial" w:hAnsi="Arial"/>
                <w:sz w:val="24"/>
                <w:szCs w:val="24"/>
                <w:rtl w:val="0"/>
              </w:rPr>
              <w:t xml:space="preserve">calculated by the Supplier and charged to the Buyer relating to either </w:t>
            </w:r>
            <w:r w:rsidDel="00000000" w:rsidR="00000000" w:rsidRPr="00000000">
              <w:rPr>
                <w:rFonts w:ascii="Arial" w:cs="Arial" w:eastAsia="Arial" w:hAnsi="Arial"/>
                <w:color w:val="000000"/>
                <w:sz w:val="24"/>
                <w:szCs w:val="24"/>
                <w:rtl w:val="0"/>
              </w:rPr>
              <w:t xml:space="preserve">a Relevant Transfer Redundancy Surcharge or a Service Change Redundancy Surcharge;</w:t>
            </w:r>
          </w:p>
        </w:tc>
      </w:tr>
      <w:tr>
        <w:trPr>
          <w:cantSplit w:val="0"/>
          <w:trHeight w:val="1107" w:hRule="atLeast"/>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highlight w:val="white"/>
              </w:rPr>
            </w:pPr>
            <w:bookmarkStart w:colFirst="0" w:colLast="0" w:name="_heading=h.o8r9f7l5m1ru" w:id="3"/>
            <w:bookmarkEnd w:id="3"/>
            <w:r w:rsidDel="00000000" w:rsidR="00000000" w:rsidRPr="00000000">
              <w:rPr>
                <w:rFonts w:ascii="Arial" w:cs="Arial" w:eastAsia="Arial" w:hAnsi="Arial"/>
                <w:b w:val="1"/>
                <w:bCs w:val="1"/>
                <w:color w:val="000000"/>
                <w:sz w:val="24"/>
                <w:szCs w:val="24"/>
                <w:highlight w:val="white"/>
                <w:rtl w:val="0"/>
              </w:rPr>
              <w:t xml:space="preserve">“Relevant Transfer Redundancy Surcharge”</w:t>
            </w:r>
          </w:p>
          <w:p w:rsidR="00000000" w:rsidDel="00000000" w:rsidP="00000000" w:rsidRDefault="00000000" w:rsidRPr="00000000" w14:paraId="00000018">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19">
            <w:pPr>
              <w:rPr>
                <w:rFonts w:ascii="Arial" w:cs="Arial" w:eastAsia="Arial" w:hAnsi="Arial"/>
                <w:sz w:val="24"/>
                <w:szCs w:val="24"/>
                <w:highlight w:val="white"/>
              </w:rPr>
            </w:pPr>
            <w:r w:rsidDel="00000000" w:rsidR="00000000" w:rsidRPr="00000000">
              <w:rPr>
                <w:rtl w:val="0"/>
              </w:rPr>
            </w:r>
          </w:p>
        </w:tc>
        <w:tc>
          <w:tcPr/>
          <w:p w:rsidR="00000000" w:rsidDel="00000000" w:rsidP="00000000" w:rsidRDefault="00000000" w:rsidRPr="00000000" w14:paraId="0000001A">
            <w:pPr>
              <w:tabs>
                <w:tab w:val="left" w:leader="none" w:pos="709"/>
                <w:tab w:val="left" w:leader="none" w:pos="1134"/>
                <w:tab w:val="left" w:leader="none" w:pos="175"/>
              </w:tabs>
              <w:spacing w:after="120" w:line="276" w:lineRule="auto"/>
              <w:rPr>
                <w:rFonts w:ascii="Arial" w:cs="Arial" w:eastAsia="Arial" w:hAnsi="Arial"/>
                <w:color w:val="000000"/>
                <w:sz w:val="24"/>
                <w:szCs w:val="24"/>
                <w:highlight w:val="white"/>
              </w:rPr>
            </w:pPr>
            <w:r w:rsidDel="00000000" w:rsidR="00000000" w:rsidRPr="00000000">
              <w:rPr>
                <w:rFonts w:ascii="Arial" w:cs="Arial" w:eastAsia="Arial" w:hAnsi="Arial"/>
                <w:sz w:val="24"/>
                <w:szCs w:val="24"/>
                <w:highlight w:val="white"/>
                <w:rtl w:val="0"/>
              </w:rPr>
              <w:t xml:space="preserve">means in relation to a redundancy as described in Paragraph 3, a surcharge on the Charges equal in amount to the Redundancy Payment;</w:t>
            </w:r>
            <w:r w:rsidDel="00000000" w:rsidR="00000000" w:rsidRPr="00000000">
              <w:rPr>
                <w:rtl w:val="0"/>
              </w:rPr>
            </w:r>
          </w:p>
          <w:p w:rsidR="00000000" w:rsidDel="00000000" w:rsidP="00000000" w:rsidRDefault="00000000" w:rsidRPr="00000000" w14:paraId="0000001B">
            <w:pPr>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1C">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1D">
            <w:pPr>
              <w:tabs>
                <w:tab w:val="left" w:leader="none" w:pos="1310"/>
              </w:tabs>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ab/>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“Service Change Redundancy Surcharge”</w:t>
            </w:r>
            <w:r w:rsidDel="00000000" w:rsidR="00000000" w:rsidRPr="00000000">
              <w:rPr>
                <w:rtl w:val="0"/>
              </w:rPr>
            </w:r>
          </w:p>
        </w:tc>
        <w:tc>
          <w:tcPr/>
          <w:p w:rsidR="00000000" w:rsidDel="00000000" w:rsidP="00000000" w:rsidRDefault="00000000" w:rsidRPr="00000000" w14:paraId="0000001F">
            <w:pPr>
              <w:tabs>
                <w:tab w:val="left" w:leader="none" w:pos="709"/>
                <w:tab w:val="left" w:leader="none" w:pos="1134"/>
                <w:tab w:val="left" w:leader="none" w:pos="175"/>
              </w:tabs>
              <w:spacing w:after="120" w:line="276" w:lineRule="auto"/>
              <w:rPr>
                <w:rFonts w:ascii="Arial" w:cs="Arial" w:eastAsia="Arial" w:hAnsi="Arial"/>
                <w:sz w:val="24"/>
                <w:szCs w:val="24"/>
                <w:highlight w:val="white"/>
              </w:rPr>
            </w:pPr>
            <w:r w:rsidDel="00000000" w:rsidR="00000000" w:rsidRPr="00000000">
              <w:rPr>
                <w:rFonts w:ascii="Arial" w:cs="Arial" w:eastAsia="Arial" w:hAnsi="Arial"/>
                <w:color w:val="000000"/>
                <w:sz w:val="24"/>
                <w:szCs w:val="24"/>
                <w:highlight w:val="white"/>
                <w:rtl w:val="0"/>
              </w:rPr>
              <w:t xml:space="preserve">means in relation to a redundancy as described in Paragraph 4,</w:t>
            </w: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color w:val="000000"/>
                <w:sz w:val="24"/>
                <w:szCs w:val="24"/>
                <w:highlight w:val="white"/>
                <w:rtl w:val="0"/>
              </w:rPr>
              <w:t xml:space="preserve">a surcharge on the Charges equal in amount to the Redundancy Payment</w:t>
            </w:r>
            <w:r w:rsidDel="00000000" w:rsidR="00000000" w:rsidRPr="00000000">
              <w:rPr>
                <w:rFonts w:ascii="Arial" w:cs="Arial" w:eastAsia="Arial" w:hAnsi="Arial"/>
                <w:sz w:val="24"/>
                <w:szCs w:val="24"/>
                <w:highlight w:val="white"/>
                <w:rtl w:val="0"/>
              </w:rPr>
              <w:t xml:space="preserve">;</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ind w:left="862" w:firstLine="0"/>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numPr>
          <w:ilvl w:val="0"/>
          <w:numId w:val="1"/>
        </w:numPr>
        <w:tabs>
          <w:tab w:val="left" w:leader="none" w:pos="851"/>
        </w:tabs>
        <w:spacing w:after="240" w:lineRule="auto"/>
        <w:ind w:left="720" w:hanging="720"/>
        <w:rPr>
          <w:sz w:val="24"/>
          <w:szCs w:val="24"/>
        </w:rPr>
      </w:pPr>
      <w:r w:rsidDel="00000000" w:rsidR="00000000" w:rsidRPr="00000000">
        <w:rPr>
          <w:rFonts w:ascii="Arial" w:cs="Arial" w:eastAsia="Arial" w:hAnsi="Arial"/>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22">
      <w:pPr>
        <w:pStyle w:val="Heading2"/>
        <w:numPr>
          <w:ilvl w:val="1"/>
          <w:numId w:val="1"/>
        </w:numPr>
        <w:tabs>
          <w:tab w:val="left" w:leader="none" w:pos="851"/>
        </w:tabs>
        <w:spacing w:line="276" w:lineRule="auto"/>
        <w:ind w:left="1440" w:hanging="720"/>
        <w:jc w:val="left"/>
        <w:rPr/>
      </w:pPr>
      <w:r w:rsidDel="00000000" w:rsidR="00000000" w:rsidRPr="00000000">
        <w:rPr>
          <w:sz w:val="24"/>
          <w:szCs w:val="24"/>
          <w:rtl w:val="0"/>
        </w:rPr>
        <w:t xml:space="preserve">This Contract Schedule sets out the process for determining the Redundancy Surcharge in the event that:</w:t>
      </w:r>
      <w:r w:rsidDel="00000000" w:rsidR="00000000" w:rsidRPr="00000000">
        <w:rPr>
          <w:rtl w:val="0"/>
        </w:rPr>
      </w:r>
    </w:p>
    <w:p w:rsidR="00000000" w:rsidDel="00000000" w:rsidP="00000000" w:rsidRDefault="00000000" w:rsidRPr="00000000" w14:paraId="00000023">
      <w:pPr>
        <w:pStyle w:val="Heading2"/>
        <w:numPr>
          <w:ilvl w:val="2"/>
          <w:numId w:val="1"/>
        </w:numPr>
        <w:tabs>
          <w:tab w:val="left" w:leader="none" w:pos="851"/>
        </w:tabs>
        <w:spacing w:line="276" w:lineRule="auto"/>
        <w:ind w:left="2268" w:hanging="828.0000000000001"/>
        <w:jc w:val="left"/>
        <w:rPr/>
      </w:pPr>
      <w:r w:rsidDel="00000000" w:rsidR="00000000" w:rsidRPr="00000000">
        <w:rPr>
          <w:sz w:val="24"/>
          <w:szCs w:val="24"/>
          <w:rtl w:val="0"/>
        </w:rPr>
        <w:t xml:space="preserve">following a Relevant Transfer, a Transferring Former Supplier Employee and/or a Transferring Buyer Employee is made redundant by the Supplier as a result of an economic technical organisational reason entailing changes to the workforce as per paragraph 3; and</w:t>
      </w:r>
      <w:r w:rsidDel="00000000" w:rsidR="00000000" w:rsidRPr="00000000">
        <w:rPr>
          <w:rtl w:val="0"/>
        </w:rPr>
      </w:r>
    </w:p>
    <w:p w:rsidR="00000000" w:rsidDel="00000000" w:rsidP="00000000" w:rsidRDefault="00000000" w:rsidRPr="00000000" w14:paraId="00000024">
      <w:pPr>
        <w:pStyle w:val="Heading2"/>
        <w:numPr>
          <w:ilvl w:val="2"/>
          <w:numId w:val="1"/>
        </w:numPr>
        <w:tabs>
          <w:tab w:val="left" w:leader="none" w:pos="851"/>
        </w:tabs>
        <w:spacing w:line="276" w:lineRule="auto"/>
        <w:ind w:left="2268" w:hanging="828.0000000000001"/>
        <w:jc w:val="left"/>
        <w:rPr/>
      </w:pPr>
      <w:r w:rsidDel="00000000" w:rsidR="00000000" w:rsidRPr="00000000">
        <w:rPr>
          <w:sz w:val="24"/>
          <w:szCs w:val="24"/>
          <w:rtl w:val="0"/>
        </w:rPr>
        <w:t xml:space="preserve">the Buyer makes a change to the Services which results in the removal of any Services or closure of any of the Buyer Premises</w:t>
      </w:r>
      <w:r w:rsidDel="00000000" w:rsidR="00000000" w:rsidRPr="00000000">
        <w:rPr>
          <w:rtl w:val="0"/>
        </w:rPr>
        <w:t xml:space="preserve">,</w:t>
      </w:r>
      <w:r w:rsidDel="00000000" w:rsidR="00000000" w:rsidRPr="00000000">
        <w:rPr>
          <w:sz w:val="24"/>
          <w:szCs w:val="24"/>
          <w:rtl w:val="0"/>
        </w:rPr>
        <w:t xml:space="preserve"> as per paragraph 4.</w:t>
      </w:r>
      <w:r w:rsidDel="00000000" w:rsidR="00000000" w:rsidRPr="00000000">
        <w:rPr>
          <w:rtl w:val="0"/>
        </w:rPr>
      </w:r>
    </w:p>
    <w:p w:rsidR="00000000" w:rsidDel="00000000" w:rsidP="00000000" w:rsidRDefault="00000000" w:rsidRPr="00000000" w14:paraId="00000025">
      <w:pPr>
        <w:numPr>
          <w:ilvl w:val="0"/>
          <w:numId w:val="1"/>
        </w:numPr>
        <w:tabs>
          <w:tab w:val="left" w:leader="none" w:pos="851"/>
        </w:tabs>
        <w:ind w:left="720" w:hanging="720"/>
        <w:rPr>
          <w:sz w:val="24"/>
          <w:szCs w:val="24"/>
        </w:rPr>
      </w:pPr>
      <w:r w:rsidDel="00000000" w:rsidR="00000000" w:rsidRPr="00000000">
        <w:rPr>
          <w:rFonts w:ascii="Arial" w:cs="Arial" w:eastAsia="Arial" w:hAnsi="Arial"/>
          <w:b w:val="1"/>
          <w:bCs w:val="1"/>
          <w:sz w:val="24"/>
          <w:szCs w:val="24"/>
          <w:highlight w:val="white"/>
          <w:rtl w:val="0"/>
        </w:rPr>
        <w:t xml:space="preserve">Relevant Transfer Redundancy Surcharge </w:t>
      </w:r>
      <w:r w:rsidDel="00000000" w:rsidR="00000000" w:rsidRPr="00000000">
        <w:rPr>
          <w:rtl w:val="0"/>
        </w:rPr>
      </w:r>
    </w:p>
    <w:p w:rsidR="00000000" w:rsidDel="00000000" w:rsidP="00000000" w:rsidRDefault="00000000" w:rsidRPr="00000000" w14:paraId="00000026">
      <w:pPr>
        <w:pStyle w:val="Heading3"/>
        <w:numPr>
          <w:ilvl w:val="1"/>
          <w:numId w:val="1"/>
        </w:numPr>
        <w:tabs>
          <w:tab w:val="left" w:leader="none" w:pos="1418"/>
        </w:tabs>
        <w:spacing w:line="276" w:lineRule="auto"/>
        <w:ind w:left="1440" w:hanging="720"/>
        <w:jc w:val="left"/>
        <w:rPr>
          <w:highlight w:val="white"/>
        </w:rPr>
      </w:pPr>
      <w:bookmarkStart w:colFirst="0" w:colLast="0" w:name="_heading=h.2rg3qoz5ioj3" w:id="4"/>
      <w:bookmarkEnd w:id="4"/>
      <w:r w:rsidDel="00000000" w:rsidR="00000000" w:rsidRPr="00000000">
        <w:rPr>
          <w:highlight w:val="white"/>
          <w:rtl w:val="0"/>
        </w:rPr>
        <w:t xml:space="preserve">A</w:t>
      </w:r>
      <w:r w:rsidDel="00000000" w:rsidR="00000000" w:rsidRPr="00000000">
        <w:rPr>
          <w:sz w:val="24"/>
          <w:szCs w:val="24"/>
          <w:highlight w:val="white"/>
          <w:rtl w:val="0"/>
        </w:rPr>
        <w:t xml:space="preserve">n indicative Relevant Transfer Redundancy Surcharge shall be priced as part of a Call-Off Procedure as set out in Annex 1 of Call Off Schedule 5 (</w:t>
      </w:r>
      <w:r w:rsidDel="00000000" w:rsidR="00000000" w:rsidRPr="00000000">
        <w:rPr>
          <w:i w:val="1"/>
          <w:iCs w:val="1"/>
          <w:sz w:val="24"/>
          <w:szCs w:val="24"/>
          <w:highlight w:val="white"/>
          <w:rtl w:val="0"/>
        </w:rPr>
        <w:t xml:space="preserve">Pricing Details)</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27">
      <w:pPr>
        <w:pStyle w:val="Heading2"/>
        <w:numPr>
          <w:ilvl w:val="1"/>
          <w:numId w:val="1"/>
        </w:numPr>
        <w:tabs>
          <w:tab w:val="left" w:leader="none" w:pos="851"/>
        </w:tabs>
        <w:spacing w:line="276" w:lineRule="auto"/>
        <w:ind w:left="1440" w:hanging="720"/>
        <w:jc w:val="left"/>
        <w:rPr>
          <w:highlight w:val="white"/>
        </w:rPr>
      </w:pPr>
      <w:r w:rsidDel="00000000" w:rsidR="00000000" w:rsidRPr="00000000">
        <w:rPr>
          <w:sz w:val="24"/>
          <w:szCs w:val="24"/>
          <w:highlight w:val="white"/>
          <w:rtl w:val="0"/>
        </w:rPr>
        <w:t xml:space="preserve">Following Contract award, where a Relevant Transfer takes place, or will take place, the Supplier shall not make any Transferring Former Supplier Employee(s) and/or Transferring Buyer Employee(s) redundant without consulting the Buyer.</w:t>
      </w:r>
      <w:r w:rsidDel="00000000" w:rsidR="00000000" w:rsidRPr="00000000">
        <w:rPr>
          <w:rtl w:val="0"/>
        </w:rPr>
      </w:r>
    </w:p>
    <w:p w:rsidR="00000000" w:rsidDel="00000000" w:rsidP="00000000" w:rsidRDefault="00000000" w:rsidRPr="00000000" w14:paraId="00000028">
      <w:pPr>
        <w:pStyle w:val="Heading2"/>
        <w:numPr>
          <w:ilvl w:val="1"/>
          <w:numId w:val="1"/>
        </w:numPr>
        <w:tabs>
          <w:tab w:val="left" w:leader="none" w:pos="851"/>
        </w:tabs>
        <w:spacing w:line="276" w:lineRule="auto"/>
        <w:ind w:left="1440" w:hanging="720"/>
        <w:jc w:val="left"/>
        <w:rPr>
          <w:highlight w:val="white"/>
        </w:rPr>
      </w:pPr>
      <w:r w:rsidDel="00000000" w:rsidR="00000000" w:rsidRPr="00000000">
        <w:rPr>
          <w:sz w:val="24"/>
          <w:szCs w:val="24"/>
          <w:highlight w:val="white"/>
          <w:rtl w:val="0"/>
        </w:rPr>
        <w:t xml:space="preserve">The Relevant Transfer Redundancy Surcharge shall be zero unless the Supplier has consulted with the Buyer, pursuant to paragraph 3.2, about the particular Transferring Former Supplier Employee(s) and/or Transferring Buyer Employee(s) within 12 months of the starting date.</w:t>
      </w:r>
      <w:r w:rsidDel="00000000" w:rsidR="00000000" w:rsidRPr="00000000">
        <w:rPr>
          <w:rtl w:val="0"/>
        </w:rPr>
      </w:r>
    </w:p>
    <w:p w:rsidR="00000000" w:rsidDel="00000000" w:rsidP="00000000" w:rsidRDefault="00000000" w:rsidRPr="00000000" w14:paraId="00000029">
      <w:pPr>
        <w:pStyle w:val="Heading2"/>
        <w:numPr>
          <w:ilvl w:val="1"/>
          <w:numId w:val="1"/>
        </w:numPr>
        <w:tabs>
          <w:tab w:val="left" w:leader="none" w:pos="851"/>
        </w:tabs>
        <w:spacing w:line="276" w:lineRule="auto"/>
        <w:ind w:left="1440" w:hanging="720"/>
        <w:jc w:val="left"/>
        <w:rPr>
          <w:highlight w:val="white"/>
        </w:rPr>
      </w:pPr>
      <w:r w:rsidDel="00000000" w:rsidR="00000000" w:rsidRPr="00000000">
        <w:rPr>
          <w:sz w:val="24"/>
          <w:szCs w:val="24"/>
          <w:highlight w:val="white"/>
          <w:rtl w:val="0"/>
        </w:rPr>
        <w:t xml:space="preserve">The Supplier shall mitigate the effects of any Relevant Transfer Redundancy Surcharge by:</w:t>
      </w:r>
      <w:r w:rsidDel="00000000" w:rsidR="00000000" w:rsidRPr="00000000">
        <w:rPr>
          <w:rtl w:val="0"/>
        </w:rPr>
      </w:r>
    </w:p>
    <w:p w:rsidR="00000000" w:rsidDel="00000000" w:rsidP="00000000" w:rsidRDefault="00000000" w:rsidRPr="00000000" w14:paraId="0000002A">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redeploying such people where it is practicable for the Supplier to do so; or</w:t>
      </w:r>
      <w:r w:rsidDel="00000000" w:rsidR="00000000" w:rsidRPr="00000000">
        <w:rPr>
          <w:rtl w:val="0"/>
        </w:rPr>
      </w:r>
    </w:p>
    <w:p w:rsidR="00000000" w:rsidDel="00000000" w:rsidP="00000000" w:rsidRDefault="00000000" w:rsidRPr="00000000" w14:paraId="0000002B">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where redeployment is not practicable, taking such reasonable mitigation steps to minimise the costs of redundancy where practicable; and</w:t>
      </w:r>
      <w:r w:rsidDel="00000000" w:rsidR="00000000" w:rsidRPr="00000000">
        <w:rPr>
          <w:rtl w:val="0"/>
        </w:rPr>
      </w:r>
    </w:p>
    <w:p w:rsidR="00000000" w:rsidDel="00000000" w:rsidP="00000000" w:rsidRDefault="00000000" w:rsidRPr="00000000" w14:paraId="0000002C">
      <w:pPr>
        <w:pStyle w:val="Heading2"/>
        <w:numPr>
          <w:ilvl w:val="2"/>
          <w:numId w:val="1"/>
        </w:numPr>
        <w:tabs>
          <w:tab w:val="left" w:leader="none" w:pos="851"/>
        </w:tabs>
        <w:spacing w:line="276" w:lineRule="auto"/>
        <w:ind w:left="2268" w:hanging="828.0000000000001"/>
        <w:jc w:val="left"/>
        <w:rPr>
          <w:highlight w:val="white"/>
        </w:rPr>
      </w:pPr>
      <w:bookmarkStart w:colFirst="0" w:colLast="0" w:name="_heading=h.spdsa5l1mph5" w:id="5"/>
      <w:bookmarkEnd w:id="5"/>
      <w:r w:rsidDel="00000000" w:rsidR="00000000" w:rsidRPr="00000000">
        <w:rPr>
          <w:sz w:val="24"/>
          <w:szCs w:val="24"/>
          <w:highlight w:val="white"/>
          <w:rtl w:val="0"/>
        </w:rPr>
        <w:t xml:space="preserve">complying with the Law and any reasonable instructions from the Buyer.</w:t>
      </w:r>
      <w:r w:rsidDel="00000000" w:rsidR="00000000" w:rsidRPr="00000000">
        <w:rPr>
          <w:rtl w:val="0"/>
        </w:rPr>
      </w:r>
    </w:p>
    <w:p w:rsidR="00000000" w:rsidDel="00000000" w:rsidP="00000000" w:rsidRDefault="00000000" w:rsidRPr="00000000" w14:paraId="0000002D">
      <w:pPr>
        <w:pStyle w:val="Heading3"/>
        <w:numPr>
          <w:ilvl w:val="1"/>
          <w:numId w:val="1"/>
        </w:numPr>
        <w:tabs>
          <w:tab w:val="left" w:leader="none" w:pos="1418"/>
        </w:tabs>
        <w:spacing w:line="276" w:lineRule="auto"/>
        <w:ind w:left="1440" w:hanging="720"/>
        <w:jc w:val="left"/>
        <w:rPr>
          <w:highlight w:val="white"/>
        </w:rPr>
      </w:pPr>
      <w:r w:rsidDel="00000000" w:rsidR="00000000" w:rsidRPr="00000000">
        <w:rPr>
          <w:sz w:val="24"/>
          <w:szCs w:val="24"/>
          <w:highlight w:val="white"/>
          <w:rtl w:val="0"/>
        </w:rPr>
        <w:t xml:space="preserve">The Supplier shall, no later than twenty (20) Working Days after the Relevant Transfer, submit to the Buyer:</w:t>
      </w:r>
      <w:r w:rsidDel="00000000" w:rsidR="00000000" w:rsidRPr="00000000">
        <w:rPr>
          <w:rtl w:val="0"/>
        </w:rPr>
      </w:r>
    </w:p>
    <w:p w:rsidR="00000000" w:rsidDel="00000000" w:rsidP="00000000" w:rsidRDefault="00000000" w:rsidRPr="00000000" w14:paraId="0000002E">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notice that no adjustment is required to the Relevant Transfer Redundancy Surcharge (with supporting evidence as may reasonably be required by the Buyer); or</w:t>
      </w:r>
      <w:r w:rsidDel="00000000" w:rsidR="00000000" w:rsidRPr="00000000">
        <w:rPr>
          <w:rtl w:val="0"/>
        </w:rPr>
      </w:r>
    </w:p>
    <w:p w:rsidR="00000000" w:rsidDel="00000000" w:rsidP="00000000" w:rsidRDefault="00000000" w:rsidRPr="00000000" w14:paraId="0000002F">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notice that an adjustment is required and its updated calculation of the Relevant Transfer Redundancy Surcharge along with supporting </w:t>
      </w:r>
      <w:r w:rsidDel="00000000" w:rsidR="00000000" w:rsidRPr="00000000">
        <w:rPr>
          <w:sz w:val="24"/>
          <w:szCs w:val="24"/>
          <w:rtl w:val="0"/>
        </w:rPr>
        <w:t xml:space="preserve">evidence which details any inaccuracies, inclusions or omissions in the information provided during the Call-Off Procedure.</w:t>
      </w:r>
      <w:r w:rsidDel="00000000" w:rsidR="00000000" w:rsidRPr="00000000">
        <w:rPr>
          <w:rtl w:val="0"/>
        </w:rPr>
      </w:r>
    </w:p>
    <w:p w:rsidR="00000000" w:rsidDel="00000000" w:rsidP="00000000" w:rsidRDefault="00000000" w:rsidRPr="00000000" w14:paraId="00000030">
      <w:pPr>
        <w:numPr>
          <w:ilvl w:val="1"/>
          <w:numId w:val="1"/>
        </w:numPr>
        <w:spacing w:after="120" w:before="120" w:lineRule="auto"/>
        <w:ind w:left="1440" w:hanging="720"/>
        <w:rPr>
          <w:rFonts w:ascii="Arial" w:cs="Arial" w:eastAsia="Arial" w:hAnsi="Arial"/>
          <w:highlight w:val="white"/>
        </w:rPr>
      </w:pPr>
      <w:r w:rsidDel="00000000" w:rsidR="00000000" w:rsidRPr="00000000">
        <w:rPr>
          <w:rFonts w:ascii="Arial" w:cs="Arial" w:eastAsia="Arial" w:hAnsi="Arial"/>
          <w:sz w:val="24"/>
          <w:szCs w:val="24"/>
          <w:highlight w:val="white"/>
          <w:rtl w:val="0"/>
        </w:rPr>
        <w:t xml:space="preserve">The Supplier shall not be entitled to request a Relevant Transfer Redundancy Surcharge under paragraph 3.5 unless it, or the notified Sub-Contractor (as applicable), has followed a fair dismissal procedure and complied with all contractual and legislative requirements (save for a breach of notice entitlement where payment is made on termination in satisfaction of the employee's claim for damages) in respect of each termination for redundancy to which the Relevant Transfer Redundancy Surcharge relates.</w:t>
      </w:r>
      <w:r w:rsidDel="00000000" w:rsidR="00000000" w:rsidRPr="00000000">
        <w:rPr>
          <w:rtl w:val="0"/>
        </w:rPr>
      </w:r>
    </w:p>
    <w:p w:rsidR="00000000" w:rsidDel="00000000" w:rsidP="00000000" w:rsidRDefault="00000000" w:rsidRPr="00000000" w14:paraId="00000031">
      <w:pPr>
        <w:pStyle w:val="Heading3"/>
        <w:numPr>
          <w:ilvl w:val="1"/>
          <w:numId w:val="1"/>
        </w:numPr>
        <w:tabs>
          <w:tab w:val="left" w:leader="none" w:pos="1418"/>
        </w:tabs>
        <w:spacing w:line="276" w:lineRule="auto"/>
        <w:ind w:left="1440" w:hanging="720"/>
        <w:jc w:val="left"/>
        <w:rPr>
          <w:highlight w:val="white"/>
        </w:rPr>
      </w:pPr>
      <w:r w:rsidDel="00000000" w:rsidR="00000000" w:rsidRPr="00000000">
        <w:rPr>
          <w:sz w:val="24"/>
          <w:szCs w:val="24"/>
          <w:highlight w:val="white"/>
          <w:rtl w:val="0"/>
        </w:rPr>
        <w:t xml:space="preserve">On receipt of the Supplier’s notice in accordance with paragraph 3.5 the Buyer shall:</w:t>
      </w:r>
      <w:r w:rsidDel="00000000" w:rsidR="00000000" w:rsidRPr="00000000">
        <w:rPr>
          <w:rtl w:val="0"/>
        </w:rPr>
      </w:r>
    </w:p>
    <w:p w:rsidR="00000000" w:rsidDel="00000000" w:rsidP="00000000" w:rsidRDefault="00000000" w:rsidRPr="00000000" w14:paraId="00000032">
      <w:pPr>
        <w:pStyle w:val="Heading2"/>
        <w:numPr>
          <w:ilvl w:val="2"/>
          <w:numId w:val="1"/>
        </w:numPr>
        <w:tabs>
          <w:tab w:val="left" w:leader="none" w:pos="851"/>
        </w:tabs>
        <w:spacing w:line="276" w:lineRule="auto"/>
        <w:ind w:left="2268" w:hanging="828.0000000000001"/>
        <w:jc w:val="left"/>
        <w:rPr>
          <w:highlight w:val="white"/>
        </w:rPr>
      </w:pPr>
      <w:bookmarkStart w:colFirst="0" w:colLast="0" w:name="_heading=h.kg0uqrmklku5" w:id="6"/>
      <w:bookmarkEnd w:id="6"/>
      <w:r w:rsidDel="00000000" w:rsidR="00000000" w:rsidRPr="00000000">
        <w:rPr>
          <w:sz w:val="24"/>
          <w:szCs w:val="24"/>
          <w:highlight w:val="white"/>
          <w:rtl w:val="0"/>
        </w:rPr>
        <w:t xml:space="preserve">notify the Supplier in writing of acceptance of the Relevant Transfer Redundancy Surcharge (as updated as may be applicable) relating to the Relevant Transfer; and/or </w:t>
      </w:r>
      <w:r w:rsidDel="00000000" w:rsidR="00000000" w:rsidRPr="00000000">
        <w:rPr>
          <w:rtl w:val="0"/>
        </w:rPr>
      </w:r>
    </w:p>
    <w:p w:rsidR="00000000" w:rsidDel="00000000" w:rsidP="00000000" w:rsidRDefault="00000000" w:rsidRPr="00000000" w14:paraId="00000033">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request further information/evidence; and/or</w:t>
      </w:r>
      <w:r w:rsidDel="00000000" w:rsidR="00000000" w:rsidRPr="00000000">
        <w:rPr>
          <w:rtl w:val="0"/>
        </w:rPr>
      </w:r>
    </w:p>
    <w:p w:rsidR="00000000" w:rsidDel="00000000" w:rsidP="00000000" w:rsidRDefault="00000000" w:rsidRPr="00000000" w14:paraId="00000034">
      <w:pPr>
        <w:pStyle w:val="Heading2"/>
        <w:numPr>
          <w:ilvl w:val="2"/>
          <w:numId w:val="1"/>
        </w:numPr>
        <w:tabs>
          <w:tab w:val="left" w:leader="none" w:pos="851"/>
        </w:tabs>
        <w:spacing w:line="276" w:lineRule="auto"/>
        <w:ind w:left="2268" w:hanging="828.0000000000001"/>
        <w:jc w:val="left"/>
        <w:rPr>
          <w:highlight w:val="white"/>
        </w:rPr>
      </w:pPr>
      <w:r w:rsidDel="00000000" w:rsidR="00000000" w:rsidRPr="00000000">
        <w:rPr>
          <w:sz w:val="24"/>
          <w:szCs w:val="24"/>
          <w:highlight w:val="white"/>
          <w:rtl w:val="0"/>
        </w:rPr>
        <w:t xml:space="preserve">request a meeting to discuss/clarify the evidence provided.</w:t>
      </w:r>
      <w:r w:rsidDel="00000000" w:rsidR="00000000" w:rsidRPr="00000000">
        <w:rPr>
          <w:rtl w:val="0"/>
        </w:rPr>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Where the Relevant Transfer Redundancy Surcharge (as updated as may be applicable) is a</w:t>
      </w:r>
      <w:r w:rsidDel="00000000" w:rsidR="00000000" w:rsidRPr="00000000">
        <w:rPr>
          <w:rFonts w:ascii="Arial" w:cs="Arial" w:eastAsia="Arial" w:hAnsi="Arial"/>
          <w:sz w:val="24"/>
          <w:szCs w:val="24"/>
          <w:highlight w:val="white"/>
          <w:rtl w:val="0"/>
        </w:rPr>
        <w:t xml:space="preserve">ccepted</w:t>
      </w:r>
      <w:r w:rsidDel="00000000" w:rsidR="00000000" w:rsidRPr="00000000">
        <w:rPr>
          <w:rFonts w:ascii="Arial" w:cs="Arial" w:eastAsia="Arial" w:hAnsi="Arial"/>
          <w:color w:val="000000"/>
          <w:sz w:val="24"/>
          <w:szCs w:val="24"/>
          <w:highlight w:val="white"/>
          <w:rtl w:val="0"/>
        </w:rPr>
        <w:t xml:space="preserve"> following the receipt of further information/evidence or following a meeting,</w:t>
      </w: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color w:val="000000"/>
          <w:sz w:val="24"/>
          <w:szCs w:val="24"/>
          <w:highlight w:val="white"/>
          <w:rtl w:val="0"/>
        </w:rPr>
        <w:t xml:space="preserve">the Buyer shall notify the Supplier in writing of their accept</w:t>
      </w:r>
      <w:r w:rsidDel="00000000" w:rsidR="00000000" w:rsidRPr="00000000">
        <w:rPr>
          <w:rFonts w:ascii="Arial" w:cs="Arial" w:eastAsia="Arial" w:hAnsi="Arial"/>
          <w:sz w:val="24"/>
          <w:szCs w:val="24"/>
          <w:highlight w:val="white"/>
          <w:rtl w:val="0"/>
        </w:rPr>
        <w:t xml:space="preserve">ance</w:t>
      </w:r>
      <w:r w:rsidDel="00000000" w:rsidR="00000000" w:rsidRPr="00000000">
        <w:rPr>
          <w:rFonts w:ascii="Arial" w:cs="Arial" w:eastAsia="Arial" w:hAnsi="Arial"/>
          <w:color w:val="000000"/>
          <w:sz w:val="24"/>
          <w:szCs w:val="24"/>
          <w:highlight w:val="white"/>
          <w:rtl w:val="0"/>
        </w:rPr>
        <w:t xml:space="preserve"> and </w:t>
      </w:r>
      <w:r w:rsidDel="00000000" w:rsidR="00000000" w:rsidRPr="00000000">
        <w:rPr>
          <w:rFonts w:ascii="Arial" w:cs="Arial" w:eastAsia="Arial" w:hAnsi="Arial"/>
          <w:sz w:val="24"/>
          <w:szCs w:val="24"/>
          <w:highlight w:val="white"/>
          <w:rtl w:val="0"/>
        </w:rPr>
        <w:t xml:space="preserve">the Supplier shall invoice in accordance with Call-Off Schedule 5 </w:t>
      </w:r>
      <w:r w:rsidDel="00000000" w:rsidR="00000000" w:rsidRPr="00000000">
        <w:rPr>
          <w:rFonts w:ascii="Arial" w:cs="Arial" w:eastAsia="Arial" w:hAnsi="Arial"/>
          <w:i w:val="1"/>
          <w:iCs w:val="1"/>
          <w:sz w:val="24"/>
          <w:szCs w:val="24"/>
          <w:highlight w:val="white"/>
          <w:rtl w:val="0"/>
        </w:rPr>
        <w:t xml:space="preserve">(Pricing Details).</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ind w:left="862" w:firstLine="0"/>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In the event that the Supplier and the Buyer are unable to agree the Relevant Transfer Redundancy Surcharge (as updated as may be applicable), they shall follow the Dispute Resolution Procedure.</w:t>
      </w: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ind w:left="862"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Rule="auto"/>
        <w:ind w:left="720" w:hanging="720"/>
        <w:rPr>
          <w:rFonts w:ascii="Arial" w:cs="Arial" w:eastAsia="Arial" w:hAnsi="Arial"/>
          <w:sz w:val="24"/>
          <w:szCs w:val="24"/>
          <w:highlight w:val="white"/>
        </w:rPr>
      </w:pPr>
      <w:bookmarkStart w:colFirst="0" w:colLast="0" w:name="_heading=h.2et92p0" w:id="7"/>
      <w:bookmarkEnd w:id="7"/>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b w:val="1"/>
          <w:bCs w:val="1"/>
          <w:color w:val="000000"/>
          <w:sz w:val="24"/>
          <w:szCs w:val="24"/>
          <w:highlight w:val="white"/>
          <w:rtl w:val="0"/>
        </w:rPr>
        <w:t xml:space="preserve">Service Change Redundancy Surcharge</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ind w:left="720" w:firstLine="0"/>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spacing w:after="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Subject to Paragraph 4.2, Paragraph 4.3 and Paragraph 4.4 where the Supplier or any notified Sub-Contractor makes or intends to make a Redundancy Payment in relation to any termination for redundancy made as a direct result of a Buyer instigated building closure or removal of service(s), the Supplier may be entitled to r</w:t>
      </w:r>
      <w:r w:rsidDel="00000000" w:rsidR="00000000" w:rsidRPr="00000000">
        <w:rPr>
          <w:rFonts w:ascii="Arial" w:cs="Arial" w:eastAsia="Arial" w:hAnsi="Arial"/>
          <w:sz w:val="24"/>
          <w:szCs w:val="24"/>
          <w:highlight w:val="white"/>
          <w:rtl w:val="0"/>
        </w:rPr>
        <w:t xml:space="preserve">equest</w:t>
      </w:r>
      <w:r w:rsidDel="00000000" w:rsidR="00000000" w:rsidRPr="00000000">
        <w:rPr>
          <w:rFonts w:ascii="Arial" w:cs="Arial" w:eastAsia="Arial" w:hAnsi="Arial"/>
          <w:color w:val="000000"/>
          <w:sz w:val="24"/>
          <w:szCs w:val="24"/>
          <w:highlight w:val="white"/>
          <w:rtl w:val="0"/>
        </w:rPr>
        <w:t xml:space="preserve"> a Service Change Redundancy Surcharge.</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ind w:left="862" w:firstLine="0"/>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Supplier shall not be entitled to request a Service Change Redundancy Surcharge under Paragraph 4.1 unless it has, before any relevant termination for redundancy is made:</w:t>
      </w:r>
      <w:r w:rsidDel="00000000" w:rsidR="00000000" w:rsidRPr="00000000">
        <w:rPr>
          <w:rtl w:val="0"/>
        </w:rPr>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consulted the Buyer about the proposal to make any such termination for redundancy;</w:t>
      </w:r>
      <w:r w:rsidDel="00000000" w:rsidR="00000000" w:rsidRPr="00000000">
        <w:rPr>
          <w:rtl w:val="0"/>
        </w:rPr>
      </w:r>
    </w:p>
    <w:p w:rsidR="00000000" w:rsidDel="00000000" w:rsidP="00000000" w:rsidRDefault="00000000" w:rsidRPr="00000000" w14:paraId="0000003F">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provided the Buyer with written estimates of any relevant Redundancy Payment together with a breakdown of such estimates and such supporting evidence as the Buyer may reasonably request to corroborate and assess the calculations; and </w:t>
      </w:r>
      <w:r w:rsidDel="00000000" w:rsidR="00000000" w:rsidRPr="00000000">
        <w:rPr>
          <w:rtl w:val="0"/>
        </w:rPr>
      </w:r>
    </w:p>
    <w:p w:rsidR="00000000" w:rsidDel="00000000" w:rsidP="00000000" w:rsidRDefault="00000000" w:rsidRPr="00000000" w14:paraId="00000040">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Provided the Buyer with details of the steps the Supplier, or the notified Sub-Contractor (as applicable), has taken (or proposes to take) to mitigate such costs in accordance with paragraph 4.4.</w:t>
      </w:r>
      <w:r w:rsidDel="00000000" w:rsidR="00000000" w:rsidRPr="00000000">
        <w:rPr>
          <w:rtl w:val="0"/>
        </w:rPr>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Supplier shall not be entitled to request a Service Change Redundancy Surcharge under paragraph 4.1 unless it, or the notified Sub-Contractor (as applicable), has followed a fair dismissal procedure and complied with all contractual and legislative requirements (save for a breach of notice entitlement where payment is made on termination in satisfaction of the employee's claim for damages) in respect of each termination for redundancy to which the Service Change Redundancy Surcharge relates.</w:t>
      </w:r>
      <w:r w:rsidDel="00000000" w:rsidR="00000000" w:rsidRPr="00000000">
        <w:rPr>
          <w:rtl w:val="0"/>
        </w:rPr>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Supplier shall (or, where relevant, shall procure that the notified Sub-Contractor shall) avoid having to make, or mitigate the extent of, any Redundancy Payment by:</w:t>
      </w:r>
      <w:r w:rsidDel="00000000" w:rsidR="00000000" w:rsidRPr="00000000">
        <w:rPr>
          <w:rtl w:val="0"/>
        </w:rPr>
      </w:r>
    </w:p>
    <w:p w:rsidR="00000000" w:rsidDel="00000000" w:rsidP="00000000" w:rsidRDefault="00000000" w:rsidRPr="00000000" w14:paraId="00000043">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redeploying any relevant person where it is practicable to do so;</w:t>
      </w:r>
      <w:r w:rsidDel="00000000" w:rsidR="00000000" w:rsidRPr="00000000">
        <w:rPr>
          <w:rtl w:val="0"/>
        </w:rPr>
      </w:r>
    </w:p>
    <w:p w:rsidR="00000000" w:rsidDel="00000000" w:rsidP="00000000" w:rsidRDefault="00000000" w:rsidRPr="00000000" w14:paraId="00000044">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where redeployment is not practicable, taking reasonable steps to minimise the amount of Redundancy Payment, including requiring employees to work their notice where this is practicable; and</w:t>
      </w:r>
      <w:r w:rsidDel="00000000" w:rsidR="00000000" w:rsidRPr="00000000">
        <w:rPr>
          <w:rtl w:val="0"/>
        </w:rPr>
      </w:r>
    </w:p>
    <w:p w:rsidR="00000000" w:rsidDel="00000000" w:rsidP="00000000" w:rsidRDefault="00000000" w:rsidRPr="00000000" w14:paraId="00000045">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complying with the </w:t>
      </w:r>
      <w:r w:rsidDel="00000000" w:rsidR="00000000" w:rsidRPr="00000000">
        <w:rPr>
          <w:rFonts w:ascii="Arial" w:cs="Arial" w:eastAsia="Arial" w:hAnsi="Arial"/>
          <w:sz w:val="24"/>
          <w:szCs w:val="24"/>
          <w:highlight w:val="white"/>
          <w:rtl w:val="0"/>
        </w:rPr>
        <w:t xml:space="preserve">L</w:t>
      </w:r>
      <w:r w:rsidDel="00000000" w:rsidR="00000000" w:rsidRPr="00000000">
        <w:rPr>
          <w:rFonts w:ascii="Arial" w:cs="Arial" w:eastAsia="Arial" w:hAnsi="Arial"/>
          <w:color w:val="000000"/>
          <w:sz w:val="24"/>
          <w:szCs w:val="24"/>
          <w:highlight w:val="white"/>
          <w:rtl w:val="0"/>
        </w:rPr>
        <w:t xml:space="preserve">aw and any reasonable instructions.</w:t>
      </w:r>
      <w:r w:rsidDel="00000000" w:rsidR="00000000" w:rsidRPr="00000000">
        <w:rPr>
          <w:rtl w:val="0"/>
        </w:rPr>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Supplier shall not be entitled to request a Service Change Redundancy Surcharge under paragraph 4.1 unless:</w:t>
      </w:r>
      <w:r w:rsidDel="00000000" w:rsidR="00000000" w:rsidRPr="00000000">
        <w:rPr>
          <w:rtl w:val="0"/>
        </w:rPr>
      </w:r>
    </w:p>
    <w:p w:rsidR="00000000" w:rsidDel="00000000" w:rsidP="00000000" w:rsidRDefault="00000000" w:rsidRPr="00000000" w14:paraId="00000047">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Supplier (or, where relevant, notified Sub-Contractor) has consulted with the Buyer, pursuant to paragraph 4.2.1, within one month of receiving notice by the Supplier of the building closure or removal of service(s); and</w:t>
      </w:r>
      <w:r w:rsidDel="00000000" w:rsidR="00000000" w:rsidRPr="00000000">
        <w:rPr>
          <w:rtl w:val="0"/>
        </w:rPr>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spacing w:after="120" w:before="120" w:lineRule="auto"/>
        <w:ind w:left="2268" w:hanging="828.0000000000001"/>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the employment of any employee to whom the Redundancy Payment relates is terminated for redundancy no later than one month after the relevant building closure or removal of service(s).</w:t>
      </w: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120" w:before="120" w:lineRule="auto"/>
        <w:ind w:left="72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On receipt of the Supplier’s calculation of the Redundancy Payments in accordance with paragraph 4 the Buyer shall either:</w:t>
      </w:r>
      <w:r w:rsidDel="00000000" w:rsidR="00000000" w:rsidRPr="00000000">
        <w:rPr>
          <w:rtl w:val="0"/>
        </w:rPr>
      </w:r>
    </w:p>
    <w:p w:rsidR="00000000" w:rsidDel="00000000" w:rsidP="00000000" w:rsidRDefault="00000000" w:rsidRPr="00000000" w14:paraId="0000004A">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notify the Supplier in writing of acceptance of the Service Change Redundancy Surcharge relating to the relevant building closure or removal of service(s); and/or </w:t>
      </w:r>
      <w:r w:rsidDel="00000000" w:rsidR="00000000" w:rsidRPr="00000000">
        <w:rPr>
          <w:rtl w:val="0"/>
        </w:rPr>
      </w:r>
    </w:p>
    <w:p w:rsidR="00000000" w:rsidDel="00000000" w:rsidP="00000000" w:rsidRDefault="00000000" w:rsidRPr="00000000" w14:paraId="0000004B">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request further information/evidence; and/ or</w:t>
      </w:r>
      <w:r w:rsidDel="00000000" w:rsidR="00000000" w:rsidRPr="00000000">
        <w:rPr>
          <w:rtl w:val="0"/>
        </w:rPr>
      </w:r>
    </w:p>
    <w:p w:rsidR="00000000" w:rsidDel="00000000" w:rsidP="00000000" w:rsidRDefault="00000000" w:rsidRPr="00000000" w14:paraId="0000004C">
      <w:pPr>
        <w:numPr>
          <w:ilvl w:val="1"/>
          <w:numId w:val="1"/>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request a meeting to discuss/clarify the evidence provided.</w:t>
      </w:r>
      <w:r w:rsidDel="00000000" w:rsidR="00000000" w:rsidRPr="00000000">
        <w:rPr>
          <w:rtl w:val="0"/>
        </w:rPr>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120" w:before="120" w:lineRule="auto"/>
        <w:ind w:left="720" w:hanging="720"/>
        <w:rPr>
          <w:rFonts w:ascii="Arial" w:cs="Arial" w:eastAsia="Arial" w:hAnsi="Arial"/>
          <w:highlight w:val="white"/>
        </w:rPr>
      </w:pPr>
      <w:r w:rsidDel="00000000" w:rsidR="00000000" w:rsidRPr="00000000">
        <w:rPr>
          <w:rFonts w:ascii="Arial" w:cs="Arial" w:eastAsia="Arial" w:hAnsi="Arial"/>
          <w:color w:val="000000"/>
          <w:sz w:val="24"/>
          <w:szCs w:val="24"/>
          <w:highlight w:val="white"/>
          <w:rtl w:val="0"/>
        </w:rPr>
        <w:t xml:space="preserve">Where the Service Change Redundancy Surcharge is agreed following the receipt of further information/evidence or following a meeting, the Buyer shall notify the Supplier in writing. </w:t>
      </w:r>
      <w:r w:rsidDel="00000000" w:rsidR="00000000" w:rsidRPr="00000000">
        <w:rPr>
          <w:rtl w:val="0"/>
        </w:rPr>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120" w:before="120" w:lineRule="auto"/>
        <w:ind w:left="720" w:hanging="720"/>
        <w:rPr>
          <w:smallCaps w:val="1"/>
          <w:sz w:val="24"/>
          <w:szCs w:val="24"/>
        </w:rPr>
      </w:pPr>
      <w:r w:rsidDel="00000000" w:rsidR="00000000" w:rsidRPr="00000000">
        <w:rPr>
          <w:rFonts w:ascii="Arial" w:cs="Arial" w:eastAsia="Arial" w:hAnsi="Arial"/>
          <w:color w:val="000000"/>
          <w:sz w:val="24"/>
          <w:szCs w:val="24"/>
          <w:highlight w:val="white"/>
          <w:rtl w:val="0"/>
        </w:rPr>
        <w:t xml:space="preserve">In the event that the Supplier and the Buyer are unable to agree the Service Change Redundancy Surcharge, they shall follow the Dispute Resolution Procedure.</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RM6</w:t>
    </w:r>
    <w:r w:rsidDel="00000000" w:rsidR="00000000" w:rsidRPr="00000000">
      <w:rPr>
        <w:rFonts w:ascii="Arial" w:cs="Arial" w:eastAsia="Arial" w:hAnsi="Arial"/>
        <w:sz w:val="20"/>
        <w:szCs w:val="20"/>
        <w:rtl w:val="0"/>
      </w:rPr>
      <w:t xml:space="preserve">378</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w:t>
    </w: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color w:val="000000"/>
        <w:sz w:val="20"/>
        <w:szCs w:val="20"/>
        <w:rtl w:val="0"/>
      </w:rPr>
      <w:t xml:space="preserve">.0</w:t>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Model Version: v1.0</w:t>
    </w:r>
  </w:p>
  <w:p w:rsidR="00000000" w:rsidDel="00000000" w:rsidP="00000000" w:rsidRDefault="00000000" w:rsidRPr="00000000" w14:paraId="00000059">
    <w:pPr>
      <w:spacing w:after="0" w:line="240" w:lineRule="auto"/>
      <w:jc w:val="both"/>
      <w:rPr/>
    </w:pPr>
    <w:r w:rsidDel="00000000" w:rsidR="00000000" w:rsidRPr="00000000">
      <w:rPr>
        <w:rtl w:val="0"/>
      </w:rPr>
      <w:tab/>
      <w:tab/>
      <w:tab/>
    </w:r>
  </w:p>
  <w:p w:rsidR="00000000" w:rsidDel="00000000" w:rsidP="00000000" w:rsidRDefault="00000000" w:rsidRPr="00000000" w14:paraId="0000005A">
    <w:pPr>
      <w:spacing w:after="0" w:line="240" w:lineRule="auto"/>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000000"/>
      </w:rPr>
    </w:pPr>
    <w:bookmarkStart w:colFirst="0" w:colLast="0" w:name="_heading=h.3znysh7" w:id="8"/>
    <w:bookmarkEnd w:id="8"/>
    <w:r w:rsidDel="00000000" w:rsidR="00000000" w:rsidRPr="00000000">
      <w:rPr>
        <w:rFonts w:ascii="Arial" w:cs="Arial" w:eastAsia="Arial" w:hAnsi="Arial"/>
        <w:b w:val="1"/>
        <w:bCs w:val="1"/>
        <w:color w:val="000000"/>
        <w:rtl w:val="0"/>
      </w:rPr>
      <w:t xml:space="preserve">Call Off Schedule </w:t>
    </w:r>
    <w:r w:rsidDel="00000000" w:rsidR="00000000" w:rsidRPr="00000000">
      <w:rPr>
        <w:rFonts w:ascii="Arial" w:cs="Arial" w:eastAsia="Arial" w:hAnsi="Arial"/>
        <w:b w:val="1"/>
        <w:bCs w:val="1"/>
        <w:rtl w:val="0"/>
      </w:rPr>
      <w:t xml:space="preserve">32</w:t>
    </w:r>
    <w:r w:rsidDel="00000000" w:rsidR="00000000" w:rsidRPr="00000000">
      <w:rPr>
        <w:rFonts w:ascii="Arial" w:cs="Arial" w:eastAsia="Arial" w:hAnsi="Arial"/>
        <w:b w:val="1"/>
        <w:bCs w:val="1"/>
        <w:color w:val="000000"/>
        <w:rtl w:val="0"/>
      </w:rPr>
      <w:t xml:space="preserve"> (Redundancy)</w:t>
    </w:r>
  </w:p>
  <w:p w:rsidR="00000000" w:rsidDel="00000000" w:rsidP="00000000" w:rsidRDefault="00000000" w:rsidRPr="00000000" w14:paraId="00000051">
    <w:pPr>
      <w:tabs>
        <w:tab w:val="center" w:leader="none" w:pos="4513"/>
        <w:tab w:val="right" w:leader="none" w:pos="9026"/>
      </w:tabs>
      <w:spacing w:after="0" w:line="240" w:lineRule="auto"/>
      <w:rPr>
        <w:sz w:val="24"/>
        <w:szCs w:val="24"/>
      </w:rPr>
    </w:pPr>
    <w:bookmarkStart w:colFirst="0" w:colLast="0" w:name="_heading=h.1fob9te" w:id="9"/>
    <w:bookmarkEnd w:id="9"/>
    <w:r w:rsidDel="00000000" w:rsidR="00000000" w:rsidRPr="00000000">
      <w:rPr>
        <w:rFonts w:ascii="Arial" w:cs="Arial" w:eastAsia="Arial" w:hAnsi="Arial"/>
        <w:rtl w:val="0"/>
      </w:rPr>
      <w:t xml:space="preserve">Call-Off Ref: </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Fonts w:ascii="Arial" w:cs="Arial" w:eastAsia="Arial" w:hAnsi="Arial"/>
        <w:rtl w:val="0"/>
      </w:rPr>
      <w:t xml:space="preserve">Crown Copyright 2021</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0"/>
        <w:bCs w:val="0"/>
        <w:i w:val="0"/>
        <w:iCs w:val="0"/>
        <w:smallCaps w:val="0"/>
        <w:strike w:val="0"/>
        <w:color w:val="000000"/>
        <w:sz w:val="22"/>
        <w:szCs w:val="22"/>
        <w:u w:val="none"/>
        <w:vertAlign w:val="baseline"/>
      </w:rPr>
    </w:lvl>
    <w:lvl w:ilvl="1">
      <w:start w:val="1"/>
      <w:numFmt w:val="decimal"/>
      <w:lvlText w:val="%1.%2"/>
      <w:lvlJc w:val="left"/>
      <w:pPr>
        <w:ind w:left="1440" w:hanging="720"/>
      </w:pPr>
      <w:rPr>
        <w:rFonts w:ascii="Arial" w:cs="Arial" w:eastAsia="Arial" w:hAnsi="Arial"/>
        <w:b w:val="0"/>
        <w:bCs w:val="0"/>
        <w:i w:val="0"/>
        <w:iCs w:val="0"/>
        <w:sz w:val="24"/>
        <w:szCs w:val="24"/>
      </w:rPr>
    </w:lvl>
    <w:lvl w:ilvl="2">
      <w:start w:val="1"/>
      <w:numFmt w:val="decimal"/>
      <w:lvlText w:val="%1.%2.%3"/>
      <w:lvlJc w:val="left"/>
      <w:pPr>
        <w:ind w:left="2268" w:hanging="828"/>
      </w:pPr>
      <w:rPr>
        <w:rFonts w:ascii="Arial" w:cs="Arial" w:eastAsia="Arial" w:hAnsi="Arial"/>
        <w:b w:val="0"/>
        <w:bCs w:val="0"/>
        <w:sz w:val="24"/>
        <w:szCs w:val="24"/>
      </w:rPr>
    </w:lvl>
    <w:lvl w:ilvl="3">
      <w:start w:val="1"/>
      <w:numFmt w:val="decimal"/>
      <w:lvlText w:val="%1.%2.%3.%4"/>
      <w:lvlJc w:val="left"/>
      <w:pPr>
        <w:ind w:left="3402" w:hanging="1134"/>
      </w:pPr>
      <w:rPr>
        <w:rFonts w:ascii="Arial" w:cs="Arial" w:eastAsia="Arial" w:hAnsi="Arial"/>
        <w:b w:val="0"/>
        <w:bCs w:val="0"/>
      </w:rPr>
    </w:lvl>
    <w:lvl w:ilvl="4">
      <w:start w:val="1"/>
      <w:numFmt w:val="lowerLetter"/>
      <w:lvlText w:val="(%5)"/>
      <w:lvlJc w:val="left"/>
      <w:pPr>
        <w:ind w:left="3544" w:hanging="425"/>
      </w:pPr>
      <w:rPr>
        <w:b w:val="0"/>
        <w:bCs w:val="0"/>
      </w:rPr>
    </w:lvl>
    <w:lvl w:ilvl="5">
      <w:start w:val="1"/>
      <w:numFmt w:val="lowerRoman"/>
      <w:lvlText w:val="(%6)"/>
      <w:lvlJc w:val="left"/>
      <w:pPr>
        <w:ind w:left="3969" w:hanging="567"/>
      </w:pPr>
      <w:rPr>
        <w:b w:val="0"/>
        <w:bCs w:val="0"/>
      </w:rPr>
    </w:lvl>
    <w:lvl w:ilvl="6">
      <w:start w:val="1"/>
      <w:numFmt w:val="decimal"/>
      <w:lvlText w:val="(%7)"/>
      <w:lvlJc w:val="left"/>
      <w:pPr>
        <w:ind w:left="5040" w:hanging="720"/>
      </w:pPr>
      <w:rPr/>
    </w:lvl>
    <w:lvl w:ilvl="7">
      <w:start w:val="1"/>
      <w:numFmt w:val="decimal"/>
      <w:lvlText w:val="%8"/>
      <w:lvlJc w:val="left"/>
      <w:pPr>
        <w:ind w:left="0" w:firstLine="0"/>
      </w:pPr>
      <w:rPr/>
    </w:lvl>
    <w:lvl w:ilvl="8">
      <w:start w:val="1"/>
      <w:numFmt w:val="decimal"/>
      <w:lvlText w:val="%9"/>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851"/>
      </w:tabs>
      <w:spacing w:after="120" w:line="240" w:lineRule="auto"/>
      <w:ind w:left="720" w:hanging="720"/>
      <w:jc w:val="both"/>
    </w:pPr>
    <w:rPr>
      <w:rFonts w:ascii="Arial" w:cs="Arial" w:eastAsia="Arial" w:hAnsi="Arial"/>
      <w:b w:val="1"/>
      <w:bCs w:val="1"/>
      <w:smallCaps w:val="1"/>
      <w:sz w:val="20"/>
      <w:szCs w:val="20"/>
    </w:rPr>
  </w:style>
  <w:style w:type="paragraph" w:styleId="Heading2">
    <w:name w:val="heading 2"/>
    <w:basedOn w:val="Normal"/>
    <w:next w:val="Normal"/>
    <w:pPr>
      <w:tabs>
        <w:tab w:val="left" w:leader="none" w:pos="851"/>
      </w:tabs>
      <w:spacing w:after="120" w:line="240" w:lineRule="auto"/>
      <w:ind w:left="1440" w:hanging="720"/>
      <w:jc w:val="both"/>
    </w:pPr>
    <w:rPr>
      <w:rFonts w:ascii="Arial" w:cs="Arial" w:eastAsia="Arial" w:hAnsi="Arial"/>
      <w:sz w:val="20"/>
      <w:szCs w:val="20"/>
    </w:rPr>
  </w:style>
  <w:style w:type="paragraph" w:styleId="Heading3">
    <w:name w:val="heading 3"/>
    <w:basedOn w:val="Normal"/>
    <w:next w:val="Normal"/>
    <w:pPr>
      <w:tabs>
        <w:tab w:val="left" w:leader="none" w:pos="1418"/>
      </w:tabs>
      <w:spacing w:after="120" w:line="240" w:lineRule="auto"/>
      <w:ind w:left="2160" w:hanging="720"/>
      <w:jc w:val="both"/>
    </w:pPr>
    <w:rPr>
      <w:rFonts w:ascii="Arial" w:cs="Arial" w:eastAsia="Arial" w:hAnsi="Arial"/>
      <w:sz w:val="20"/>
      <w:szCs w:val="20"/>
    </w:rPr>
  </w:style>
  <w:style w:type="paragraph" w:styleId="Heading4">
    <w:name w:val="heading 4"/>
    <w:basedOn w:val="Normal"/>
    <w:next w:val="Normal"/>
    <w:pPr>
      <w:spacing w:after="120" w:line="240" w:lineRule="auto"/>
      <w:ind w:left="2880" w:hanging="720"/>
      <w:jc w:val="both"/>
    </w:pPr>
    <w:rPr>
      <w:rFonts w:ascii="Arial" w:cs="Arial" w:eastAsia="Arial" w:hAnsi="Arial"/>
      <w:sz w:val="20"/>
      <w:szCs w:val="20"/>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R65ywBxDaGZYBbNCJ+uPRmaMw==">CgMxLjAyDmgudWVhNTE4cjdyYWh0Mg5oLmJkajliYnV1dGQ4dDIOaC5ub2I4ejlnbG83dnMyDmgubzhyOWY3bDVtMXJ1Mg5oLjJyZzNxb3o1aW9qMzIOaC5zcGRzYTVsMW1waDUyDmgua2cwdXFybWtsa3U1MgloLjJldDkycDAyCWguM3pueXNoNzIJaC4xZm9iOXRlOAByITFIdjdaTVdQQ2h5SXNwYjBXUnQxYkU3ZE9YaGx1R0IyYQ==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D1V9</vt:lpwstr>
  </property>
  <property fmtid="{D5CDD505-2E9C-101B-9397-08002B2CF9AE}" pid="3" name="iManageFooter">
    <vt:lpwstr>76051516v4</vt:lpwstr>
  </property>
</Properties>
</file>