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ind w:hanging="2"/>
        <w:jc w:val="left"/>
        <w:rPr/>
      </w:pPr>
      <w:r w:rsidDel="00000000" w:rsidR="00000000" w:rsidRPr="00000000">
        <w:rPr>
          <w:rtl w:val="0"/>
        </w:rPr>
      </w:r>
    </w:p>
    <w:p w:rsidR="00000000" w:rsidDel="00000000" w:rsidP="00000000" w:rsidRDefault="00000000" w:rsidRPr="00000000" w14:paraId="00000002">
      <w:pPr>
        <w:spacing w:after="0" w:before="240" w:line="276" w:lineRule="auto"/>
        <w:ind w:left="2" w:hanging="4"/>
        <w:jc w:val="left"/>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Call-Off Schedule 5 (Pricing Details)</w:t>
      </w:r>
    </w:p>
    <w:p w:rsidR="00000000" w:rsidDel="00000000" w:rsidP="00000000" w:rsidRDefault="00000000" w:rsidRPr="00000000" w14:paraId="00000003">
      <w:pPr>
        <w:spacing w:after="0" w:before="240" w:line="276" w:lineRule="auto"/>
        <w:ind w:left="-2" w:firstLine="0"/>
        <w:jc w:val="left"/>
        <w:rPr>
          <w:rFonts w:ascii="Arial" w:cs="Arial" w:eastAsia="Arial" w:hAnsi="Arial"/>
          <w:sz w:val="24"/>
          <w:szCs w:val="24"/>
        </w:rPr>
      </w:pPr>
      <w:bookmarkStart w:colFirst="0" w:colLast="0" w:name="_heading=h.1y810tw" w:id="0"/>
      <w:bookmarkEnd w:id="0"/>
      <w:r w:rsidDel="00000000" w:rsidR="00000000" w:rsidRPr="00000000">
        <w:rPr>
          <w:rFonts w:ascii="Arial" w:cs="Arial" w:eastAsia="Arial" w:hAnsi="Arial"/>
          <w:b w:val="1"/>
          <w:sz w:val="36"/>
          <w:szCs w:val="36"/>
          <w:rtl w:val="0"/>
        </w:rPr>
        <w:t xml:space="preserve">Part A – Fixed Fee Pricing</w:t>
      </w:r>
      <w:r w:rsidDel="00000000" w:rsidR="00000000" w:rsidRPr="00000000">
        <w:rPr>
          <w:rtl w:val="0"/>
        </w:rPr>
      </w:r>
    </w:p>
    <w:p w:rsidR="00000000" w:rsidDel="00000000" w:rsidP="00000000" w:rsidRDefault="00000000" w:rsidRPr="00000000" w14:paraId="00000004">
      <w:pPr>
        <w:keepNext w:val="1"/>
        <w:pBdr>
          <w:top w:space="0" w:sz="0" w:val="nil"/>
          <w:left w:space="0" w:sz="0" w:val="nil"/>
          <w:bottom w:space="0" w:sz="0" w:val="nil"/>
          <w:right w:space="0" w:sz="0" w:val="nil"/>
          <w:between w:space="0" w:sz="0" w:val="nil"/>
        </w:pBdr>
        <w:spacing w:line="276" w:lineRule="auto"/>
        <w:ind w:hanging="2"/>
        <w:jc w:val="left"/>
        <w:rPr>
          <w:sz w:val="24"/>
          <w:szCs w:val="24"/>
        </w:rPr>
      </w:pPr>
      <w:bookmarkStart w:colFirst="0" w:colLast="0" w:name="_heading=h.gjdgxs" w:id="1"/>
      <w:bookmarkEnd w:id="1"/>
      <w:r w:rsidDel="00000000" w:rsidR="00000000" w:rsidRPr="00000000">
        <w:rPr>
          <w:rFonts w:ascii="Arial" w:cs="Arial" w:eastAsia="Arial" w:hAnsi="Arial"/>
          <w:color w:val="000000"/>
          <w:sz w:val="24"/>
          <w:szCs w:val="24"/>
          <w:rtl w:val="0"/>
        </w:rPr>
        <w:t xml:space="preserve">This part of this schedule shall apply where the Fixed Fee Pricing option is selected in the Order Form.</w:t>
      </w:r>
      <w:r w:rsidDel="00000000" w:rsidR="00000000" w:rsidRPr="00000000">
        <w:rPr>
          <w:rtl w:val="0"/>
        </w:rPr>
      </w:r>
    </w:p>
    <w:p w:rsidR="00000000" w:rsidDel="00000000" w:rsidP="00000000" w:rsidRDefault="00000000" w:rsidRPr="00000000" w14:paraId="00000005">
      <w:pPr>
        <w:keepNext w:val="1"/>
        <w:numPr>
          <w:ilvl w:val="0"/>
          <w:numId w:val="2"/>
        </w:numPr>
        <w:pBdr>
          <w:top w:space="0" w:sz="0" w:val="nil"/>
          <w:left w:space="0" w:sz="0" w:val="nil"/>
          <w:bottom w:space="0" w:sz="0" w:val="nil"/>
          <w:right w:space="0" w:sz="0" w:val="nil"/>
          <w:between w:space="0" w:sz="0" w:val="nil"/>
        </w:pBdr>
        <w:tabs>
          <w:tab w:val="left" w:leader="none" w:pos="709"/>
        </w:tabs>
        <w:spacing w:line="276" w:lineRule="auto"/>
        <w:ind w:left="720" w:hanging="72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How Framework Prices are used to calculate Fixed Fee Pricing Matrix Charges</w:t>
      </w:r>
    </w:p>
    <w:p w:rsidR="00000000" w:rsidDel="00000000" w:rsidP="00000000" w:rsidRDefault="00000000" w:rsidRPr="00000000" w14:paraId="00000006">
      <w:pPr>
        <w:keepNext w:val="1"/>
        <w:numPr>
          <w:ilvl w:val="1"/>
          <w:numId w:val="2"/>
        </w:numPr>
        <w:pBdr>
          <w:top w:space="0" w:sz="0" w:val="nil"/>
          <w:left w:space="0" w:sz="0" w:val="nil"/>
          <w:bottom w:space="0" w:sz="0" w:val="nil"/>
          <w:right w:space="0" w:sz="0" w:val="nil"/>
          <w:between w:space="0" w:sz="0" w:val="nil"/>
        </w:pBdr>
        <w:tabs>
          <w:tab w:val="left" w:leader="none" w:pos="709"/>
        </w:tabs>
        <w:spacing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Framework Prices: </w:t>
      </w:r>
    </w:p>
    <w:p w:rsidR="00000000" w:rsidDel="00000000" w:rsidP="00000000" w:rsidRDefault="00000000" w:rsidRPr="00000000" w14:paraId="00000007">
      <w:pPr>
        <w:keepNext w:val="1"/>
        <w:numPr>
          <w:ilvl w:val="2"/>
          <w:numId w:val="2"/>
        </w:numPr>
        <w:pBdr>
          <w:top w:space="0" w:sz="0" w:val="nil"/>
          <w:left w:space="0" w:sz="0" w:val="nil"/>
          <w:bottom w:space="0" w:sz="0" w:val="nil"/>
          <w:right w:space="0" w:sz="0" w:val="nil"/>
          <w:between w:space="0" w:sz="0" w:val="nil"/>
        </w:pBdr>
        <w:tabs>
          <w:tab w:val="left" w:leader="none" w:pos="709"/>
        </w:tabs>
        <w:spacing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shall be used as the basis for the Charges (and are the maximums that the Supplier may charge for a Standard Service Requirement) under each Call-Off Contract, in respect of </w:t>
      </w:r>
      <w:r w:rsidDel="00000000" w:rsidR="00000000" w:rsidRPr="00000000">
        <w:rPr>
          <w:rFonts w:ascii="Arial" w:cs="Arial" w:eastAsia="Arial" w:hAnsi="Arial"/>
          <w:sz w:val="24"/>
          <w:szCs w:val="24"/>
          <w:rtl w:val="0"/>
        </w:rPr>
        <w:t xml:space="preserve">1.1.1.1 -1.1.1.8, however Suppliers may submit prices below these as part of a Competitive Selection process where appropriate (for example to gain economies of scale or to introduce volumetric pricing where appropriate etc).</w:t>
      </w:r>
      <w:r w:rsidDel="00000000" w:rsidR="00000000" w:rsidRPr="00000000">
        <w:rPr>
          <w:rtl w:val="0"/>
        </w:rPr>
      </w:r>
    </w:p>
    <w:p w:rsidR="00000000" w:rsidDel="00000000" w:rsidP="00000000" w:rsidRDefault="00000000" w:rsidRPr="00000000" w14:paraId="00000008">
      <w:pPr>
        <w:keepNext w:val="1"/>
        <w:numPr>
          <w:ilvl w:val="3"/>
          <w:numId w:val="2"/>
        </w:numPr>
        <w:pBdr>
          <w:top w:space="0" w:sz="0" w:val="nil"/>
          <w:left w:space="0" w:sz="0" w:val="nil"/>
          <w:bottom w:space="0" w:sz="0" w:val="nil"/>
          <w:right w:space="0" w:sz="0" w:val="nil"/>
          <w:between w:space="0" w:sz="0" w:val="nil"/>
        </w:pBdr>
        <w:tabs>
          <w:tab w:val="left" w:leader="none" w:pos="709"/>
        </w:tabs>
        <w:spacing w:after="0" w:line="276" w:lineRule="auto"/>
        <w:ind w:left="3402" w:hanging="1134"/>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Standard Service Rate; </w:t>
      </w:r>
    </w:p>
    <w:p w:rsidR="00000000" w:rsidDel="00000000" w:rsidP="00000000" w:rsidRDefault="00000000" w:rsidRPr="00000000" w14:paraId="00000009">
      <w:pPr>
        <w:keepNext w:val="1"/>
        <w:numPr>
          <w:ilvl w:val="3"/>
          <w:numId w:val="2"/>
        </w:numPr>
        <w:pBdr>
          <w:top w:space="0" w:sz="0" w:val="nil"/>
          <w:left w:space="0" w:sz="0" w:val="nil"/>
          <w:bottom w:space="0" w:sz="0" w:val="nil"/>
          <w:right w:space="0" w:sz="0" w:val="nil"/>
          <w:between w:space="0" w:sz="0" w:val="nil"/>
        </w:pBdr>
        <w:tabs>
          <w:tab w:val="left" w:leader="none" w:pos="709"/>
        </w:tabs>
        <w:spacing w:after="0" w:line="276" w:lineRule="auto"/>
        <w:ind w:left="3402" w:hanging="1134"/>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Corporate Overhead;</w:t>
      </w:r>
    </w:p>
    <w:p w:rsidR="00000000" w:rsidDel="00000000" w:rsidP="00000000" w:rsidRDefault="00000000" w:rsidRPr="00000000" w14:paraId="0000000A">
      <w:pPr>
        <w:keepNext w:val="1"/>
        <w:numPr>
          <w:ilvl w:val="3"/>
          <w:numId w:val="2"/>
        </w:numPr>
        <w:pBdr>
          <w:top w:space="0" w:sz="0" w:val="nil"/>
          <w:left w:space="0" w:sz="0" w:val="nil"/>
          <w:bottom w:space="0" w:sz="0" w:val="nil"/>
          <w:right w:space="0" w:sz="0" w:val="nil"/>
          <w:between w:space="0" w:sz="0" w:val="nil"/>
        </w:pBdr>
        <w:tabs>
          <w:tab w:val="left" w:leader="none" w:pos="709"/>
        </w:tabs>
        <w:spacing w:after="0" w:line="276" w:lineRule="auto"/>
        <w:ind w:left="3402" w:hanging="1134"/>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Management Overhead;</w:t>
      </w:r>
    </w:p>
    <w:p w:rsidR="00000000" w:rsidDel="00000000" w:rsidP="00000000" w:rsidRDefault="00000000" w:rsidRPr="00000000" w14:paraId="0000000B">
      <w:pPr>
        <w:keepNext w:val="1"/>
        <w:numPr>
          <w:ilvl w:val="3"/>
          <w:numId w:val="2"/>
        </w:numPr>
        <w:pBdr>
          <w:top w:space="0" w:sz="0" w:val="nil"/>
          <w:left w:space="0" w:sz="0" w:val="nil"/>
          <w:bottom w:space="0" w:sz="0" w:val="nil"/>
          <w:right w:space="0" w:sz="0" w:val="nil"/>
          <w:between w:space="0" w:sz="0" w:val="nil"/>
        </w:pBdr>
        <w:tabs>
          <w:tab w:val="left" w:leader="none" w:pos="709"/>
        </w:tabs>
        <w:spacing w:after="0" w:line="276" w:lineRule="auto"/>
        <w:ind w:left="3402" w:hanging="1134"/>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Cleaning Consumables per building occupants;</w:t>
      </w:r>
    </w:p>
    <w:p w:rsidR="00000000" w:rsidDel="00000000" w:rsidP="00000000" w:rsidRDefault="00000000" w:rsidRPr="00000000" w14:paraId="0000000C">
      <w:pPr>
        <w:keepNext w:val="1"/>
        <w:numPr>
          <w:ilvl w:val="3"/>
          <w:numId w:val="2"/>
        </w:numPr>
        <w:pBdr>
          <w:top w:space="0" w:sz="0" w:val="nil"/>
          <w:left w:space="0" w:sz="0" w:val="nil"/>
          <w:bottom w:space="0" w:sz="0" w:val="nil"/>
          <w:right w:space="0" w:sz="0" w:val="nil"/>
          <w:between w:space="0" w:sz="0" w:val="nil"/>
        </w:pBdr>
        <w:tabs>
          <w:tab w:val="left" w:leader="none" w:pos="709"/>
        </w:tabs>
        <w:spacing w:after="0" w:line="276" w:lineRule="auto"/>
        <w:ind w:left="3402" w:hanging="1134"/>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Supplier Profit;</w:t>
      </w:r>
    </w:p>
    <w:p w:rsidR="00000000" w:rsidDel="00000000" w:rsidP="00000000" w:rsidRDefault="00000000" w:rsidRPr="00000000" w14:paraId="0000000D">
      <w:pPr>
        <w:keepNext w:val="1"/>
        <w:numPr>
          <w:ilvl w:val="3"/>
          <w:numId w:val="2"/>
        </w:numPr>
        <w:pBdr>
          <w:top w:space="0" w:sz="0" w:val="nil"/>
          <w:left w:space="0" w:sz="0" w:val="nil"/>
          <w:bottom w:space="0" w:sz="0" w:val="nil"/>
          <w:right w:space="0" w:sz="0" w:val="nil"/>
          <w:between w:space="0" w:sz="0" w:val="nil"/>
        </w:pBdr>
        <w:tabs>
          <w:tab w:val="left" w:leader="none" w:pos="709"/>
        </w:tabs>
        <w:spacing w:after="0" w:line="276" w:lineRule="auto"/>
        <w:ind w:left="3402" w:hanging="1134"/>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London Location Variance;</w:t>
      </w:r>
    </w:p>
    <w:p w:rsidR="00000000" w:rsidDel="00000000" w:rsidP="00000000" w:rsidRDefault="00000000" w:rsidRPr="00000000" w14:paraId="0000000E">
      <w:pPr>
        <w:keepNext w:val="1"/>
        <w:numPr>
          <w:ilvl w:val="3"/>
          <w:numId w:val="2"/>
        </w:numPr>
        <w:pBdr>
          <w:top w:space="0" w:sz="0" w:val="nil"/>
          <w:left w:space="0" w:sz="0" w:val="nil"/>
          <w:bottom w:space="0" w:sz="0" w:val="nil"/>
          <w:right w:space="0" w:sz="0" w:val="nil"/>
          <w:between w:space="0" w:sz="0" w:val="nil"/>
        </w:pBdr>
        <w:tabs>
          <w:tab w:val="left" w:leader="none" w:pos="709"/>
        </w:tabs>
        <w:spacing w:after="0" w:line="276" w:lineRule="auto"/>
        <w:ind w:left="3402" w:hanging="1134"/>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London Real Living Wage Variance;</w:t>
      </w:r>
    </w:p>
    <w:p w:rsidR="00000000" w:rsidDel="00000000" w:rsidP="00000000" w:rsidRDefault="00000000" w:rsidRPr="00000000" w14:paraId="0000000F">
      <w:pPr>
        <w:keepNext w:val="1"/>
        <w:numPr>
          <w:ilvl w:val="3"/>
          <w:numId w:val="2"/>
        </w:numPr>
        <w:pBdr>
          <w:top w:space="0" w:sz="0" w:val="nil"/>
          <w:left w:space="0" w:sz="0" w:val="nil"/>
          <w:bottom w:space="0" w:sz="0" w:val="nil"/>
          <w:right w:space="0" w:sz="0" w:val="nil"/>
          <w:between w:space="0" w:sz="0" w:val="nil"/>
        </w:pBdr>
        <w:tabs>
          <w:tab w:val="left" w:leader="none" w:pos="709"/>
        </w:tabs>
        <w:spacing w:after="0" w:line="276" w:lineRule="auto"/>
        <w:ind w:left="3402" w:hanging="1134"/>
        <w:jc w:val="left"/>
        <w:rPr>
          <w:color w:val="000000"/>
          <w:sz w:val="24"/>
          <w:szCs w:val="24"/>
        </w:rPr>
      </w:pPr>
      <w:r w:rsidDel="00000000" w:rsidR="00000000" w:rsidRPr="00000000">
        <w:rPr>
          <w:rFonts w:ascii="Arial" w:cs="Arial" w:eastAsia="Arial" w:hAnsi="Arial"/>
          <w:color w:val="000000"/>
          <w:sz w:val="24"/>
          <w:szCs w:val="24"/>
          <w:rtl w:val="0"/>
        </w:rPr>
        <w:t xml:space="preserve">Real Living Wage Variance.</w:t>
      </w:r>
      <w:r w:rsidDel="00000000" w:rsidR="00000000" w:rsidRPr="00000000">
        <w:rPr>
          <w:rtl w:val="0"/>
        </w:rPr>
      </w:r>
    </w:p>
    <w:p w:rsidR="00000000" w:rsidDel="00000000" w:rsidP="00000000" w:rsidRDefault="00000000" w:rsidRPr="00000000" w14:paraId="00000010">
      <w:pPr>
        <w:keepNext w:val="1"/>
        <w:pBdr>
          <w:top w:space="0" w:sz="0" w:val="nil"/>
          <w:left w:space="0" w:sz="0" w:val="nil"/>
          <w:bottom w:space="0" w:sz="0" w:val="nil"/>
          <w:right w:space="0" w:sz="0" w:val="nil"/>
          <w:between w:space="0" w:sz="0" w:val="nil"/>
        </w:pBdr>
        <w:tabs>
          <w:tab w:val="left" w:leader="none" w:pos="709"/>
        </w:tabs>
        <w:spacing w:after="0" w:line="276" w:lineRule="auto"/>
        <w:ind w:firstLine="0"/>
        <w:jc w:val="left"/>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11">
      <w:pPr>
        <w:keepNext w:val="1"/>
        <w:numPr>
          <w:ilvl w:val="2"/>
          <w:numId w:val="2"/>
        </w:numPr>
        <w:pBdr>
          <w:top w:space="0" w:sz="0" w:val="nil"/>
          <w:left w:space="0" w:sz="0" w:val="nil"/>
          <w:bottom w:space="0" w:sz="0" w:val="nil"/>
          <w:right w:space="0" w:sz="0" w:val="nil"/>
          <w:between w:space="0" w:sz="0" w:val="nil"/>
        </w:pBdr>
        <w:tabs>
          <w:tab w:val="left" w:leader="none" w:pos="709"/>
        </w:tabs>
        <w:spacing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is permitted to exceed Framework Prices for non Standard Service Requirements and/or for Standard Service Requirements at the discretion of the Buyer, however the pricing variables detailed in 1.1.1.5 to 1.1.1.8 will remain as maximum percentages. </w:t>
      </w:r>
    </w:p>
    <w:p w:rsidR="00000000" w:rsidDel="00000000" w:rsidP="00000000" w:rsidRDefault="00000000" w:rsidRPr="00000000" w14:paraId="00000012">
      <w:pPr>
        <w:keepNext w:val="1"/>
        <w:numPr>
          <w:ilvl w:val="2"/>
          <w:numId w:val="2"/>
        </w:numPr>
        <w:pBdr>
          <w:top w:space="0" w:sz="0" w:val="nil"/>
          <w:left w:space="0" w:sz="0" w:val="nil"/>
          <w:bottom w:space="0" w:sz="0" w:val="nil"/>
          <w:right w:space="0" w:sz="0" w:val="nil"/>
          <w:between w:space="0" w:sz="0" w:val="nil"/>
        </w:pBdr>
        <w:tabs>
          <w:tab w:val="left" w:leader="none" w:pos="709"/>
        </w:tabs>
        <w:spacing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Charges:</w:t>
      </w:r>
    </w:p>
    <w:p w:rsidR="00000000" w:rsidDel="00000000" w:rsidP="00000000" w:rsidRDefault="00000000" w:rsidRPr="00000000" w14:paraId="00000013">
      <w:pPr>
        <w:keepNext w:val="1"/>
        <w:numPr>
          <w:ilvl w:val="3"/>
          <w:numId w:val="2"/>
        </w:numPr>
        <w:pBdr>
          <w:top w:space="0" w:sz="0" w:val="nil"/>
          <w:left w:space="0" w:sz="0" w:val="nil"/>
          <w:bottom w:space="0" w:sz="0" w:val="nil"/>
          <w:right w:space="0" w:sz="0" w:val="nil"/>
          <w:between w:space="0" w:sz="0" w:val="nil"/>
        </w:pBdr>
        <w:tabs>
          <w:tab w:val="left" w:leader="none" w:pos="709"/>
        </w:tabs>
        <w:spacing w:after="0" w:line="276" w:lineRule="auto"/>
        <w:ind w:left="3402" w:hanging="1134"/>
        <w:jc w:val="left"/>
        <w:rPr>
          <w:color w:val="000000"/>
          <w:sz w:val="24"/>
          <w:szCs w:val="24"/>
        </w:rPr>
      </w:pPr>
      <w:r w:rsidDel="00000000" w:rsidR="00000000" w:rsidRPr="00000000">
        <w:rPr>
          <w:rFonts w:ascii="Arial" w:cs="Arial" w:eastAsia="Arial" w:hAnsi="Arial"/>
          <w:color w:val="000000"/>
          <w:sz w:val="24"/>
          <w:szCs w:val="24"/>
          <w:rtl w:val="0"/>
        </w:rPr>
        <w:t xml:space="preserve">shall be calculated in accordance with the terms of the Call-Off Contract and in particular in accordance with the terms of the Order Form or NEC4 Contract (as applicable);</w:t>
      </w:r>
      <w:r w:rsidDel="00000000" w:rsidR="00000000" w:rsidRPr="00000000">
        <w:rPr>
          <w:rtl w:val="0"/>
        </w:rPr>
      </w:r>
    </w:p>
    <w:p w:rsidR="00000000" w:rsidDel="00000000" w:rsidP="00000000" w:rsidRDefault="00000000" w:rsidRPr="00000000" w14:paraId="00000014">
      <w:pPr>
        <w:keepNext w:val="1"/>
        <w:numPr>
          <w:ilvl w:val="3"/>
          <w:numId w:val="2"/>
        </w:numPr>
        <w:pBdr>
          <w:top w:space="0" w:sz="0" w:val="nil"/>
          <w:left w:space="0" w:sz="0" w:val="nil"/>
          <w:bottom w:space="0" w:sz="0" w:val="nil"/>
          <w:right w:space="0" w:sz="0" w:val="nil"/>
          <w:between w:space="0" w:sz="0" w:val="nil"/>
        </w:pBdr>
        <w:tabs>
          <w:tab w:val="left" w:leader="none" w:pos="709"/>
        </w:tabs>
        <w:spacing w:line="276" w:lineRule="auto"/>
        <w:ind w:left="3402" w:hanging="1134"/>
        <w:jc w:val="left"/>
        <w:rPr>
          <w:color w:val="000000"/>
          <w:sz w:val="24"/>
          <w:szCs w:val="24"/>
        </w:rPr>
      </w:pPr>
      <w:r w:rsidDel="00000000" w:rsidR="00000000" w:rsidRPr="00000000">
        <w:rPr>
          <w:rFonts w:ascii="Arial" w:cs="Arial" w:eastAsia="Arial" w:hAnsi="Arial"/>
          <w:color w:val="000000"/>
          <w:sz w:val="24"/>
          <w:szCs w:val="24"/>
          <w:rtl w:val="0"/>
        </w:rPr>
        <w:t xml:space="preserve">and cannot be increased except as specifically permitted by the Call-Off Contract and in particular shall only be subject to indexation where specifically stated in the Order Form or NEC4 Contract (as applicable and shall not be impacted by any change to the Framework Prices).</w:t>
      </w:r>
      <w:r w:rsidDel="00000000" w:rsidR="00000000" w:rsidRPr="00000000">
        <w:rPr>
          <w:rtl w:val="0"/>
        </w:rPr>
      </w:r>
    </w:p>
    <w:p w:rsidR="00000000" w:rsidDel="00000000" w:rsidP="00000000" w:rsidRDefault="00000000" w:rsidRPr="00000000" w14:paraId="00000015">
      <w:pPr>
        <w:keepNext w:val="1"/>
        <w:numPr>
          <w:ilvl w:val="0"/>
          <w:numId w:val="2"/>
        </w:numPr>
        <w:pBdr>
          <w:top w:space="0" w:sz="0" w:val="nil"/>
          <w:left w:space="0" w:sz="0" w:val="nil"/>
          <w:bottom w:space="0" w:sz="0" w:val="nil"/>
          <w:right w:space="0" w:sz="0" w:val="nil"/>
          <w:between w:space="0" w:sz="0" w:val="nil"/>
        </w:pBdr>
        <w:spacing w:line="276" w:lineRule="auto"/>
        <w:ind w:left="0" w:hanging="2"/>
        <w:jc w:val="left"/>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Calculation of the Charges</w:t>
      </w:r>
      <w:r w:rsidDel="00000000" w:rsidR="00000000" w:rsidRPr="00000000">
        <w:rPr>
          <w:rtl w:val="0"/>
        </w:rPr>
      </w:r>
    </w:p>
    <w:p w:rsidR="00000000" w:rsidDel="00000000" w:rsidP="00000000" w:rsidRDefault="00000000" w:rsidRPr="00000000" w14:paraId="00000016">
      <w:pPr>
        <w:keepNext w:val="1"/>
        <w:numPr>
          <w:ilvl w:val="1"/>
          <w:numId w:val="2"/>
        </w:numPr>
        <w:pBdr>
          <w:top w:space="0" w:sz="0" w:val="nil"/>
          <w:left w:space="0" w:sz="0" w:val="nil"/>
          <w:bottom w:space="0" w:sz="0" w:val="nil"/>
          <w:right w:space="0" w:sz="0" w:val="nil"/>
          <w:between w:space="0" w:sz="0" w:val="nil"/>
        </w:pBdr>
        <w:spacing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fixed fee Charges shall be:</w:t>
      </w:r>
    </w:p>
    <w:p w:rsidR="00000000" w:rsidDel="00000000" w:rsidP="00000000" w:rsidRDefault="00000000" w:rsidRPr="00000000" w14:paraId="00000017">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bookmarkStart w:colFirst="0" w:colLast="0" w:name="_heading=h.30j0zll" w:id="2"/>
      <w:bookmarkEnd w:id="2"/>
      <w:r w:rsidDel="00000000" w:rsidR="00000000" w:rsidRPr="00000000">
        <w:rPr>
          <w:rFonts w:ascii="Arial" w:cs="Arial" w:eastAsia="Arial" w:hAnsi="Arial"/>
          <w:color w:val="222222"/>
          <w:sz w:val="24"/>
          <w:szCs w:val="24"/>
          <w:highlight w:val="white"/>
          <w:rtl w:val="0"/>
        </w:rPr>
        <w:t xml:space="preserve">calculated on the basis of the rates and prices specified in the Fixed Fee Pricing Matrix submitted as part of a Competitive Selection Process and based on the principles in Annex 1; </w:t>
      </w:r>
      <w:r w:rsidDel="00000000" w:rsidR="00000000" w:rsidRPr="00000000">
        <w:rPr>
          <w:rtl w:val="0"/>
        </w:rPr>
      </w:r>
    </w:p>
    <w:p w:rsidR="00000000" w:rsidDel="00000000" w:rsidP="00000000" w:rsidRDefault="00000000" w:rsidRPr="00000000" w14:paraId="00000018">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paid in respect of Service Months for full and proper performance by the Supplier of its obligations under the Call-Off Contract; and</w:t>
      </w:r>
    </w:p>
    <w:p w:rsidR="00000000" w:rsidDel="00000000" w:rsidP="00000000" w:rsidRDefault="00000000" w:rsidRPr="00000000" w14:paraId="00000019">
      <w:pPr>
        <w:keepNext w:val="1"/>
        <w:numPr>
          <w:ilvl w:val="2"/>
          <w:numId w:val="2"/>
        </w:numPr>
        <w:pBdr>
          <w:top w:space="0" w:sz="0" w:val="nil"/>
          <w:left w:space="0" w:sz="0" w:val="nil"/>
          <w:bottom w:space="0" w:sz="0" w:val="nil"/>
          <w:right w:space="0" w:sz="0" w:val="nil"/>
          <w:between w:space="0" w:sz="0" w:val="nil"/>
        </w:pBdr>
        <w:spacing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paid by way of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color w:val="000000"/>
          <w:sz w:val="24"/>
          <w:szCs w:val="24"/>
          <w:rtl w:val="0"/>
        </w:rPr>
        <w:t xml:space="preserve">onthly payments </w:t>
      </w:r>
      <w:r w:rsidDel="00000000" w:rsidR="00000000" w:rsidRPr="00000000">
        <w:rPr>
          <w:rFonts w:ascii="Arial" w:cs="Arial" w:eastAsia="Arial" w:hAnsi="Arial"/>
          <w:sz w:val="24"/>
          <w:szCs w:val="24"/>
          <w:rtl w:val="0"/>
        </w:rPr>
        <w:t xml:space="preserve">and may include the following price components:</w:t>
      </w:r>
      <w:r w:rsidDel="00000000" w:rsidR="00000000" w:rsidRPr="00000000">
        <w:rPr>
          <w:rtl w:val="0"/>
        </w:rPr>
      </w:r>
    </w:p>
    <w:p w:rsidR="00000000" w:rsidDel="00000000" w:rsidP="00000000" w:rsidRDefault="00000000" w:rsidRPr="00000000" w14:paraId="0000001A">
      <w:pPr>
        <w:keepNext w:val="1"/>
        <w:numPr>
          <w:ilvl w:val="3"/>
          <w:numId w:val="2"/>
        </w:numPr>
        <w:pBdr>
          <w:top w:space="0" w:sz="0" w:val="nil"/>
          <w:left w:space="0" w:sz="0" w:val="nil"/>
          <w:bottom w:space="0" w:sz="0" w:val="nil"/>
          <w:right w:space="0" w:sz="0" w:val="nil"/>
          <w:between w:space="0" w:sz="0" w:val="nil"/>
        </w:pBdr>
        <w:spacing w:after="0" w:line="276" w:lineRule="auto"/>
        <w:ind w:left="3402" w:hanging="1134"/>
        <w:jc w:val="left"/>
        <w:rPr>
          <w:color w:val="000000"/>
          <w:sz w:val="24"/>
          <w:szCs w:val="24"/>
        </w:rPr>
      </w:pPr>
      <w:r w:rsidDel="00000000" w:rsidR="00000000" w:rsidRPr="00000000">
        <w:rPr>
          <w:rFonts w:ascii="Arial" w:cs="Arial" w:eastAsia="Arial" w:hAnsi="Arial"/>
          <w:sz w:val="24"/>
          <w:szCs w:val="24"/>
          <w:rtl w:val="0"/>
        </w:rPr>
        <w:t xml:space="preserve">Baseline Monthly Payment for the Service Month;</w:t>
      </w:r>
      <w:r w:rsidDel="00000000" w:rsidR="00000000" w:rsidRPr="00000000">
        <w:rPr>
          <w:rtl w:val="0"/>
        </w:rPr>
      </w:r>
    </w:p>
    <w:p w:rsidR="00000000" w:rsidDel="00000000" w:rsidP="00000000" w:rsidRDefault="00000000" w:rsidRPr="00000000" w14:paraId="0000001B">
      <w:pPr>
        <w:keepNext w:val="1"/>
        <w:numPr>
          <w:ilvl w:val="3"/>
          <w:numId w:val="2"/>
        </w:numPr>
        <w:pBdr>
          <w:top w:space="0" w:sz="0" w:val="nil"/>
          <w:left w:space="0" w:sz="0" w:val="nil"/>
          <w:bottom w:space="0" w:sz="0" w:val="nil"/>
          <w:right w:space="0" w:sz="0" w:val="nil"/>
          <w:between w:space="0" w:sz="0" w:val="nil"/>
        </w:pBdr>
        <w:spacing w:after="0" w:line="276" w:lineRule="auto"/>
        <w:ind w:left="3402" w:hanging="1134"/>
        <w:jc w:val="left"/>
        <w:rPr>
          <w:color w:val="000000"/>
          <w:sz w:val="24"/>
          <w:szCs w:val="24"/>
        </w:rPr>
      </w:pPr>
      <w:r w:rsidDel="00000000" w:rsidR="00000000" w:rsidRPr="00000000">
        <w:rPr>
          <w:rFonts w:ascii="Arial" w:cs="Arial" w:eastAsia="Arial" w:hAnsi="Arial"/>
          <w:sz w:val="24"/>
          <w:szCs w:val="24"/>
          <w:rtl w:val="0"/>
        </w:rPr>
        <w:t xml:space="preserve">Pass Through Costs for the Previous Service Month calculated in accordance with paragraph 2;</w:t>
      </w:r>
      <w:r w:rsidDel="00000000" w:rsidR="00000000" w:rsidRPr="00000000">
        <w:rPr>
          <w:rtl w:val="0"/>
        </w:rPr>
      </w:r>
    </w:p>
    <w:p w:rsidR="00000000" w:rsidDel="00000000" w:rsidP="00000000" w:rsidRDefault="00000000" w:rsidRPr="00000000" w14:paraId="0000001C">
      <w:pPr>
        <w:keepNext w:val="1"/>
        <w:numPr>
          <w:ilvl w:val="3"/>
          <w:numId w:val="2"/>
        </w:numPr>
        <w:pBdr>
          <w:top w:space="0" w:sz="0" w:val="nil"/>
          <w:left w:space="0" w:sz="0" w:val="nil"/>
          <w:bottom w:space="0" w:sz="0" w:val="nil"/>
          <w:right w:space="0" w:sz="0" w:val="nil"/>
          <w:between w:space="0" w:sz="0" w:val="nil"/>
        </w:pBdr>
        <w:spacing w:after="0" w:line="276" w:lineRule="auto"/>
        <w:ind w:left="3402" w:hanging="1134"/>
        <w:jc w:val="left"/>
        <w:rPr>
          <w:color w:val="000000"/>
          <w:sz w:val="24"/>
          <w:szCs w:val="24"/>
        </w:rPr>
      </w:pPr>
      <w:r w:rsidDel="00000000" w:rsidR="00000000" w:rsidRPr="00000000">
        <w:rPr>
          <w:rFonts w:ascii="Arial" w:cs="Arial" w:eastAsia="Arial" w:hAnsi="Arial"/>
          <w:sz w:val="24"/>
          <w:szCs w:val="24"/>
          <w:rtl w:val="0"/>
        </w:rPr>
        <w:t xml:space="preserve">Additional Works for the Previous Service Month;</w:t>
      </w:r>
      <w:r w:rsidDel="00000000" w:rsidR="00000000" w:rsidRPr="00000000">
        <w:rPr>
          <w:rtl w:val="0"/>
        </w:rPr>
      </w:r>
    </w:p>
    <w:p w:rsidR="00000000" w:rsidDel="00000000" w:rsidP="00000000" w:rsidRDefault="00000000" w:rsidRPr="00000000" w14:paraId="0000001D">
      <w:pPr>
        <w:keepNext w:val="1"/>
        <w:numPr>
          <w:ilvl w:val="3"/>
          <w:numId w:val="2"/>
        </w:numPr>
        <w:pBdr>
          <w:top w:space="0" w:sz="0" w:val="nil"/>
          <w:left w:space="0" w:sz="0" w:val="nil"/>
          <w:bottom w:space="0" w:sz="0" w:val="nil"/>
          <w:right w:space="0" w:sz="0" w:val="nil"/>
          <w:between w:space="0" w:sz="0" w:val="nil"/>
        </w:pBdr>
        <w:spacing w:after="0" w:line="276" w:lineRule="auto"/>
        <w:ind w:left="3402" w:hanging="1134"/>
        <w:jc w:val="left"/>
        <w:rPr>
          <w:color w:val="000000"/>
          <w:sz w:val="24"/>
          <w:szCs w:val="24"/>
        </w:rPr>
      </w:pPr>
      <w:r w:rsidDel="00000000" w:rsidR="00000000" w:rsidRPr="00000000">
        <w:rPr>
          <w:rFonts w:ascii="Arial" w:cs="Arial" w:eastAsia="Arial" w:hAnsi="Arial"/>
          <w:sz w:val="24"/>
          <w:szCs w:val="24"/>
          <w:rtl w:val="0"/>
        </w:rPr>
        <w:t xml:space="preserve">Total KPI Credit for the Previous Service Month </w:t>
      </w:r>
      <w:r w:rsidDel="00000000" w:rsidR="00000000" w:rsidRPr="00000000">
        <w:rPr>
          <w:rtl w:val="0"/>
        </w:rPr>
      </w:r>
    </w:p>
    <w:p w:rsidR="00000000" w:rsidDel="00000000" w:rsidP="00000000" w:rsidRDefault="00000000" w:rsidRPr="00000000" w14:paraId="0000001E">
      <w:pPr>
        <w:keepNext w:val="1"/>
        <w:numPr>
          <w:ilvl w:val="3"/>
          <w:numId w:val="2"/>
        </w:numPr>
        <w:pBdr>
          <w:top w:space="0" w:sz="0" w:val="nil"/>
          <w:left w:space="0" w:sz="0" w:val="nil"/>
          <w:bottom w:space="0" w:sz="0" w:val="nil"/>
          <w:right w:space="0" w:sz="0" w:val="nil"/>
          <w:between w:space="0" w:sz="0" w:val="nil"/>
        </w:pBdr>
        <w:spacing w:after="0" w:line="276" w:lineRule="auto"/>
        <w:ind w:left="3402" w:hanging="1134"/>
        <w:jc w:val="left"/>
        <w:rPr>
          <w:color w:val="000000"/>
          <w:sz w:val="24"/>
          <w:szCs w:val="24"/>
        </w:rPr>
      </w:pPr>
      <w:r w:rsidDel="00000000" w:rsidR="00000000" w:rsidRPr="00000000">
        <w:rPr>
          <w:rFonts w:ascii="Arial" w:cs="Arial" w:eastAsia="Arial" w:hAnsi="Arial"/>
          <w:sz w:val="24"/>
          <w:szCs w:val="24"/>
          <w:rtl w:val="0"/>
        </w:rPr>
        <w:t xml:space="preserve">Redundancy Surcharge (if applicable) calculated in accordance with Call-Off Schedule 32 (</w:t>
      </w:r>
      <w:r w:rsidDel="00000000" w:rsidR="00000000" w:rsidRPr="00000000">
        <w:rPr>
          <w:rFonts w:ascii="Arial" w:cs="Arial" w:eastAsia="Arial" w:hAnsi="Arial"/>
          <w:i w:val="1"/>
          <w:sz w:val="24"/>
          <w:szCs w:val="24"/>
          <w:rtl w:val="0"/>
        </w:rPr>
        <w:t xml:space="preserve">Redundancy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1F">
      <w:pPr>
        <w:keepNext w:val="1"/>
        <w:numPr>
          <w:ilvl w:val="3"/>
          <w:numId w:val="2"/>
        </w:numPr>
        <w:pBdr>
          <w:top w:space="0" w:sz="0" w:val="nil"/>
          <w:left w:space="0" w:sz="0" w:val="nil"/>
          <w:bottom w:space="0" w:sz="0" w:val="nil"/>
          <w:right w:space="0" w:sz="0" w:val="nil"/>
          <w:between w:space="0" w:sz="0" w:val="nil"/>
        </w:pBdr>
        <w:spacing w:line="276" w:lineRule="auto"/>
        <w:ind w:left="3402" w:hanging="1134"/>
        <w:jc w:val="left"/>
        <w:rPr>
          <w:color w:val="000000"/>
          <w:sz w:val="24"/>
          <w:szCs w:val="24"/>
        </w:rPr>
      </w:pPr>
      <w:bookmarkStart w:colFirst="0" w:colLast="0" w:name="_heading=h.2et92p0" w:id="3"/>
      <w:bookmarkEnd w:id="3"/>
      <w:r w:rsidDel="00000000" w:rsidR="00000000" w:rsidRPr="00000000">
        <w:rPr>
          <w:rFonts w:ascii="Arial" w:cs="Arial" w:eastAsia="Arial" w:hAnsi="Arial"/>
          <w:sz w:val="24"/>
          <w:szCs w:val="24"/>
          <w:rtl w:val="0"/>
        </w:rPr>
        <w:t xml:space="preserve">Drawn Down Services (if applicable) for the Previous Service Month calculated in accordance with Call-Off Schedule 35 (</w:t>
      </w:r>
      <w:r w:rsidDel="00000000" w:rsidR="00000000" w:rsidRPr="00000000">
        <w:rPr>
          <w:rFonts w:ascii="Arial" w:cs="Arial" w:eastAsia="Arial" w:hAnsi="Arial"/>
          <w:i w:val="1"/>
          <w:sz w:val="24"/>
          <w:szCs w:val="24"/>
          <w:rtl w:val="0"/>
        </w:rPr>
        <w:t xml:space="preserve">Drawn Down Services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20">
      <w:pPr>
        <w:keepNext w:val="1"/>
        <w:numPr>
          <w:ilvl w:val="2"/>
          <w:numId w:val="2"/>
        </w:numPr>
        <w:pBdr>
          <w:top w:space="0" w:sz="0" w:val="nil"/>
          <w:left w:space="0" w:sz="0" w:val="nil"/>
          <w:bottom w:space="0" w:sz="0" w:val="nil"/>
          <w:right w:space="0" w:sz="0" w:val="nil"/>
          <w:between w:space="0" w:sz="0" w:val="nil"/>
        </w:pBdr>
        <w:spacing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Monthly Charge due in the final Service Month may include the same cost components as listed in paragraph 2.1.3.1 - 2.1.3.6, however the Total KPI Credit for the Previous Service Month will be doubled</w:t>
      </w:r>
    </w:p>
    <w:p w:rsidR="00000000" w:rsidDel="00000000" w:rsidP="00000000" w:rsidRDefault="00000000" w:rsidRPr="00000000" w14:paraId="00000021">
      <w:pPr>
        <w:keepNext w:val="1"/>
        <w:numPr>
          <w:ilvl w:val="1"/>
          <w:numId w:val="2"/>
        </w:numPr>
        <w:pBdr>
          <w:top w:space="0" w:sz="0" w:val="nil"/>
          <w:left w:space="0" w:sz="0" w:val="nil"/>
          <w:bottom w:space="0" w:sz="0" w:val="nil"/>
          <w:right w:space="0" w:sz="0" w:val="nil"/>
          <w:between w:space="0" w:sz="0" w:val="nil"/>
        </w:pBdr>
        <w:spacing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Following the final Service Month during the Contract Period a balancing payment will be calculated to account for:</w:t>
      </w:r>
    </w:p>
    <w:p w:rsidR="00000000" w:rsidDel="00000000" w:rsidP="00000000" w:rsidRDefault="00000000" w:rsidRPr="00000000" w14:paraId="00000022">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Total KPI Credit calculated in respect of the final Service Month;</w:t>
      </w:r>
    </w:p>
    <w:p w:rsidR="00000000" w:rsidDel="00000000" w:rsidP="00000000" w:rsidRDefault="00000000" w:rsidRPr="00000000" w14:paraId="00000023">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Pass Through Costs incurred within the final Service Month; </w:t>
      </w:r>
    </w:p>
    <w:p w:rsidR="00000000" w:rsidDel="00000000" w:rsidP="00000000" w:rsidRDefault="00000000" w:rsidRPr="00000000" w14:paraId="00000024">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total price for Additional works which have been completed in the final Service Month;</w:t>
      </w:r>
    </w:p>
    <w:p w:rsidR="00000000" w:rsidDel="00000000" w:rsidP="00000000" w:rsidRDefault="00000000" w:rsidRPr="00000000" w14:paraId="00000025">
      <w:pPr>
        <w:keepNext w:val="1"/>
        <w:numPr>
          <w:ilvl w:val="2"/>
          <w:numId w:val="2"/>
        </w:numPr>
        <w:pBdr>
          <w:top w:space="0" w:sz="0" w:val="nil"/>
          <w:left w:space="0" w:sz="0" w:val="nil"/>
          <w:bottom w:space="0" w:sz="0" w:val="nil"/>
          <w:right w:space="0" w:sz="0" w:val="nil"/>
          <w:between w:space="0" w:sz="0" w:val="nil"/>
        </w:pBdr>
        <w:spacing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price for Drawn Down Services which have been completed in the final Service Month.</w:t>
      </w:r>
    </w:p>
    <w:p w:rsidR="00000000" w:rsidDel="00000000" w:rsidP="00000000" w:rsidRDefault="00000000" w:rsidRPr="00000000" w14:paraId="00000026">
      <w:pPr>
        <w:keepNext w:val="1"/>
        <w:pBdr>
          <w:top w:space="0" w:sz="0" w:val="nil"/>
          <w:left w:space="0" w:sz="0" w:val="nil"/>
          <w:bottom w:space="0" w:sz="0" w:val="nil"/>
          <w:right w:space="0" w:sz="0" w:val="nil"/>
          <w:between w:space="0" w:sz="0" w:val="nil"/>
        </w:pBdr>
        <w:spacing w:line="276" w:lineRule="auto"/>
        <w:ind w:left="1440" w:firstLine="0"/>
        <w:jc w:val="left"/>
        <w:rPr>
          <w:rFonts w:ascii="Arial" w:cs="Arial" w:eastAsia="Arial" w:hAnsi="Arial"/>
          <w:b w:val="1"/>
          <w:color w:val="000000"/>
          <w:sz w:val="24"/>
          <w:szCs w:val="24"/>
        </w:rPr>
      </w:pPr>
      <w:r w:rsidDel="00000000" w:rsidR="00000000" w:rsidRPr="00000000">
        <w:rPr>
          <w:rFonts w:ascii="Arial" w:cs="Arial" w:eastAsia="Arial" w:hAnsi="Arial"/>
          <w:color w:val="000000"/>
          <w:sz w:val="24"/>
          <w:szCs w:val="24"/>
          <w:rtl w:val="0"/>
        </w:rPr>
        <w:t xml:space="preserve">and such balancing payment will be paid to, or deducted from, the sums due to the Supplier following the assessment of the Supplier’s performance in the final Service Month.</w:t>
      </w:r>
      <w:r w:rsidDel="00000000" w:rsidR="00000000" w:rsidRPr="00000000">
        <w:rPr>
          <w:rtl w:val="0"/>
        </w:rPr>
      </w:r>
    </w:p>
    <w:p w:rsidR="00000000" w:rsidDel="00000000" w:rsidP="00000000" w:rsidRDefault="00000000" w:rsidRPr="00000000" w14:paraId="00000027">
      <w:pPr>
        <w:keepNext w:val="1"/>
        <w:numPr>
          <w:ilvl w:val="1"/>
          <w:numId w:val="2"/>
        </w:numPr>
        <w:pBdr>
          <w:top w:space="0" w:sz="0" w:val="nil"/>
          <w:left w:space="0" w:sz="0" w:val="nil"/>
          <w:bottom w:space="0" w:sz="0" w:val="nil"/>
          <w:right w:space="0" w:sz="0" w:val="nil"/>
          <w:between w:space="0" w:sz="0" w:val="nil"/>
        </w:pBdr>
        <w:spacing w:line="276" w:lineRule="auto"/>
        <w:ind w:left="1440" w:hanging="720"/>
        <w:jc w:val="left"/>
        <w:rPr>
          <w:rFonts w:ascii="Arial" w:cs="Arial" w:eastAsia="Arial" w:hAnsi="Arial"/>
          <w:color w:val="000000"/>
          <w:sz w:val="24"/>
          <w:szCs w:val="24"/>
        </w:rPr>
      </w:pPr>
      <w:bookmarkStart w:colFirst="0" w:colLast="0" w:name="_heading=h.tyjcwt" w:id="4"/>
      <w:bookmarkEnd w:id="4"/>
      <w:r w:rsidDel="00000000" w:rsidR="00000000" w:rsidRPr="00000000">
        <w:rPr>
          <w:rFonts w:ascii="Arial" w:cs="Arial" w:eastAsia="Arial" w:hAnsi="Arial"/>
          <w:color w:val="000000"/>
          <w:sz w:val="24"/>
          <w:szCs w:val="24"/>
          <w:rtl w:val="0"/>
        </w:rPr>
        <w:t xml:space="preserve">The Baseline Monthly Payment shall include all costs and expenses relating to the Deliverables and/or the Supplier's performance of its obligations under this Call-Off Contract and no further amounts shall be payable by the Buyer to the Supplier in respect of such performance except in relation the price components listed in </w:t>
      </w: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color w:val="000000"/>
          <w:sz w:val="24"/>
          <w:szCs w:val="24"/>
          <w:rtl w:val="0"/>
        </w:rPr>
        <w:t xml:space="preserve">.1.3.2 -</w:t>
      </w: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color w:val="000000"/>
          <w:sz w:val="24"/>
          <w:szCs w:val="24"/>
          <w:rtl w:val="0"/>
        </w:rPr>
        <w:t xml:space="preserve">.1.3.6,</w:t>
      </w:r>
    </w:p>
    <w:p w:rsidR="00000000" w:rsidDel="00000000" w:rsidP="00000000" w:rsidRDefault="00000000" w:rsidRPr="00000000" w14:paraId="00000028">
      <w:pPr>
        <w:keepNext w:val="1"/>
        <w:numPr>
          <w:ilvl w:val="0"/>
          <w:numId w:val="2"/>
        </w:numPr>
        <w:pBdr>
          <w:top w:space="0" w:sz="0" w:val="nil"/>
          <w:left w:space="0" w:sz="0" w:val="nil"/>
          <w:bottom w:space="0" w:sz="0" w:val="nil"/>
          <w:right w:space="0" w:sz="0" w:val="nil"/>
          <w:between w:space="0" w:sz="0" w:val="nil"/>
        </w:pBdr>
        <w:spacing w:line="276" w:lineRule="auto"/>
        <w:ind w:left="0" w:hanging="2"/>
        <w:jc w:val="left"/>
        <w:rPr>
          <w:rFonts w:ascii="Arial" w:cs="Arial" w:eastAsia="Arial" w:hAnsi="Arial"/>
          <w:b w:val="1"/>
          <w:color w:val="000000"/>
          <w:sz w:val="24"/>
          <w:szCs w:val="24"/>
        </w:rPr>
      </w:pPr>
      <w:bookmarkStart w:colFirst="0" w:colLast="0" w:name="_heading=h.3dy6vkm" w:id="5"/>
      <w:bookmarkEnd w:id="5"/>
      <w:r w:rsidDel="00000000" w:rsidR="00000000" w:rsidRPr="00000000">
        <w:rPr>
          <w:rFonts w:ascii="Arial" w:cs="Arial" w:eastAsia="Arial" w:hAnsi="Arial"/>
          <w:b w:val="1"/>
          <w:sz w:val="24"/>
          <w:szCs w:val="24"/>
          <w:rtl w:val="0"/>
        </w:rPr>
        <w:t xml:space="preserve">Pass Through Costs</w:t>
      </w:r>
      <w:r w:rsidDel="00000000" w:rsidR="00000000" w:rsidRPr="00000000">
        <w:rPr>
          <w:rtl w:val="0"/>
        </w:rPr>
      </w:r>
    </w:p>
    <w:p w:rsidR="00000000" w:rsidDel="00000000" w:rsidP="00000000" w:rsidRDefault="00000000" w:rsidRPr="00000000" w14:paraId="00000029">
      <w:pPr>
        <w:keepNext w:val="1"/>
        <w:numPr>
          <w:ilvl w:val="1"/>
          <w:numId w:val="2"/>
        </w:numPr>
        <w:pBdr>
          <w:top w:space="0" w:sz="0" w:val="nil"/>
          <w:left w:space="0" w:sz="0" w:val="nil"/>
          <w:bottom w:space="0" w:sz="0" w:val="nil"/>
          <w:right w:space="0" w:sz="0" w:val="nil"/>
          <w:between w:space="0" w:sz="0" w:val="nil"/>
        </w:pBdr>
        <w:spacing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the Order Form indicates that the Supplier is entitled to claim Pass Through Costs then:</w:t>
      </w:r>
    </w:p>
    <w:p w:rsidR="00000000" w:rsidDel="00000000" w:rsidP="00000000" w:rsidRDefault="00000000" w:rsidRPr="00000000" w14:paraId="0000002A">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only those types of Pass Through Costs set out in the Order Form shall be recoverable;</w:t>
      </w:r>
    </w:p>
    <w:p w:rsidR="00000000" w:rsidDel="00000000" w:rsidP="00000000" w:rsidRDefault="00000000" w:rsidRPr="00000000" w14:paraId="0000002B">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Pass Through Costs shall only be recoverable where they are incurred in accordance with the guidelines that the Buyer may issue to the Supplier from time to time; </w:t>
      </w:r>
    </w:p>
    <w:p w:rsidR="00000000" w:rsidDel="00000000" w:rsidP="00000000" w:rsidRDefault="00000000" w:rsidRPr="00000000" w14:paraId="0000002C">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bookmarkStart w:colFirst="0" w:colLast="0" w:name="_heading=h.1t3h5sf" w:id="6"/>
      <w:bookmarkEnd w:id="6"/>
      <w:r w:rsidDel="00000000" w:rsidR="00000000" w:rsidRPr="00000000">
        <w:rPr>
          <w:rFonts w:ascii="Arial" w:cs="Arial" w:eastAsia="Arial" w:hAnsi="Arial"/>
          <w:color w:val="000000"/>
          <w:sz w:val="24"/>
          <w:szCs w:val="24"/>
          <w:rtl w:val="0"/>
        </w:rPr>
        <w:t xml:space="preserve">the Supplier shall not be entitled to charge any additional amount on top of the Pass Through Costs including any Overhead or Supplier Profit; and</w:t>
      </w:r>
    </w:p>
    <w:p w:rsidR="00000000" w:rsidDel="00000000" w:rsidP="00000000" w:rsidRDefault="00000000" w:rsidRPr="00000000" w14:paraId="0000002D">
      <w:pPr>
        <w:keepNext w:val="1"/>
        <w:numPr>
          <w:ilvl w:val="2"/>
          <w:numId w:val="2"/>
        </w:numPr>
        <w:pBdr>
          <w:top w:space="0" w:sz="0" w:val="nil"/>
          <w:left w:space="0" w:sz="0" w:val="nil"/>
          <w:bottom w:space="0" w:sz="0" w:val="nil"/>
          <w:right w:space="0" w:sz="0" w:val="nil"/>
          <w:between w:space="0" w:sz="0" w:val="nil"/>
        </w:pBdr>
        <w:spacing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claim for Pass Through Costs shall be supported by such documentation as the Buyer may request from time to time.</w:t>
      </w:r>
    </w:p>
    <w:p w:rsidR="00000000" w:rsidDel="00000000" w:rsidP="00000000" w:rsidRDefault="00000000" w:rsidRPr="00000000" w14:paraId="0000002E">
      <w:pPr>
        <w:keepNext w:val="1"/>
        <w:numPr>
          <w:ilvl w:val="0"/>
          <w:numId w:val="2"/>
        </w:numPr>
        <w:pBdr>
          <w:top w:space="0" w:sz="0" w:val="nil"/>
          <w:left w:space="0" w:sz="0" w:val="nil"/>
          <w:bottom w:space="0" w:sz="0" w:val="nil"/>
          <w:right w:space="0" w:sz="0" w:val="nil"/>
          <w:between w:space="0" w:sz="0" w:val="nil"/>
        </w:pBdr>
        <w:spacing w:line="276" w:lineRule="auto"/>
        <w:ind w:left="0" w:hanging="2"/>
        <w:jc w:val="left"/>
        <w:rPr>
          <w:rFonts w:ascii="Arial" w:cs="Arial" w:eastAsia="Arial" w:hAnsi="Arial"/>
          <w:b w:val="1"/>
          <w:color w:val="000000"/>
          <w:sz w:val="24"/>
          <w:szCs w:val="24"/>
        </w:rPr>
      </w:pPr>
      <w:bookmarkStart w:colFirst="0" w:colLast="0" w:name="_heading=h.4d34og8" w:id="7"/>
      <w:bookmarkEnd w:id="7"/>
      <w:r w:rsidDel="00000000" w:rsidR="00000000" w:rsidRPr="00000000">
        <w:rPr>
          <w:rFonts w:ascii="Arial" w:cs="Arial" w:eastAsia="Arial" w:hAnsi="Arial"/>
          <w:b w:val="1"/>
          <w:color w:val="000000"/>
          <w:sz w:val="24"/>
          <w:szCs w:val="24"/>
          <w:rtl w:val="0"/>
        </w:rPr>
        <w:t xml:space="preserve">Indexation</w:t>
      </w:r>
    </w:p>
    <w:p w:rsidR="00000000" w:rsidDel="00000000" w:rsidP="00000000" w:rsidRDefault="00000000" w:rsidRPr="00000000" w14:paraId="0000002F">
      <w:pPr>
        <w:keepNext w:val="1"/>
        <w:numPr>
          <w:ilvl w:val="1"/>
          <w:numId w:val="2"/>
        </w:numPr>
        <w:pBdr>
          <w:top w:space="0" w:sz="0" w:val="nil"/>
          <w:left w:space="0" w:sz="0" w:val="nil"/>
          <w:bottom w:space="0" w:sz="0" w:val="nil"/>
          <w:right w:space="0" w:sz="0" w:val="nil"/>
          <w:between w:space="0" w:sz="0" w:val="nil"/>
        </w:pBdr>
        <w:spacing w:after="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amounts or sums in this Call-Off Contract which are expressed in the Order Form to be "subject to </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color w:val="000000"/>
          <w:sz w:val="24"/>
          <w:szCs w:val="24"/>
          <w:rtl w:val="0"/>
        </w:rPr>
        <w:t xml:space="preserve">ndexation" shall be adjusted in accordance with the provisions of this Paragraph 3 to reflect the effects of inflation. </w:t>
      </w:r>
    </w:p>
    <w:p w:rsidR="00000000" w:rsidDel="00000000" w:rsidP="00000000" w:rsidRDefault="00000000" w:rsidRPr="00000000" w14:paraId="00000030">
      <w:pPr>
        <w:keepNext w:val="1"/>
        <w:numPr>
          <w:ilvl w:val="1"/>
          <w:numId w:val="2"/>
        </w:numPr>
        <w:pBdr>
          <w:top w:space="0" w:sz="0" w:val="nil"/>
          <w:left w:space="0" w:sz="0" w:val="nil"/>
          <w:bottom w:space="0" w:sz="0" w:val="nil"/>
          <w:right w:space="0" w:sz="0" w:val="nil"/>
          <w:between w:space="0" w:sz="0" w:val="nil"/>
        </w:pBdr>
        <w:spacing w:line="276" w:lineRule="auto"/>
        <w:ind w:left="1440" w:hanging="720"/>
        <w:jc w:val="left"/>
        <w:rPr>
          <w:rFonts w:ascii="Arial" w:cs="Arial" w:eastAsia="Arial" w:hAnsi="Arial"/>
          <w:color w:val="000000"/>
          <w:sz w:val="24"/>
          <w:szCs w:val="24"/>
        </w:rPr>
      </w:pPr>
      <w:bookmarkStart w:colFirst="0" w:colLast="0" w:name="_heading=h.2s8eyo1" w:id="8"/>
      <w:bookmarkEnd w:id="8"/>
      <w:r w:rsidDel="00000000" w:rsidR="00000000" w:rsidRPr="00000000">
        <w:rPr>
          <w:rFonts w:ascii="Arial" w:cs="Arial" w:eastAsia="Arial" w:hAnsi="Arial"/>
          <w:color w:val="000000"/>
          <w:sz w:val="24"/>
          <w:szCs w:val="24"/>
          <w:rtl w:val="0"/>
        </w:rPr>
        <w:t xml:space="preserve">Where </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color w:val="000000"/>
          <w:sz w:val="24"/>
          <w:szCs w:val="24"/>
          <w:rtl w:val="0"/>
        </w:rPr>
        <w:t xml:space="preserve">ndexation applies, the relevant adjustment shall be:</w:t>
      </w:r>
    </w:p>
    <w:p w:rsidR="00000000" w:rsidDel="00000000" w:rsidP="00000000" w:rsidRDefault="00000000" w:rsidRPr="00000000" w14:paraId="00000031">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applied on the dates set out in the Order Form (each such date an </w:t>
      </w:r>
      <w:r w:rsidDel="00000000" w:rsidR="00000000" w:rsidRPr="00000000">
        <w:rPr>
          <w:rFonts w:ascii="Arial" w:cs="Arial" w:eastAsia="Arial" w:hAnsi="Arial"/>
          <w:b w:val="1"/>
          <w:color w:val="000000"/>
          <w:sz w:val="24"/>
          <w:szCs w:val="24"/>
          <w:rtl w:val="0"/>
        </w:rPr>
        <w:t xml:space="preserve">"Adjustment Date"</w:t>
      </w:r>
      <w:r w:rsidDel="00000000" w:rsidR="00000000" w:rsidRPr="00000000">
        <w:rPr>
          <w:rFonts w:ascii="Arial" w:cs="Arial" w:eastAsia="Arial" w:hAnsi="Arial"/>
          <w:color w:val="000000"/>
          <w:sz w:val="24"/>
          <w:szCs w:val="24"/>
          <w:rtl w:val="0"/>
        </w:rPr>
        <w:t xml:space="preserve">); and</w:t>
      </w:r>
    </w:p>
    <w:p w:rsidR="00000000" w:rsidDel="00000000" w:rsidP="00000000" w:rsidRDefault="00000000" w:rsidRPr="00000000" w14:paraId="00000032">
      <w:pPr>
        <w:keepNext w:val="1"/>
        <w:numPr>
          <w:ilvl w:val="2"/>
          <w:numId w:val="2"/>
        </w:numPr>
        <w:pBdr>
          <w:top w:space="0" w:sz="0" w:val="nil"/>
          <w:left w:space="0" w:sz="0" w:val="nil"/>
          <w:bottom w:space="0" w:sz="0" w:val="nil"/>
          <w:right w:space="0" w:sz="0" w:val="nil"/>
          <w:between w:space="0" w:sz="0" w:val="nil"/>
        </w:pBdr>
        <w:spacing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determined by multiplying the relevant amount or sum [</w:t>
      </w:r>
      <w:r w:rsidDel="00000000" w:rsidR="00000000" w:rsidRPr="00000000">
        <w:rPr>
          <w:rFonts w:ascii="Arial" w:cs="Arial" w:eastAsia="Arial" w:hAnsi="Arial"/>
          <w:color w:val="000000"/>
          <w:sz w:val="24"/>
          <w:szCs w:val="24"/>
          <w:highlight w:val="yellow"/>
          <w:rtl w:val="0"/>
        </w:rPr>
        <w:t xml:space="preserve">by the </w:t>
      </w:r>
      <w:r w:rsidDel="00000000" w:rsidR="00000000" w:rsidRPr="00000000">
        <w:rPr>
          <w:rFonts w:ascii="Arial" w:cs="Arial" w:eastAsia="Arial" w:hAnsi="Arial"/>
          <w:sz w:val="24"/>
          <w:szCs w:val="24"/>
          <w:highlight w:val="yellow"/>
          <w:rtl w:val="0"/>
        </w:rPr>
        <w:t xml:space="preserve">Average Annual Percentage C</w:t>
      </w:r>
      <w:r w:rsidDel="00000000" w:rsidR="00000000" w:rsidRPr="00000000">
        <w:rPr>
          <w:rFonts w:ascii="Arial" w:cs="Arial" w:eastAsia="Arial" w:hAnsi="Arial"/>
          <w:color w:val="000000"/>
          <w:sz w:val="24"/>
          <w:szCs w:val="24"/>
          <w:highlight w:val="yellow"/>
          <w:rtl w:val="0"/>
        </w:rPr>
        <w:t xml:space="preserve">hange in the Payment Index published since the previous Adjustment Date</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6" w:lineRule="auto"/>
        <w:ind w:firstLine="0"/>
        <w:jc w:val="left"/>
        <w:rPr>
          <w:rFonts w:ascii="Arial" w:cs="Arial" w:eastAsia="Arial" w:hAnsi="Arial"/>
          <w:i w:val="1"/>
          <w:color w:val="000000"/>
          <w:sz w:val="24"/>
          <w:szCs w:val="24"/>
          <w:highlight w:val="yellow"/>
        </w:rPr>
      </w:pPr>
      <w:r w:rsidDel="00000000" w:rsidR="00000000" w:rsidRPr="00000000">
        <w:rPr>
          <w:rFonts w:ascii="Arial" w:cs="Arial" w:eastAsia="Arial" w:hAnsi="Arial"/>
          <w:i w:val="1"/>
          <w:sz w:val="24"/>
          <w:szCs w:val="24"/>
          <w:highlight w:val="yellow"/>
          <w:rtl w:val="0"/>
        </w:rPr>
        <w:t xml:space="preserve">[</w:t>
      </w:r>
      <w:r w:rsidDel="00000000" w:rsidR="00000000" w:rsidRPr="00000000">
        <w:rPr>
          <w:rFonts w:ascii="Arial" w:cs="Arial" w:eastAsia="Arial" w:hAnsi="Arial"/>
          <w:b w:val="1"/>
          <w:i w:val="1"/>
          <w:sz w:val="24"/>
          <w:szCs w:val="24"/>
          <w:highlight w:val="yellow"/>
          <w:rtl w:val="0"/>
        </w:rPr>
        <w:t xml:space="preserve">Buyer guidance: </w:t>
      </w:r>
      <w:r w:rsidDel="00000000" w:rsidR="00000000" w:rsidRPr="00000000">
        <w:rPr>
          <w:rFonts w:ascii="Arial" w:cs="Arial" w:eastAsia="Arial" w:hAnsi="Arial"/>
          <w:i w:val="1"/>
          <w:sz w:val="24"/>
          <w:szCs w:val="24"/>
          <w:highlight w:val="yellow"/>
          <w:rtl w:val="0"/>
        </w:rPr>
        <w:t xml:space="preserve">The Buyer may amend the above to reflect their requirements, if no further details are required by the Buyer, please remove the square brackets and yellow highlight]</w:t>
      </w:r>
      <w:r w:rsidDel="00000000" w:rsidR="00000000" w:rsidRPr="00000000">
        <w:rPr>
          <w:rtl w:val="0"/>
        </w:rPr>
      </w:r>
    </w:p>
    <w:p w:rsidR="00000000" w:rsidDel="00000000" w:rsidP="00000000" w:rsidRDefault="00000000" w:rsidRPr="00000000" w14:paraId="00000034">
      <w:pPr>
        <w:numPr>
          <w:ilvl w:val="1"/>
          <w:numId w:val="2"/>
        </w:numPr>
        <w:pBdr>
          <w:top w:space="0" w:sz="0" w:val="nil"/>
          <w:left w:space="0" w:sz="0" w:val="nil"/>
          <w:bottom w:space="0" w:sz="0" w:val="nil"/>
          <w:right w:space="0" w:sz="0" w:val="nil"/>
          <w:between w:space="0" w:sz="0" w:val="nil"/>
        </w:pBdr>
        <w:spacing w:after="0" w:line="276" w:lineRule="auto"/>
        <w:ind w:left="1440" w:hanging="720"/>
        <w:jc w:val="left"/>
        <w:rPr>
          <w:rFonts w:ascii="Arial" w:cs="Arial" w:eastAsia="Arial" w:hAnsi="Arial"/>
          <w:color w:val="000000"/>
          <w:sz w:val="24"/>
          <w:szCs w:val="24"/>
        </w:rPr>
      </w:pPr>
      <w:bookmarkStart w:colFirst="0" w:colLast="0" w:name="_heading=h.17dp8vu" w:id="9"/>
      <w:bookmarkEnd w:id="9"/>
      <w:r w:rsidDel="00000000" w:rsidR="00000000" w:rsidRPr="00000000">
        <w:rPr>
          <w:rFonts w:ascii="Arial" w:cs="Arial" w:eastAsia="Arial" w:hAnsi="Arial"/>
          <w:color w:val="000000"/>
          <w:sz w:val="24"/>
          <w:szCs w:val="24"/>
          <w:rtl w:val="0"/>
        </w:rPr>
        <w:t xml:space="preserve">Except as set out in this Paragraph 4, neither the Charges nor any other costs, expenses, fees or charges shall be adjusted to take account of any inflation, change to exchange rate, change to interest rate or any other factor or element which might otherwise increase the cost to the Supplier or Subcontractors of the performance of their obligations.</w:t>
      </w:r>
    </w:p>
    <w:p w:rsidR="00000000" w:rsidDel="00000000" w:rsidP="00000000" w:rsidRDefault="00000000" w:rsidRPr="00000000" w14:paraId="00000035">
      <w:pPr>
        <w:numPr>
          <w:ilvl w:val="1"/>
          <w:numId w:val="2"/>
        </w:numPr>
        <w:pBdr>
          <w:top w:space="0" w:sz="0" w:val="nil"/>
          <w:left w:space="0" w:sz="0" w:val="nil"/>
          <w:bottom w:space="0" w:sz="0" w:val="nil"/>
          <w:right w:space="0" w:sz="0" w:val="nil"/>
          <w:between w:space="0" w:sz="0" w:val="nil"/>
        </w:pBdr>
        <w:spacing w:after="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the Payment Index has not been published for the relevant month as required for this calculation then the last published value of the index available at the Adjustment Date shall be used.</w:t>
      </w:r>
    </w:p>
    <w:p w:rsidR="00000000" w:rsidDel="00000000" w:rsidP="00000000" w:rsidRDefault="00000000" w:rsidRPr="00000000" w14:paraId="00000036">
      <w:pPr>
        <w:numPr>
          <w:ilvl w:val="1"/>
          <w:numId w:val="2"/>
        </w:numPr>
        <w:pBdr>
          <w:top w:space="0" w:sz="0" w:val="nil"/>
          <w:left w:space="0" w:sz="0" w:val="nil"/>
          <w:bottom w:space="0" w:sz="0" w:val="nil"/>
          <w:right w:space="0" w:sz="0" w:val="nil"/>
          <w:between w:space="0" w:sz="0" w:val="nil"/>
        </w:pBdr>
        <w:spacing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the Payment Index is no longer published, the Buyer and the Supplier shall agree a fair and reasonable replacement that will have substantially the same effect.</w:t>
      </w:r>
    </w:p>
    <w:p w:rsidR="00000000" w:rsidDel="00000000" w:rsidP="00000000" w:rsidRDefault="00000000" w:rsidRPr="00000000" w14:paraId="00000037">
      <w:pPr>
        <w:keepNext w:val="1"/>
        <w:numPr>
          <w:ilvl w:val="0"/>
          <w:numId w:val="2"/>
        </w:numPr>
        <w:pBdr>
          <w:top w:space="0" w:sz="0" w:val="nil"/>
          <w:left w:space="0" w:sz="0" w:val="nil"/>
          <w:bottom w:space="0" w:sz="0" w:val="nil"/>
          <w:right w:space="0" w:sz="0" w:val="nil"/>
          <w:between w:space="0" w:sz="0" w:val="nil"/>
        </w:pBdr>
        <w:spacing w:line="276" w:lineRule="auto"/>
        <w:ind w:left="0" w:hanging="2"/>
        <w:jc w:val="left"/>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Pricing For Variations</w:t>
      </w:r>
      <w:r w:rsidDel="00000000" w:rsidR="00000000" w:rsidRPr="00000000">
        <w:rPr>
          <w:rtl w:val="0"/>
        </w:rPr>
      </w:r>
    </w:p>
    <w:p w:rsidR="00000000" w:rsidDel="00000000" w:rsidP="00000000" w:rsidRDefault="00000000" w:rsidRPr="00000000" w14:paraId="00000038">
      <w:pPr>
        <w:keepNext w:val="1"/>
        <w:numPr>
          <w:ilvl w:val="1"/>
          <w:numId w:val="2"/>
        </w:numPr>
        <w:pBdr>
          <w:top w:space="0" w:sz="0" w:val="nil"/>
          <w:left w:space="0" w:sz="0" w:val="nil"/>
          <w:bottom w:space="0" w:sz="0" w:val="nil"/>
          <w:right w:space="0" w:sz="0" w:val="nil"/>
          <w:between w:space="0" w:sz="0" w:val="nil"/>
        </w:pBdr>
        <w:spacing w:after="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addition to the process outlined in paragraph </w:t>
      </w:r>
      <w:r w:rsidDel="00000000" w:rsidR="00000000" w:rsidRPr="00000000">
        <w:rPr>
          <w:rFonts w:ascii="Arial" w:cs="Arial" w:eastAsia="Arial" w:hAnsi="Arial"/>
          <w:sz w:val="24"/>
          <w:szCs w:val="24"/>
          <w:rtl w:val="0"/>
        </w:rPr>
        <w:t xml:space="preserve">27</w:t>
      </w:r>
      <w:r w:rsidDel="00000000" w:rsidR="00000000" w:rsidRPr="00000000">
        <w:rPr>
          <w:rFonts w:ascii="Arial" w:cs="Arial" w:eastAsia="Arial" w:hAnsi="Arial"/>
          <w:color w:val="000000"/>
          <w:sz w:val="24"/>
          <w:szCs w:val="24"/>
          <w:rtl w:val="0"/>
        </w:rPr>
        <w:t xml:space="preserve"> of the General Terms, any change in the Charges in relation to a change in the number of buildings within the Buyer Premises or changes to a Deliverable, shall be aligned with and shall use the rates and prices set out in the Fixed Fee Pricing Matrix submitted </w:t>
      </w:r>
      <w:r w:rsidDel="00000000" w:rsidR="00000000" w:rsidRPr="00000000">
        <w:rPr>
          <w:rFonts w:ascii="Arial" w:cs="Arial" w:eastAsia="Arial" w:hAnsi="Arial"/>
          <w:color w:val="222222"/>
          <w:sz w:val="24"/>
          <w:szCs w:val="24"/>
          <w:highlight w:val="white"/>
          <w:rtl w:val="0"/>
        </w:rPr>
        <w:t xml:space="preserve">as part of a Competitive Selection Process</w:t>
      </w:r>
      <w:r w:rsidDel="00000000" w:rsidR="00000000" w:rsidRPr="00000000">
        <w:rPr>
          <w:rFonts w:ascii="Arial" w:cs="Arial" w:eastAsia="Arial" w:hAnsi="Arial"/>
          <w:color w:val="000000"/>
          <w:sz w:val="24"/>
          <w:szCs w:val="24"/>
          <w:rtl w:val="0"/>
        </w:rPr>
        <w:t xml:space="preserve">, where applicable unless otherwise stated by the Buyer.</w:t>
      </w:r>
    </w:p>
    <w:p w:rsidR="00000000" w:rsidDel="00000000" w:rsidP="00000000" w:rsidRDefault="00000000" w:rsidRPr="00000000" w14:paraId="00000039">
      <w:pPr>
        <w:keepNext w:val="1"/>
        <w:numPr>
          <w:ilvl w:val="1"/>
          <w:numId w:val="2"/>
        </w:numPr>
        <w:pBdr>
          <w:top w:space="0" w:sz="0" w:val="nil"/>
          <w:left w:space="0" w:sz="0" w:val="nil"/>
          <w:bottom w:space="0" w:sz="0" w:val="nil"/>
          <w:right w:space="0" w:sz="0" w:val="nil"/>
          <w:between w:space="0" w:sz="0" w:val="nil"/>
        </w:pBdr>
        <w:spacing w:after="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shall be entitled to include the effect this has had on other elements of the Call-Off Contract within any </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color w:val="000000"/>
          <w:sz w:val="24"/>
          <w:szCs w:val="24"/>
          <w:rtl w:val="0"/>
        </w:rPr>
        <w:t xml:space="preserve">mpact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ssessment. The Buyer will consider this as part of the Variation Procedure. </w:t>
      </w:r>
    </w:p>
    <w:p w:rsidR="00000000" w:rsidDel="00000000" w:rsidP="00000000" w:rsidRDefault="00000000" w:rsidRPr="00000000" w14:paraId="0000003A">
      <w:pPr>
        <w:keepNext w:val="1"/>
        <w:numPr>
          <w:ilvl w:val="1"/>
          <w:numId w:val="2"/>
        </w:numPr>
        <w:pBdr>
          <w:top w:space="0" w:sz="0" w:val="nil"/>
          <w:left w:space="0" w:sz="0" w:val="nil"/>
          <w:bottom w:space="0" w:sz="0" w:val="nil"/>
          <w:right w:space="0" w:sz="0" w:val="nil"/>
          <w:between w:space="0" w:sz="0" w:val="nil"/>
        </w:pBdr>
        <w:spacing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is responsible for ensuring that a Data Vali</w:t>
      </w:r>
      <w:r w:rsidDel="00000000" w:rsidR="00000000" w:rsidRPr="00000000">
        <w:rPr>
          <w:rFonts w:ascii="Arial" w:cs="Arial" w:eastAsia="Arial" w:hAnsi="Arial"/>
          <w:sz w:val="24"/>
          <w:szCs w:val="24"/>
          <w:rtl w:val="0"/>
        </w:rPr>
        <w:t xml:space="preserve">dation and </w:t>
      </w:r>
      <w:r w:rsidDel="00000000" w:rsidR="00000000" w:rsidRPr="00000000">
        <w:rPr>
          <w:rFonts w:ascii="Arial" w:cs="Arial" w:eastAsia="Arial" w:hAnsi="Arial"/>
          <w:color w:val="000000"/>
          <w:sz w:val="24"/>
          <w:szCs w:val="24"/>
          <w:rtl w:val="0"/>
        </w:rPr>
        <w:t xml:space="preserve">Asset </w:t>
      </w:r>
      <w:r w:rsidDel="00000000" w:rsidR="00000000" w:rsidRPr="00000000">
        <w:rPr>
          <w:rFonts w:ascii="Arial" w:cs="Arial" w:eastAsia="Arial" w:hAnsi="Arial"/>
          <w:sz w:val="24"/>
          <w:szCs w:val="24"/>
          <w:rtl w:val="0"/>
        </w:rPr>
        <w:t xml:space="preserve">Verification Audit</w:t>
      </w:r>
      <w:r w:rsidDel="00000000" w:rsidR="00000000" w:rsidRPr="00000000">
        <w:rPr>
          <w:rFonts w:ascii="Arial" w:cs="Arial" w:eastAsia="Arial" w:hAnsi="Arial"/>
          <w:color w:val="000000"/>
          <w:sz w:val="24"/>
          <w:szCs w:val="24"/>
          <w:rtl w:val="0"/>
        </w:rPr>
        <w:t xml:space="preserve"> is undertaken and completed during the [</w:t>
      </w:r>
      <w:r w:rsidDel="00000000" w:rsidR="00000000" w:rsidRPr="00000000">
        <w:rPr>
          <w:rFonts w:ascii="Arial" w:cs="Arial" w:eastAsia="Arial" w:hAnsi="Arial"/>
          <w:color w:val="000000"/>
          <w:sz w:val="24"/>
          <w:szCs w:val="24"/>
          <w:highlight w:val="yellow"/>
          <w:rtl w:val="0"/>
        </w:rPr>
        <w:t xml:space="preserve">Mobilisation Period]</w:t>
      </w:r>
      <w:r w:rsidDel="00000000" w:rsidR="00000000" w:rsidRPr="00000000">
        <w:rPr>
          <w:rFonts w:ascii="Arial" w:cs="Arial" w:eastAsia="Arial" w:hAnsi="Arial"/>
          <w:color w:val="000000"/>
          <w:sz w:val="24"/>
          <w:szCs w:val="24"/>
          <w:rtl w:val="0"/>
        </w:rPr>
        <w:t xml:space="preserve"> to verify the Due Diligence Information</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Call-Off Pricing revisions for any / all inaccuracies in the Due Diligence Information identified outside of this period are not permitted.</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6" w:lineRule="auto"/>
        <w:ind w:hanging="2"/>
        <w:jc w:val="left"/>
        <w:rPr>
          <w:rFonts w:ascii="Arial" w:cs="Arial" w:eastAsia="Arial" w:hAnsi="Arial"/>
          <w:i w:val="1"/>
          <w:color w:val="000000"/>
          <w:sz w:val="24"/>
          <w:szCs w:val="24"/>
          <w:highlight w:val="yellow"/>
        </w:rPr>
      </w:pPr>
      <w:r w:rsidDel="00000000" w:rsidR="00000000" w:rsidRPr="00000000">
        <w:rPr>
          <w:rFonts w:ascii="Arial" w:cs="Arial" w:eastAsia="Arial" w:hAnsi="Arial"/>
          <w:i w:val="1"/>
          <w:sz w:val="24"/>
          <w:szCs w:val="24"/>
          <w:highlight w:val="yellow"/>
          <w:rtl w:val="0"/>
        </w:rPr>
        <w:t xml:space="preserve">[</w:t>
      </w:r>
      <w:r w:rsidDel="00000000" w:rsidR="00000000" w:rsidRPr="00000000">
        <w:rPr>
          <w:rFonts w:ascii="Arial" w:cs="Arial" w:eastAsia="Arial" w:hAnsi="Arial"/>
          <w:b w:val="1"/>
          <w:i w:val="1"/>
          <w:sz w:val="24"/>
          <w:szCs w:val="24"/>
          <w:highlight w:val="yellow"/>
          <w:rtl w:val="0"/>
        </w:rPr>
        <w:t xml:space="preserve">Buyer guidance: </w:t>
      </w:r>
      <w:r w:rsidDel="00000000" w:rsidR="00000000" w:rsidRPr="00000000">
        <w:rPr>
          <w:rFonts w:ascii="Arial" w:cs="Arial" w:eastAsia="Arial" w:hAnsi="Arial"/>
          <w:i w:val="1"/>
          <w:sz w:val="24"/>
          <w:szCs w:val="24"/>
          <w:highlight w:val="yellow"/>
          <w:rtl w:val="0"/>
        </w:rPr>
        <w:t xml:space="preserve">The Buyer may amend the above to reflect their requirements, If no further details are required by the Buyer, please remove the square brackets and yellow highlight]</w:t>
      </w:r>
      <w:r w:rsidDel="00000000" w:rsidR="00000000" w:rsidRPr="00000000">
        <w:rPr>
          <w:rtl w:val="0"/>
        </w:rPr>
      </w:r>
    </w:p>
    <w:p w:rsidR="00000000" w:rsidDel="00000000" w:rsidP="00000000" w:rsidRDefault="00000000" w:rsidRPr="00000000" w14:paraId="0000003C">
      <w:pPr>
        <w:numPr>
          <w:ilvl w:val="2"/>
          <w:numId w:val="2"/>
        </w:numPr>
        <w:pBdr>
          <w:top w:space="0" w:sz="0" w:val="nil"/>
          <w:left w:space="0" w:sz="0" w:val="nil"/>
          <w:bottom w:space="0" w:sz="0" w:val="nil"/>
          <w:right w:space="0" w:sz="0" w:val="nil"/>
          <w:between w:space="0" w:sz="0" w:val="nil"/>
        </w:pBdr>
        <w:spacing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Notwithstanding Clause 2.8 of the General Terms, where errors, inaccuracies or omissions in the Service or Asset data provided by the Buyer prior to signature of a Call-Off Contract are identified by the Supplier during the period stated in paragraph 5.3, the following shall apply: </w:t>
      </w:r>
    </w:p>
    <w:p w:rsidR="00000000" w:rsidDel="00000000" w:rsidP="00000000" w:rsidRDefault="00000000" w:rsidRPr="00000000" w14:paraId="0000003D">
      <w:pPr>
        <w:numPr>
          <w:ilvl w:val="3"/>
          <w:numId w:val="2"/>
        </w:numPr>
        <w:pBdr>
          <w:top w:space="0" w:sz="0" w:val="nil"/>
          <w:left w:space="0" w:sz="0" w:val="nil"/>
          <w:bottom w:space="0" w:sz="0" w:val="nil"/>
          <w:right w:space="0" w:sz="0" w:val="nil"/>
          <w:between w:space="0" w:sz="0" w:val="nil"/>
        </w:pBdr>
        <w:spacing w:line="276" w:lineRule="auto"/>
        <w:ind w:left="3402" w:hanging="1134"/>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a Call-Off Contract has been priced in accordance with the maximum Framework Prices under Framework Schedule 3 </w:t>
      </w:r>
      <w:r w:rsidDel="00000000" w:rsidR="00000000" w:rsidRPr="00000000">
        <w:rPr>
          <w:rFonts w:ascii="Arial" w:cs="Arial" w:eastAsia="Arial" w:hAnsi="Arial"/>
          <w:i w:val="1"/>
          <w:color w:val="000000"/>
          <w:sz w:val="24"/>
          <w:szCs w:val="24"/>
          <w:rtl w:val="0"/>
        </w:rPr>
        <w:t xml:space="preserve">(Framework Prices</w:t>
      </w:r>
      <w:r w:rsidDel="00000000" w:rsidR="00000000" w:rsidRPr="00000000">
        <w:rPr>
          <w:rFonts w:ascii="Arial" w:cs="Arial" w:eastAsia="Arial" w:hAnsi="Arial"/>
          <w:color w:val="000000"/>
          <w:sz w:val="24"/>
          <w:szCs w:val="24"/>
          <w:rtl w:val="0"/>
        </w:rPr>
        <w:t xml:space="preserve">) due to it being classified as a Standard Service Requirement, the Supplier may, using the Variation procedure, request an adjustment to the Call-Off Contract pricing where the Supplier can present written evidence that the Standard Service Requirement classification for the Service, which was provided by the Buyer prior to entering into the Call-Off Contract, was incorrect; </w:t>
      </w:r>
    </w:p>
    <w:p w:rsidR="00000000" w:rsidDel="00000000" w:rsidP="00000000" w:rsidRDefault="00000000" w:rsidRPr="00000000" w14:paraId="0000003E">
      <w:pPr>
        <w:numPr>
          <w:ilvl w:val="3"/>
          <w:numId w:val="2"/>
        </w:numPr>
        <w:pBdr>
          <w:top w:space="0" w:sz="0" w:val="nil"/>
          <w:left w:space="0" w:sz="0" w:val="nil"/>
          <w:bottom w:space="0" w:sz="0" w:val="nil"/>
          <w:right w:space="0" w:sz="0" w:val="nil"/>
          <w:between w:space="0" w:sz="0" w:val="nil"/>
        </w:pBdr>
        <w:spacing w:line="276" w:lineRule="auto"/>
        <w:ind w:left="3402" w:hanging="1134"/>
        <w:jc w:val="left"/>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Where the Supplier can present written evidence that the Due Diligence Information provided by the Buyer prior to entering into the Call-Off Contract contained errors, inaccuracies or omissions that led to incorrect pricing by the Supplier, the Supplier may, using the Variation procedure, request an adjustment to the Call-Off Contract pricing. Where a </w:t>
      </w:r>
      <w:r w:rsidDel="00000000" w:rsidR="00000000" w:rsidRPr="00000000">
        <w:rPr>
          <w:rFonts w:ascii="Arial" w:cs="Arial" w:eastAsia="Arial" w:hAnsi="Arial"/>
          <w:sz w:val="24"/>
          <w:szCs w:val="24"/>
          <w:rtl w:val="0"/>
        </w:rPr>
        <w:t xml:space="preserve">V</w:t>
      </w:r>
      <w:r w:rsidDel="00000000" w:rsidR="00000000" w:rsidRPr="00000000">
        <w:rPr>
          <w:rFonts w:ascii="Arial" w:cs="Arial" w:eastAsia="Arial" w:hAnsi="Arial"/>
          <w:color w:val="000000"/>
          <w:sz w:val="24"/>
          <w:szCs w:val="24"/>
          <w:rtl w:val="0"/>
        </w:rPr>
        <w:t xml:space="preserve">ariation is agreed the Call</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Off price shall not exceed </w:t>
      </w:r>
      <w:r w:rsidDel="00000000" w:rsidR="00000000" w:rsidRPr="00000000">
        <w:rPr>
          <w:rFonts w:ascii="Arial" w:cs="Arial" w:eastAsia="Arial" w:hAnsi="Arial"/>
          <w:sz w:val="24"/>
          <w:szCs w:val="24"/>
          <w:rtl w:val="0"/>
        </w:rPr>
        <w:t xml:space="preserve">the Framework Prices for a Standard Service Requirement, unless otherwise agreed by the Buyer.</w:t>
      </w:r>
    </w:p>
    <w:p w:rsidR="00000000" w:rsidDel="00000000" w:rsidP="00000000" w:rsidRDefault="00000000" w:rsidRPr="00000000" w14:paraId="0000003F">
      <w:pPr>
        <w:keepNext w:val="1"/>
        <w:numPr>
          <w:ilvl w:val="0"/>
          <w:numId w:val="2"/>
        </w:numPr>
        <w:pBdr>
          <w:top w:space="0" w:sz="0" w:val="nil"/>
          <w:left w:space="0" w:sz="0" w:val="nil"/>
          <w:bottom w:space="0" w:sz="0" w:val="nil"/>
          <w:right w:space="0" w:sz="0" w:val="nil"/>
          <w:between w:space="0" w:sz="0" w:val="nil"/>
        </w:pBdr>
        <w:spacing w:line="276" w:lineRule="auto"/>
        <w:ind w:left="0" w:hanging="2"/>
        <w:jc w:val="left"/>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Changes To Mandatory Wage</w:t>
      </w:r>
      <w:r w:rsidDel="00000000" w:rsidR="00000000" w:rsidRPr="00000000">
        <w:rPr>
          <w:rtl w:val="0"/>
        </w:rPr>
      </w:r>
    </w:p>
    <w:p w:rsidR="00000000" w:rsidDel="00000000" w:rsidP="00000000" w:rsidRDefault="00000000" w:rsidRPr="00000000" w14:paraId="00000040">
      <w:pPr>
        <w:keepNext w:val="1"/>
        <w:numPr>
          <w:ilvl w:val="1"/>
          <w:numId w:val="2"/>
        </w:numPr>
        <w:pBdr>
          <w:top w:space="0" w:sz="0" w:val="nil"/>
          <w:left w:space="0" w:sz="0" w:val="nil"/>
          <w:bottom w:space="0" w:sz="0" w:val="nil"/>
          <w:right w:space="0" w:sz="0" w:val="nil"/>
          <w:between w:space="0" w:sz="0" w:val="nil"/>
        </w:pBdr>
        <w:spacing w:after="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Notwithstanding Clauses 27.6 and 27.7 of the General Terms, where the Supplier can provide evidence in the form of an Impact Assessment that a percentage increase to the Mandatory Wage in a given period has exceeded any percentage increase for the same period in the Payment Index detailed in the Order Form, the Supplier may request an increase in the Charges by using the Variation process under Clause 27 </w:t>
      </w:r>
      <w:r w:rsidDel="00000000" w:rsidR="00000000" w:rsidRPr="00000000">
        <w:rPr>
          <w:rFonts w:ascii="Arial" w:cs="Arial" w:eastAsia="Arial" w:hAnsi="Arial"/>
          <w:i w:val="1"/>
          <w:color w:val="000000"/>
          <w:sz w:val="24"/>
          <w:szCs w:val="24"/>
          <w:rtl w:val="0"/>
        </w:rPr>
        <w:t xml:space="preserve">(Changing the contract).</w:t>
      </w:r>
      <w:r w:rsidDel="00000000" w:rsidR="00000000" w:rsidRPr="00000000">
        <w:rPr>
          <w:rtl w:val="0"/>
        </w:rPr>
      </w:r>
    </w:p>
    <w:p w:rsidR="00000000" w:rsidDel="00000000" w:rsidP="00000000" w:rsidRDefault="00000000" w:rsidRPr="00000000" w14:paraId="00000041">
      <w:pPr>
        <w:keepNext w:val="1"/>
        <w:numPr>
          <w:ilvl w:val="1"/>
          <w:numId w:val="2"/>
        </w:numPr>
        <w:pBdr>
          <w:top w:space="0" w:sz="0" w:val="nil"/>
          <w:left w:space="0" w:sz="0" w:val="nil"/>
          <w:bottom w:space="0" w:sz="0" w:val="nil"/>
          <w:right w:space="0" w:sz="0" w:val="nil"/>
          <w:between w:space="0" w:sz="0" w:val="nil"/>
        </w:pBdr>
        <w:spacing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Suppliers must include in their Impact Assessment evidence of the:</w:t>
      </w:r>
    </w:p>
    <w:p w:rsidR="00000000" w:rsidDel="00000000" w:rsidP="00000000" w:rsidRDefault="00000000" w:rsidRPr="00000000" w14:paraId="00000042">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Supplier </w:t>
      </w:r>
      <w:r w:rsidDel="00000000" w:rsidR="00000000" w:rsidRPr="00000000">
        <w:rPr>
          <w:rFonts w:ascii="Arial" w:cs="Arial" w:eastAsia="Arial" w:hAnsi="Arial"/>
          <w:sz w:val="24"/>
          <w:szCs w:val="24"/>
          <w:rtl w:val="0"/>
        </w:rPr>
        <w:t xml:space="preserve">Staff </w:t>
      </w:r>
      <w:r w:rsidDel="00000000" w:rsidR="00000000" w:rsidRPr="00000000">
        <w:rPr>
          <w:rFonts w:ascii="Arial" w:cs="Arial" w:eastAsia="Arial" w:hAnsi="Arial"/>
          <w:color w:val="000000"/>
          <w:sz w:val="24"/>
          <w:szCs w:val="24"/>
          <w:rtl w:val="0"/>
        </w:rPr>
        <w:t xml:space="preserve">affected by the Mandatory Wage Increase and the Services that they provide; </w:t>
      </w:r>
    </w:p>
    <w:p w:rsidR="00000000" w:rsidDel="00000000" w:rsidP="00000000" w:rsidRDefault="00000000" w:rsidRPr="00000000" w14:paraId="00000043">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affected Supplier </w:t>
      </w:r>
      <w:r w:rsidDel="00000000" w:rsidR="00000000" w:rsidRPr="00000000">
        <w:rPr>
          <w:rFonts w:ascii="Arial" w:cs="Arial" w:eastAsia="Arial" w:hAnsi="Arial"/>
          <w:sz w:val="24"/>
          <w:szCs w:val="24"/>
          <w:rtl w:val="0"/>
        </w:rPr>
        <w:t xml:space="preserve">Staff</w:t>
      </w:r>
      <w:r w:rsidDel="00000000" w:rsidR="00000000" w:rsidRPr="00000000">
        <w:rPr>
          <w:rFonts w:ascii="Arial" w:cs="Arial" w:eastAsia="Arial" w:hAnsi="Arial"/>
          <w:color w:val="000000"/>
          <w:sz w:val="24"/>
          <w:szCs w:val="24"/>
          <w:rtl w:val="0"/>
        </w:rPr>
        <w:t xml:space="preserve">’s current hourly rate of pay; and</w:t>
      </w:r>
    </w:p>
    <w:p w:rsidR="00000000" w:rsidDel="00000000" w:rsidP="00000000" w:rsidRDefault="00000000" w:rsidRPr="00000000" w14:paraId="00000044">
      <w:pPr>
        <w:keepNext w:val="1"/>
        <w:numPr>
          <w:ilvl w:val="2"/>
          <w:numId w:val="2"/>
        </w:numPr>
        <w:pBdr>
          <w:top w:space="0" w:sz="0" w:val="nil"/>
          <w:left w:space="0" w:sz="0" w:val="nil"/>
          <w:bottom w:space="0" w:sz="0" w:val="nil"/>
          <w:right w:space="0" w:sz="0" w:val="nil"/>
          <w:between w:space="0" w:sz="0" w:val="nil"/>
        </w:pBdr>
        <w:spacing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number of hours worked by each of the affected Supplier </w:t>
      </w:r>
      <w:r w:rsidDel="00000000" w:rsidR="00000000" w:rsidRPr="00000000">
        <w:rPr>
          <w:rFonts w:ascii="Arial" w:cs="Arial" w:eastAsia="Arial" w:hAnsi="Arial"/>
          <w:sz w:val="24"/>
          <w:szCs w:val="24"/>
          <w:rtl w:val="0"/>
        </w:rPr>
        <w:t xml:space="preserve">Staff</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45">
      <w:pPr>
        <w:keepNext w:val="1"/>
        <w:numPr>
          <w:ilvl w:val="1"/>
          <w:numId w:val="2"/>
        </w:numPr>
        <w:pBdr>
          <w:top w:space="0" w:sz="0" w:val="nil"/>
          <w:left w:space="0" w:sz="0" w:val="nil"/>
          <w:bottom w:space="0" w:sz="0" w:val="nil"/>
          <w:right w:space="0" w:sz="0" w:val="nil"/>
          <w:between w:space="0" w:sz="0" w:val="nil"/>
        </w:pBdr>
        <w:spacing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It is the Buyer’s discretion</w:t>
      </w:r>
      <w:r w:rsidDel="00000000" w:rsidR="00000000" w:rsidRPr="00000000">
        <w:rPr>
          <w:rFonts w:ascii="Arial" w:cs="Arial" w:eastAsia="Arial" w:hAnsi="Arial"/>
          <w:color w:val="000000"/>
          <w:sz w:val="24"/>
          <w:szCs w:val="24"/>
          <w:rtl w:val="0"/>
        </w:rPr>
        <w:t xml:space="preserve"> to accept the Variation request under this Paragraph </w:t>
      </w:r>
      <w:r w:rsidDel="00000000" w:rsidR="00000000" w:rsidRPr="00000000">
        <w:rPr>
          <w:rFonts w:ascii="Arial" w:cs="Arial" w:eastAsia="Arial" w:hAnsi="Arial"/>
          <w:sz w:val="24"/>
          <w:szCs w:val="24"/>
          <w:rtl w:val="0"/>
        </w:rPr>
        <w:t xml:space="preserve">6</w:t>
      </w:r>
      <w:r w:rsidDel="00000000" w:rsidR="00000000" w:rsidRPr="00000000">
        <w:rPr>
          <w:rFonts w:ascii="Arial" w:cs="Arial" w:eastAsia="Arial" w:hAnsi="Arial"/>
          <w:color w:val="000000"/>
          <w:sz w:val="24"/>
          <w:szCs w:val="24"/>
          <w:rtl w:val="0"/>
        </w:rPr>
        <w:t xml:space="preserve"> and must not accept any variation request that:</w:t>
      </w:r>
    </w:p>
    <w:p w:rsidR="00000000" w:rsidDel="00000000" w:rsidP="00000000" w:rsidRDefault="00000000" w:rsidRPr="00000000" w14:paraId="00000046">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exceeds the difference between the Indexation </w:t>
      </w:r>
      <w:r w:rsidDel="00000000" w:rsidR="00000000" w:rsidRPr="00000000">
        <w:rPr>
          <w:rFonts w:ascii="Arial" w:cs="Arial" w:eastAsia="Arial" w:hAnsi="Arial"/>
          <w:sz w:val="24"/>
          <w:szCs w:val="24"/>
          <w:rtl w:val="0"/>
        </w:rPr>
        <w:t xml:space="preserve">r</w:t>
      </w:r>
      <w:r w:rsidDel="00000000" w:rsidR="00000000" w:rsidRPr="00000000">
        <w:rPr>
          <w:rFonts w:ascii="Arial" w:cs="Arial" w:eastAsia="Arial" w:hAnsi="Arial"/>
          <w:color w:val="000000"/>
          <w:sz w:val="24"/>
          <w:szCs w:val="24"/>
          <w:rtl w:val="0"/>
        </w:rPr>
        <w:t xml:space="preserve">ate and the current Mandatory Wage rate increase for each member of the Supplier </w:t>
      </w:r>
      <w:r w:rsidDel="00000000" w:rsidR="00000000" w:rsidRPr="00000000">
        <w:rPr>
          <w:rFonts w:ascii="Arial" w:cs="Arial" w:eastAsia="Arial" w:hAnsi="Arial"/>
          <w:sz w:val="24"/>
          <w:szCs w:val="24"/>
          <w:rtl w:val="0"/>
        </w:rPr>
        <w:t xml:space="preserve">Staff</w:t>
      </w:r>
      <w:r w:rsidDel="00000000" w:rsidR="00000000" w:rsidRPr="00000000">
        <w:rPr>
          <w:rFonts w:ascii="Arial" w:cs="Arial" w:eastAsia="Arial" w:hAnsi="Arial"/>
          <w:color w:val="000000"/>
          <w:sz w:val="24"/>
          <w:szCs w:val="24"/>
          <w:rtl w:val="0"/>
        </w:rPr>
        <w:t xml:space="preserve"> affected by the Mandatory Wage increase;</w:t>
      </w:r>
    </w:p>
    <w:p w:rsidR="00000000" w:rsidDel="00000000" w:rsidP="00000000" w:rsidRDefault="00000000" w:rsidRPr="00000000" w14:paraId="00000047">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seeks to increases in the Charges which go beyond the Services affected by the Mandatory Wage increase; and </w:t>
      </w:r>
    </w:p>
    <w:p w:rsidR="00000000" w:rsidDel="00000000" w:rsidP="00000000" w:rsidRDefault="00000000" w:rsidRPr="00000000" w14:paraId="00000048">
      <w:pPr>
        <w:keepNext w:val="1"/>
        <w:numPr>
          <w:ilvl w:val="2"/>
          <w:numId w:val="2"/>
        </w:numPr>
        <w:pBdr>
          <w:top w:space="0" w:sz="0" w:val="nil"/>
          <w:left w:space="0" w:sz="0" w:val="nil"/>
          <w:bottom w:space="0" w:sz="0" w:val="nil"/>
          <w:right w:space="0" w:sz="0" w:val="nil"/>
          <w:between w:space="0" w:sz="0" w:val="nil"/>
        </w:pBdr>
        <w:spacing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increases the Charges in respect of those Supplier </w:t>
      </w:r>
      <w:r w:rsidDel="00000000" w:rsidR="00000000" w:rsidRPr="00000000">
        <w:rPr>
          <w:rFonts w:ascii="Arial" w:cs="Arial" w:eastAsia="Arial" w:hAnsi="Arial"/>
          <w:sz w:val="24"/>
          <w:szCs w:val="24"/>
          <w:rtl w:val="0"/>
        </w:rPr>
        <w:t xml:space="preserve">Staff</w:t>
      </w:r>
      <w:r w:rsidDel="00000000" w:rsidR="00000000" w:rsidRPr="00000000">
        <w:rPr>
          <w:rFonts w:ascii="Arial" w:cs="Arial" w:eastAsia="Arial" w:hAnsi="Arial"/>
          <w:color w:val="000000"/>
          <w:sz w:val="24"/>
          <w:szCs w:val="24"/>
          <w:rtl w:val="0"/>
        </w:rPr>
        <w:t xml:space="preserve"> on an hourly rate already in excess of the Mandatory Wage (whether or not to maintain differentials between the affected Supplier </w:t>
      </w:r>
      <w:r w:rsidDel="00000000" w:rsidR="00000000" w:rsidRPr="00000000">
        <w:rPr>
          <w:rFonts w:ascii="Arial" w:cs="Arial" w:eastAsia="Arial" w:hAnsi="Arial"/>
          <w:sz w:val="24"/>
          <w:szCs w:val="24"/>
          <w:rtl w:val="0"/>
        </w:rPr>
        <w:t xml:space="preserve">Staff</w:t>
      </w:r>
      <w:r w:rsidDel="00000000" w:rsidR="00000000" w:rsidRPr="00000000">
        <w:rPr>
          <w:rFonts w:ascii="Arial" w:cs="Arial" w:eastAsia="Arial" w:hAnsi="Arial"/>
          <w:color w:val="000000"/>
          <w:sz w:val="24"/>
          <w:szCs w:val="24"/>
          <w:rtl w:val="0"/>
        </w:rPr>
        <w:t xml:space="preserve"> and higher paid Supplier </w:t>
      </w:r>
      <w:r w:rsidDel="00000000" w:rsidR="00000000" w:rsidRPr="00000000">
        <w:rPr>
          <w:rFonts w:ascii="Arial" w:cs="Arial" w:eastAsia="Arial" w:hAnsi="Arial"/>
          <w:sz w:val="24"/>
          <w:szCs w:val="24"/>
          <w:rtl w:val="0"/>
        </w:rPr>
        <w:t xml:space="preserve">Staff</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 unless otherwise stated by the Buyer as part of a Call-Off Procedure.</w:t>
      </w:r>
      <w:r w:rsidDel="00000000" w:rsidR="00000000" w:rsidRPr="00000000">
        <w:rPr>
          <w:rtl w:val="0"/>
        </w:rPr>
      </w:r>
    </w:p>
    <w:p w:rsidR="00000000" w:rsidDel="00000000" w:rsidP="00000000" w:rsidRDefault="00000000" w:rsidRPr="00000000" w14:paraId="00000049">
      <w:pPr>
        <w:keepNext w:val="1"/>
        <w:numPr>
          <w:ilvl w:val="0"/>
          <w:numId w:val="2"/>
        </w:numPr>
        <w:pBdr>
          <w:top w:space="0" w:sz="0" w:val="nil"/>
          <w:left w:space="0" w:sz="0" w:val="nil"/>
          <w:bottom w:space="0" w:sz="0" w:val="nil"/>
          <w:right w:space="0" w:sz="0" w:val="nil"/>
          <w:between w:space="0" w:sz="0" w:val="nil"/>
        </w:pBdr>
        <w:spacing w:line="276" w:lineRule="auto"/>
        <w:ind w:left="0" w:hanging="2"/>
        <w:jc w:val="left"/>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Invoicing</w:t>
      </w:r>
      <w:r w:rsidDel="00000000" w:rsidR="00000000" w:rsidRPr="00000000">
        <w:rPr>
          <w:rtl w:val="0"/>
        </w:rPr>
      </w:r>
    </w:p>
    <w:p w:rsidR="00000000" w:rsidDel="00000000" w:rsidP="00000000" w:rsidRDefault="00000000" w:rsidRPr="00000000" w14:paraId="0000004A">
      <w:pPr>
        <w:keepNext w:val="1"/>
        <w:numPr>
          <w:ilvl w:val="1"/>
          <w:numId w:val="2"/>
        </w:numPr>
        <w:pBdr>
          <w:top w:space="0" w:sz="0" w:val="nil"/>
          <w:left w:space="0" w:sz="0" w:val="nil"/>
          <w:bottom w:space="0" w:sz="0" w:val="nil"/>
          <w:right w:space="0" w:sz="0" w:val="nil"/>
          <w:between w:space="0" w:sz="0" w:val="nil"/>
        </w:pBdr>
        <w:spacing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addition to its obligations in </w:t>
      </w:r>
      <w:r w:rsidDel="00000000" w:rsidR="00000000" w:rsidRPr="00000000">
        <w:rPr>
          <w:rFonts w:ascii="Arial" w:cs="Arial" w:eastAsia="Arial" w:hAnsi="Arial"/>
          <w:sz w:val="24"/>
          <w:szCs w:val="24"/>
          <w:rtl w:val="0"/>
        </w:rPr>
        <w:t xml:space="preserve">C</w:t>
      </w:r>
      <w:r w:rsidDel="00000000" w:rsidR="00000000" w:rsidRPr="00000000">
        <w:rPr>
          <w:rFonts w:ascii="Arial" w:cs="Arial" w:eastAsia="Arial" w:hAnsi="Arial"/>
          <w:color w:val="000000"/>
          <w:sz w:val="24"/>
          <w:szCs w:val="24"/>
          <w:rtl w:val="0"/>
        </w:rPr>
        <w:t xml:space="preserve">lause 4 in the General Terms (</w:t>
      </w:r>
      <w:r w:rsidDel="00000000" w:rsidR="00000000" w:rsidRPr="00000000">
        <w:rPr>
          <w:rFonts w:ascii="Arial" w:cs="Arial" w:eastAsia="Arial" w:hAnsi="Arial"/>
          <w:i w:val="1"/>
          <w:color w:val="000000"/>
          <w:sz w:val="24"/>
          <w:szCs w:val="24"/>
          <w:rtl w:val="0"/>
        </w:rPr>
        <w:t xml:space="preserve">Pric</w:t>
      </w:r>
      <w:r w:rsidDel="00000000" w:rsidR="00000000" w:rsidRPr="00000000">
        <w:rPr>
          <w:rFonts w:ascii="Arial" w:cs="Arial" w:eastAsia="Arial" w:hAnsi="Arial"/>
          <w:i w:val="1"/>
          <w:sz w:val="24"/>
          <w:szCs w:val="24"/>
          <w:rtl w:val="0"/>
        </w:rPr>
        <w:t xml:space="preserve">ing</w:t>
      </w:r>
      <w:r w:rsidDel="00000000" w:rsidR="00000000" w:rsidRPr="00000000">
        <w:rPr>
          <w:rFonts w:ascii="Arial" w:cs="Arial" w:eastAsia="Arial" w:hAnsi="Arial"/>
          <w:i w:val="1"/>
          <w:color w:val="000000"/>
          <w:sz w:val="24"/>
          <w:szCs w:val="24"/>
          <w:rtl w:val="0"/>
        </w:rPr>
        <w:t xml:space="preserve"> and </w:t>
      </w:r>
      <w:r w:rsidDel="00000000" w:rsidR="00000000" w:rsidRPr="00000000">
        <w:rPr>
          <w:rFonts w:ascii="Arial" w:cs="Arial" w:eastAsia="Arial" w:hAnsi="Arial"/>
          <w:i w:val="1"/>
          <w:sz w:val="24"/>
          <w:szCs w:val="24"/>
          <w:rtl w:val="0"/>
        </w:rPr>
        <w:t xml:space="preserve">P</w:t>
      </w:r>
      <w:r w:rsidDel="00000000" w:rsidR="00000000" w:rsidRPr="00000000">
        <w:rPr>
          <w:rFonts w:ascii="Arial" w:cs="Arial" w:eastAsia="Arial" w:hAnsi="Arial"/>
          <w:i w:val="1"/>
          <w:color w:val="000000"/>
          <w:sz w:val="24"/>
          <w:szCs w:val="24"/>
          <w:rtl w:val="0"/>
        </w:rPr>
        <w:t xml:space="preserve">ayments</w:t>
      </w:r>
      <w:r w:rsidDel="00000000" w:rsidR="00000000" w:rsidRPr="00000000">
        <w:rPr>
          <w:rFonts w:ascii="Arial" w:cs="Arial" w:eastAsia="Arial" w:hAnsi="Arial"/>
          <w:color w:val="000000"/>
          <w:sz w:val="24"/>
          <w:szCs w:val="24"/>
          <w:rtl w:val="0"/>
        </w:rPr>
        <w:t xml:space="preserve">) the Supplier shall ensure that each invoice it prepares in relation to the Charges:</w:t>
      </w:r>
    </w:p>
    <w:p w:rsidR="00000000" w:rsidDel="00000000" w:rsidP="00000000" w:rsidRDefault="00000000" w:rsidRPr="00000000" w14:paraId="0000004B">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specifies the period to which the invoice relates;</w:t>
      </w:r>
    </w:p>
    <w:p w:rsidR="00000000" w:rsidDel="00000000" w:rsidP="00000000" w:rsidRDefault="00000000" w:rsidRPr="00000000" w14:paraId="0000004C">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specifies the Deliverables to which the invoice relates;</w:t>
      </w:r>
    </w:p>
    <w:p w:rsidR="00000000" w:rsidDel="00000000" w:rsidP="00000000" w:rsidRDefault="00000000" w:rsidRPr="00000000" w14:paraId="0000004D">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sets out the calculations used to reach the amount of the Charges that are being invoiced;</w:t>
      </w:r>
    </w:p>
    <w:p w:rsidR="00000000" w:rsidDel="00000000" w:rsidP="00000000" w:rsidRDefault="00000000" w:rsidRPr="00000000" w14:paraId="0000004E">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separately itemises any expense or taxes said to be payable by the Buyer; and</w:t>
      </w:r>
    </w:p>
    <w:p w:rsidR="00000000" w:rsidDel="00000000" w:rsidP="00000000" w:rsidRDefault="00000000" w:rsidRPr="00000000" w14:paraId="0000004F">
      <w:pPr>
        <w:keepNext w:val="1"/>
        <w:numPr>
          <w:ilvl w:val="2"/>
          <w:numId w:val="2"/>
        </w:numPr>
        <w:pBdr>
          <w:top w:space="0" w:sz="0" w:val="nil"/>
          <w:left w:space="0" w:sz="0" w:val="nil"/>
          <w:bottom w:space="0" w:sz="0" w:val="nil"/>
          <w:right w:space="0" w:sz="0" w:val="nil"/>
          <w:between w:space="0" w:sz="0" w:val="nil"/>
        </w:pBdr>
        <w:spacing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specifies the Supplier's VAT code.</w:t>
      </w:r>
    </w:p>
    <w:p w:rsidR="00000000" w:rsidDel="00000000" w:rsidP="00000000" w:rsidRDefault="00000000" w:rsidRPr="00000000" w14:paraId="00000050">
      <w:pPr>
        <w:keepNext w:val="1"/>
        <w:numPr>
          <w:ilvl w:val="1"/>
          <w:numId w:val="2"/>
        </w:numPr>
        <w:pBdr>
          <w:top w:space="0" w:sz="0" w:val="nil"/>
          <w:left w:space="0" w:sz="0" w:val="nil"/>
          <w:bottom w:space="0" w:sz="0" w:val="nil"/>
          <w:right w:space="0" w:sz="0" w:val="nil"/>
          <w:between w:space="0" w:sz="0" w:val="nil"/>
        </w:pBdr>
        <w:spacing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shall prepare a draft of each invoice and supporting information for each Service Month and submit it to the Buyer within 14 days (or such other period as the Buyer agrees) following the start of the Service Month. Following receipt of such draft invoice the Buyer shall be entitled to reject it where it does not comply with the requirements of this Call-Off Contract. The Supplier will promptly respond to any queries that the Buyer has in relation to a draft invoice. If the Buyer approves the invoice (such approval not to be unreasonably withheld) then it will notify the Supplier and the Supplier shall be entitled to prepare a final form of that invoice in the approved form. The Supplier shall only be entitled to issue and the Buyer shall not be obliged to pay for any final form invoice which has been issued in accordance with this Call-Off Contract and specifically this procedure.</w:t>
      </w:r>
    </w:p>
    <w:p w:rsidR="00000000" w:rsidDel="00000000" w:rsidP="00000000" w:rsidRDefault="00000000" w:rsidRPr="00000000" w14:paraId="00000051">
      <w:pPr>
        <w:keepNext w:val="1"/>
        <w:numPr>
          <w:ilvl w:val="0"/>
          <w:numId w:val="2"/>
        </w:numPr>
        <w:pBdr>
          <w:top w:space="0" w:sz="0" w:val="nil"/>
          <w:left w:space="0" w:sz="0" w:val="nil"/>
          <w:bottom w:space="0" w:sz="0" w:val="nil"/>
          <w:right w:space="0" w:sz="0" w:val="nil"/>
          <w:between w:space="0" w:sz="0" w:val="nil"/>
        </w:pBdr>
        <w:spacing w:line="276" w:lineRule="auto"/>
        <w:ind w:left="0" w:hanging="2"/>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E</w:t>
      </w:r>
      <w:r w:rsidDel="00000000" w:rsidR="00000000" w:rsidRPr="00000000">
        <w:rPr>
          <w:rFonts w:ascii="Arial" w:cs="Arial" w:eastAsia="Arial" w:hAnsi="Arial"/>
          <w:b w:val="1"/>
          <w:sz w:val="24"/>
          <w:szCs w:val="24"/>
          <w:rtl w:val="0"/>
        </w:rPr>
        <w:t xml:space="preserve">xtension Period</w:t>
      </w:r>
      <w:r w:rsidDel="00000000" w:rsidR="00000000" w:rsidRPr="00000000">
        <w:rPr>
          <w:rtl w:val="0"/>
        </w:rPr>
      </w:r>
    </w:p>
    <w:p w:rsidR="00000000" w:rsidDel="00000000" w:rsidP="00000000" w:rsidRDefault="00000000" w:rsidRPr="00000000" w14:paraId="00000052">
      <w:pPr>
        <w:keepNext w:val="1"/>
        <w:numPr>
          <w:ilvl w:val="1"/>
          <w:numId w:val="2"/>
        </w:numPr>
        <w:pBdr>
          <w:top w:space="0" w:sz="0" w:val="nil"/>
          <w:left w:space="0" w:sz="0" w:val="nil"/>
          <w:bottom w:space="0" w:sz="0" w:val="nil"/>
          <w:right w:space="0" w:sz="0" w:val="nil"/>
          <w:between w:space="0" w:sz="0" w:val="nil"/>
        </w:pBdr>
        <w:spacing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the event that the Buyer exercises its right under clause 13.1.2 of the General Terms to extend the Call-Off Contract for the Extension Period, the pricing methods and payment provisions set out in this Call-Off Schedule 5 (</w:t>
      </w:r>
      <w:r w:rsidDel="00000000" w:rsidR="00000000" w:rsidRPr="00000000">
        <w:rPr>
          <w:rFonts w:ascii="Arial" w:cs="Arial" w:eastAsia="Arial" w:hAnsi="Arial"/>
          <w:i w:val="1"/>
          <w:sz w:val="24"/>
          <w:szCs w:val="24"/>
          <w:rtl w:val="0"/>
        </w:rPr>
        <w:t xml:space="preserve">Pricing Details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Part A shall continue to apply for the duration of the Extension Period unless otherwise stated by the Buyer.</w:t>
      </w:r>
    </w:p>
    <w:p w:rsidR="00000000" w:rsidDel="00000000" w:rsidP="00000000" w:rsidRDefault="00000000" w:rsidRPr="00000000" w14:paraId="00000053">
      <w:pPr>
        <w:keepNext w:val="1"/>
        <w:numPr>
          <w:ilvl w:val="0"/>
          <w:numId w:val="2"/>
        </w:numPr>
        <w:pBdr>
          <w:top w:space="0" w:sz="0" w:val="nil"/>
          <w:left w:space="0" w:sz="0" w:val="nil"/>
          <w:bottom w:space="0" w:sz="0" w:val="nil"/>
          <w:right w:space="0" w:sz="0" w:val="nil"/>
          <w:between w:space="0" w:sz="0" w:val="nil"/>
        </w:pBdr>
        <w:spacing w:line="276" w:lineRule="auto"/>
        <w:ind w:left="0" w:hanging="2"/>
        <w:jc w:val="left"/>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Payments Due On Termination</w:t>
      </w:r>
      <w:r w:rsidDel="00000000" w:rsidR="00000000" w:rsidRPr="00000000">
        <w:rPr>
          <w:rtl w:val="0"/>
        </w:rPr>
      </w:r>
    </w:p>
    <w:p w:rsidR="00000000" w:rsidDel="00000000" w:rsidP="00000000" w:rsidRDefault="00000000" w:rsidRPr="00000000" w14:paraId="00000054">
      <w:pPr>
        <w:keepNext w:val="1"/>
        <w:numPr>
          <w:ilvl w:val="1"/>
          <w:numId w:val="2"/>
        </w:numPr>
        <w:pBdr>
          <w:top w:space="0" w:sz="0" w:val="nil"/>
          <w:left w:space="0" w:sz="0" w:val="nil"/>
          <w:bottom w:space="0" w:sz="0" w:val="nil"/>
          <w:right w:space="0" w:sz="0" w:val="nil"/>
          <w:between w:space="0" w:sz="0" w:val="nil"/>
        </w:pBdr>
        <w:spacing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Upon termination of the Contract by the Buyer in accordance with clause 13.</w:t>
      </w: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color w:val="000000"/>
          <w:sz w:val="24"/>
          <w:szCs w:val="24"/>
          <w:rtl w:val="0"/>
        </w:rPr>
        <w:t xml:space="preserve">.2 General Terms (and for the avoidance of doubt including partial termination under 13.6), the amount that is due for payment will be as set out below:</w:t>
      </w:r>
    </w:p>
    <w:p w:rsidR="00000000" w:rsidDel="00000000" w:rsidP="00000000" w:rsidRDefault="00000000" w:rsidRPr="00000000" w14:paraId="00000055">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Charges for Deliverables which have been properly provided by the Supplier in accordance with the terms of the Contract; </w:t>
      </w:r>
    </w:p>
    <w:p w:rsidR="00000000" w:rsidDel="00000000" w:rsidP="00000000" w:rsidRDefault="00000000" w:rsidRPr="00000000" w14:paraId="00000056">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reasonable and proven direct costs incurred by the Supplier for removing Supplier Equipment and/or demobilising;</w:t>
      </w:r>
    </w:p>
    <w:p w:rsidR="00000000" w:rsidDel="00000000" w:rsidP="00000000" w:rsidRDefault="00000000" w:rsidRPr="00000000" w14:paraId="00000057">
      <w:pPr>
        <w:keepNext w:val="1"/>
        <w:numPr>
          <w:ilvl w:val="2"/>
          <w:numId w:val="2"/>
        </w:numPr>
        <w:pBdr>
          <w:top w:space="0" w:sz="0" w:val="nil"/>
          <w:left w:space="0" w:sz="0" w:val="nil"/>
          <w:bottom w:space="0" w:sz="0" w:val="nil"/>
          <w:right w:space="0" w:sz="0" w:val="nil"/>
          <w:between w:space="0" w:sz="0" w:val="nil"/>
        </w:pBdr>
        <w:spacing w:after="0"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reasonable and proved unrecovered investment costs directly applicable to the provision of the Deliverables, if applicable; and</w:t>
      </w:r>
    </w:p>
    <w:p w:rsidR="00000000" w:rsidDel="00000000" w:rsidP="00000000" w:rsidRDefault="00000000" w:rsidRPr="00000000" w14:paraId="00000058">
      <w:pPr>
        <w:keepNext w:val="1"/>
        <w:numPr>
          <w:ilvl w:val="2"/>
          <w:numId w:val="2"/>
        </w:numPr>
        <w:pBdr>
          <w:top w:space="0" w:sz="0" w:val="nil"/>
          <w:left w:space="0" w:sz="0" w:val="nil"/>
          <w:bottom w:space="0" w:sz="0" w:val="nil"/>
          <w:right w:space="0" w:sz="0" w:val="nil"/>
          <w:between w:space="0" w:sz="0" w:val="nil"/>
        </w:pBdr>
        <w:spacing w:line="276" w:lineRule="auto"/>
        <w:ind w:left="2268" w:hanging="828.0000000000001"/>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other Costs reasonably incurred in expectation of completing the whole of the Services and any amounts retained by the Supplier</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59">
      <w:pPr>
        <w:spacing w:after="0" w:line="276" w:lineRule="auto"/>
        <w:ind w:left="1418" w:hanging="0.9999999999999432"/>
        <w:jc w:val="left"/>
        <w:rPr>
          <w:rFonts w:ascii="Arial" w:cs="Arial" w:eastAsia="Arial" w:hAnsi="Arial"/>
          <w:sz w:val="24"/>
          <w:szCs w:val="24"/>
        </w:rPr>
        <w:sectPr>
          <w:headerReference r:id="rId7" w:type="default"/>
          <w:headerReference r:id="rId8" w:type="first"/>
          <w:headerReference r:id="rId9" w:type="even"/>
          <w:footerReference r:id="rId10" w:type="default"/>
          <w:footerReference r:id="rId11" w:type="first"/>
          <w:footerReference r:id="rId12" w:type="even"/>
          <w:pgSz w:h="16834" w:w="11909" w:orient="portrait"/>
          <w:pgMar w:bottom="1440" w:top="1440" w:left="1440" w:right="1440" w:header="706" w:footer="706"/>
          <w:pgNumType w:start="1"/>
          <w:titlePg w:val="1"/>
        </w:sectPr>
      </w:pPr>
      <w:r w:rsidDel="00000000" w:rsidR="00000000" w:rsidRPr="00000000">
        <w:rPr>
          <w:rFonts w:ascii="Arial" w:cs="Arial" w:eastAsia="Arial" w:hAnsi="Arial"/>
          <w:color w:val="000000"/>
          <w:sz w:val="24"/>
          <w:szCs w:val="24"/>
          <w:rtl w:val="0"/>
        </w:rPr>
        <w:t xml:space="preserve">provided that such amounts shall only be recoverable if and to the extent that the Supplier has used all reasonable endeavours to minimise them.</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153"/>
          <w:tab w:val="right" w:leader="none" w:pos="8306"/>
          <w:tab w:val="center" w:leader="none" w:pos="4513"/>
          <w:tab w:val="right" w:leader="none" w:pos="9026"/>
        </w:tabs>
        <w:spacing w:after="0" w:before="240" w:line="276" w:lineRule="auto"/>
        <w:ind w:left="2" w:hanging="4"/>
        <w:jc w:val="left"/>
        <w:rPr>
          <w:rFonts w:ascii="Arial" w:cs="Arial" w:eastAsia="Arial" w:hAnsi="Arial"/>
          <w:b w:val="1"/>
          <w:smallCaps w:val="1"/>
          <w:color w:val="000000"/>
          <w:sz w:val="36"/>
          <w:szCs w:val="36"/>
        </w:rPr>
      </w:pPr>
      <w:bookmarkStart w:colFirst="0" w:colLast="0" w:name="_heading=h.1ksv4uv" w:id="10"/>
      <w:bookmarkEnd w:id="10"/>
      <w:r w:rsidDel="00000000" w:rsidR="00000000" w:rsidRPr="00000000">
        <w:rPr>
          <w:rFonts w:ascii="Arial" w:cs="Arial" w:eastAsia="Arial" w:hAnsi="Arial"/>
          <w:b w:val="1"/>
          <w:smallCaps w:val="1"/>
          <w:color w:val="000000"/>
          <w:sz w:val="36"/>
          <w:szCs w:val="36"/>
          <w:rtl w:val="0"/>
        </w:rPr>
        <w:t xml:space="preserve">P</w:t>
      </w:r>
      <w:r w:rsidDel="00000000" w:rsidR="00000000" w:rsidRPr="00000000">
        <w:rPr>
          <w:rFonts w:ascii="Arial" w:cs="Arial" w:eastAsia="Arial" w:hAnsi="Arial"/>
          <w:b w:val="1"/>
          <w:sz w:val="36"/>
          <w:szCs w:val="36"/>
          <w:rtl w:val="0"/>
        </w:rPr>
        <w:t xml:space="preserve">art</w:t>
      </w:r>
      <w:r w:rsidDel="00000000" w:rsidR="00000000" w:rsidRPr="00000000">
        <w:rPr>
          <w:rFonts w:ascii="Arial" w:cs="Arial" w:eastAsia="Arial" w:hAnsi="Arial"/>
          <w:sz w:val="36"/>
          <w:szCs w:val="36"/>
          <w:rtl w:val="0"/>
        </w:rPr>
        <w:t xml:space="preserve"> </w:t>
      </w:r>
      <w:r w:rsidDel="00000000" w:rsidR="00000000" w:rsidRPr="00000000">
        <w:rPr>
          <w:rFonts w:ascii="Arial" w:cs="Arial" w:eastAsia="Arial" w:hAnsi="Arial"/>
          <w:b w:val="1"/>
          <w:smallCaps w:val="1"/>
          <w:color w:val="000000"/>
          <w:sz w:val="36"/>
          <w:szCs w:val="36"/>
          <w:rtl w:val="0"/>
        </w:rPr>
        <w:t xml:space="preserve">B - </w:t>
      </w:r>
      <w:r w:rsidDel="00000000" w:rsidR="00000000" w:rsidRPr="00000000">
        <w:rPr>
          <w:rFonts w:ascii="Arial" w:cs="Arial" w:eastAsia="Arial" w:hAnsi="Arial"/>
          <w:b w:val="1"/>
          <w:sz w:val="36"/>
          <w:szCs w:val="36"/>
          <w:rtl w:val="0"/>
        </w:rPr>
        <w:t xml:space="preserve">Target Cost pricing</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153"/>
          <w:tab w:val="right" w:leader="none" w:pos="8306"/>
          <w:tab w:val="center" w:leader="none" w:pos="4513"/>
          <w:tab w:val="right" w:leader="none" w:pos="9026"/>
        </w:tabs>
        <w:spacing w:after="0" w:line="276" w:lineRule="auto"/>
        <w:ind w:hanging="2"/>
        <w:jc w:val="left"/>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C">
      <w:pPr>
        <w:keepNext w:val="1"/>
        <w:pBdr>
          <w:top w:space="0" w:sz="0" w:val="nil"/>
          <w:left w:space="0" w:sz="0" w:val="nil"/>
          <w:bottom w:space="0" w:sz="0" w:val="nil"/>
          <w:right w:space="0" w:sz="0" w:val="nil"/>
          <w:between w:space="0" w:sz="0" w:val="nil"/>
        </w:pBdr>
        <w:spacing w:line="276" w:lineRule="auto"/>
        <w:ind w:hanging="2"/>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This part of this schedule shall apply where the target cost pricing option is selected in the Order Form.</w:t>
      </w:r>
    </w:p>
    <w:p w:rsidR="00000000" w:rsidDel="00000000" w:rsidP="00000000" w:rsidRDefault="00000000" w:rsidRPr="00000000" w14:paraId="0000005D">
      <w:pPr>
        <w:numPr>
          <w:ilvl w:val="0"/>
          <w:numId w:val="1"/>
        </w:numPr>
        <w:spacing w:after="120" w:before="120" w:line="276" w:lineRule="auto"/>
        <w:ind w:left="360" w:hanging="36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How Framework Prices are used to calculate Target Cost Charges</w:t>
      </w:r>
    </w:p>
    <w:p w:rsidR="00000000" w:rsidDel="00000000" w:rsidP="00000000" w:rsidRDefault="00000000" w:rsidRPr="00000000" w14:paraId="0000005E">
      <w:pPr>
        <w:numPr>
          <w:ilvl w:val="1"/>
          <w:numId w:val="1"/>
        </w:numPr>
        <w:spacing w:after="120" w:before="120" w:line="276" w:lineRule="auto"/>
        <w:ind w:left="864" w:hanging="502"/>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Framework Prices are permitted to be exceeded except in relation Supplier Profit, unless otherwise stated by the Buyer.</w:t>
      </w:r>
    </w:p>
    <w:p w:rsidR="00000000" w:rsidDel="00000000" w:rsidP="00000000" w:rsidRDefault="00000000" w:rsidRPr="00000000" w14:paraId="0000005F">
      <w:pPr>
        <w:numPr>
          <w:ilvl w:val="0"/>
          <w:numId w:val="1"/>
        </w:numPr>
        <w:spacing w:after="120" w:before="120" w:line="276" w:lineRule="auto"/>
        <w:ind w:left="360" w:hanging="360"/>
        <w:jc w:val="left"/>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Calculation Of The Charges</w:t>
      </w:r>
      <w:r w:rsidDel="00000000" w:rsidR="00000000" w:rsidRPr="00000000">
        <w:rPr>
          <w:rtl w:val="0"/>
        </w:rPr>
      </w:r>
    </w:p>
    <w:p w:rsidR="00000000" w:rsidDel="00000000" w:rsidP="00000000" w:rsidRDefault="00000000" w:rsidRPr="00000000" w14:paraId="00000060">
      <w:pPr>
        <w:numPr>
          <w:ilvl w:val="1"/>
          <w:numId w:val="1"/>
        </w:numPr>
        <w:spacing w:after="120" w:before="120" w:line="276" w:lineRule="auto"/>
        <w:ind w:left="864" w:hanging="502"/>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Target Cost Charges shall be: </w:t>
      </w:r>
    </w:p>
    <w:p w:rsidR="00000000" w:rsidDel="00000000" w:rsidP="00000000" w:rsidRDefault="00000000" w:rsidRPr="00000000" w14:paraId="00000061">
      <w:pPr>
        <w:numPr>
          <w:ilvl w:val="2"/>
          <w:numId w:val="1"/>
        </w:numPr>
        <w:spacing w:after="0" w:before="12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calculated on the basis of the rates and prices specified in a Target Cost Pricing Matrix as submitted </w:t>
      </w:r>
      <w:r w:rsidDel="00000000" w:rsidR="00000000" w:rsidRPr="00000000">
        <w:rPr>
          <w:rFonts w:ascii="Arial" w:cs="Arial" w:eastAsia="Arial" w:hAnsi="Arial"/>
          <w:color w:val="222222"/>
          <w:sz w:val="24"/>
          <w:szCs w:val="24"/>
          <w:highlight w:val="white"/>
          <w:rtl w:val="0"/>
        </w:rPr>
        <w:t xml:space="preserve">as part of a Competitive Selection Process</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62">
      <w:pPr>
        <w:numPr>
          <w:ilvl w:val="2"/>
          <w:numId w:val="1"/>
        </w:numPr>
        <w:spacing w:after="0" w:before="12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paid in respect of Service Months for the costs incurred by the Supplier of its obligations under the Call-Off Contract; and</w:t>
      </w:r>
    </w:p>
    <w:p w:rsidR="00000000" w:rsidDel="00000000" w:rsidP="00000000" w:rsidRDefault="00000000" w:rsidRPr="00000000" w14:paraId="00000063">
      <w:pPr>
        <w:numPr>
          <w:ilvl w:val="2"/>
          <w:numId w:val="1"/>
        </w:numPr>
        <w:spacing w:after="120" w:before="12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paid by way of Monthly Payments which shall be calculated in accordance with paragraph 2 below.</w:t>
      </w:r>
    </w:p>
    <w:p w:rsidR="00000000" w:rsidDel="00000000" w:rsidP="00000000" w:rsidRDefault="00000000" w:rsidRPr="00000000" w14:paraId="00000064">
      <w:pPr>
        <w:numPr>
          <w:ilvl w:val="1"/>
          <w:numId w:val="1"/>
        </w:numPr>
        <w:spacing w:after="120" w:before="120" w:line="276" w:lineRule="auto"/>
        <w:ind w:left="864" w:hanging="502"/>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addition to the Target Cost Charges, the Supplier shall be entitled to raise an invoice in each Service Month, for Work Orders it has completed in the previous Service Month and such Charges shall be calculated in accordance with paragraph 5 below.</w:t>
      </w:r>
    </w:p>
    <w:p w:rsidR="00000000" w:rsidDel="00000000" w:rsidP="00000000" w:rsidRDefault="00000000" w:rsidRPr="00000000" w14:paraId="00000065">
      <w:pPr>
        <w:keepNext w:val="1"/>
        <w:numPr>
          <w:ilvl w:val="0"/>
          <w:numId w:val="1"/>
        </w:numPr>
        <w:pBdr>
          <w:top w:space="0" w:sz="0" w:val="nil"/>
          <w:left w:space="0" w:sz="0" w:val="nil"/>
          <w:bottom w:space="0" w:sz="0" w:val="nil"/>
          <w:right w:space="0" w:sz="0" w:val="nil"/>
          <w:between w:space="0" w:sz="0" w:val="nil"/>
        </w:pBdr>
        <w:spacing w:line="276" w:lineRule="auto"/>
        <w:ind w:left="0" w:hanging="2"/>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T</w:t>
      </w:r>
      <w:r w:rsidDel="00000000" w:rsidR="00000000" w:rsidRPr="00000000">
        <w:rPr>
          <w:rFonts w:ascii="Arial" w:cs="Arial" w:eastAsia="Arial" w:hAnsi="Arial"/>
          <w:b w:val="1"/>
          <w:sz w:val="24"/>
          <w:szCs w:val="24"/>
          <w:rtl w:val="0"/>
        </w:rPr>
        <w:t xml:space="preserve">arget Costs</w:t>
      </w:r>
      <w:r w:rsidDel="00000000" w:rsidR="00000000" w:rsidRPr="00000000">
        <w:rPr>
          <w:rtl w:val="0"/>
        </w:rPr>
      </w:r>
    </w:p>
    <w:p w:rsidR="00000000" w:rsidDel="00000000" w:rsidP="00000000" w:rsidRDefault="00000000" w:rsidRPr="00000000" w14:paraId="00000066">
      <w:pPr>
        <w:keepNext w:val="1"/>
        <w:numPr>
          <w:ilvl w:val="1"/>
          <w:numId w:val="1"/>
        </w:numPr>
        <w:pBdr>
          <w:top w:space="0" w:sz="0" w:val="nil"/>
          <w:left w:space="0" w:sz="0" w:val="nil"/>
          <w:bottom w:space="0" w:sz="0" w:val="nil"/>
          <w:right w:space="0" w:sz="0" w:val="nil"/>
          <w:between w:space="0" w:sz="0" w:val="nil"/>
        </w:pBdr>
        <w:spacing w:line="276" w:lineRule="auto"/>
        <w:ind w:left="864" w:hanging="502"/>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shall only be entitled to recover costs under this paragraph in respect of:</w:t>
      </w:r>
    </w:p>
    <w:p w:rsidR="00000000" w:rsidDel="00000000" w:rsidP="00000000" w:rsidRDefault="00000000" w:rsidRPr="00000000" w14:paraId="00000067">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direct employment costs of people employed by it;</w:t>
      </w:r>
    </w:p>
    <w:p w:rsidR="00000000" w:rsidDel="00000000" w:rsidP="00000000" w:rsidRDefault="00000000" w:rsidRPr="00000000" w14:paraId="00000068">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direct costs of materials supplied by it in connection with provision of the Deliverables;</w:t>
      </w:r>
    </w:p>
    <w:p w:rsidR="00000000" w:rsidDel="00000000" w:rsidP="00000000" w:rsidRDefault="00000000" w:rsidRPr="00000000" w14:paraId="00000069">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deliverables which are sub-contracted; and </w:t>
      </w:r>
    </w:p>
    <w:p w:rsidR="00000000" w:rsidDel="00000000" w:rsidP="00000000" w:rsidRDefault="00000000" w:rsidRPr="00000000" w14:paraId="0000006A">
      <w:pPr>
        <w:keepNext w:val="1"/>
        <w:numPr>
          <w:ilvl w:val="2"/>
          <w:numId w:val="1"/>
        </w:numPr>
        <w:pBdr>
          <w:top w:space="0" w:sz="0" w:val="nil"/>
          <w:left w:space="0" w:sz="0" w:val="nil"/>
          <w:bottom w:space="0" w:sz="0" w:val="nil"/>
          <w:right w:space="0" w:sz="0" w:val="nil"/>
          <w:between w:space="0" w:sz="0" w:val="nil"/>
        </w:pBdr>
        <w:spacing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equipment required for the provision of the Deliverables (including any amounts paid for hired equipment and an amount for the use of equipment owned by the Supplier which is the amount the Supplier would have paid if the equipment had been hired).</w:t>
      </w:r>
    </w:p>
    <w:p w:rsidR="00000000" w:rsidDel="00000000" w:rsidP="00000000" w:rsidRDefault="00000000" w:rsidRPr="00000000" w14:paraId="0000006B">
      <w:pPr>
        <w:keepNext w:val="1"/>
        <w:numPr>
          <w:ilvl w:val="1"/>
          <w:numId w:val="1"/>
        </w:numPr>
        <w:pBdr>
          <w:top w:space="0" w:sz="0" w:val="nil"/>
          <w:left w:space="0" w:sz="0" w:val="nil"/>
          <w:bottom w:space="0" w:sz="0" w:val="nil"/>
          <w:right w:space="0" w:sz="0" w:val="nil"/>
          <w:between w:space="0" w:sz="0" w:val="nil"/>
        </w:pBdr>
        <w:spacing w:line="276" w:lineRule="auto"/>
        <w:ind w:left="864" w:hanging="502"/>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shall not be entitled to recover, as part of its cost assessment (or recover on any other basis) any of the following:</w:t>
      </w:r>
    </w:p>
    <w:p w:rsidR="00000000" w:rsidDel="00000000" w:rsidP="00000000" w:rsidRDefault="00000000" w:rsidRPr="00000000" w14:paraId="0000006C">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costs which are not justified by the Supplier's accounts and records;</w:t>
      </w:r>
    </w:p>
    <w:p w:rsidR="00000000" w:rsidDel="00000000" w:rsidP="00000000" w:rsidRDefault="00000000" w:rsidRPr="00000000" w14:paraId="0000006D">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costs which should not have been paid to a Subcontractor or the Supplier in accordance with the Call-Off Contract;</w:t>
      </w:r>
    </w:p>
    <w:p w:rsidR="00000000" w:rsidDel="00000000" w:rsidP="00000000" w:rsidRDefault="00000000" w:rsidRPr="00000000" w14:paraId="0000006E">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cost of materials or resources not used to provide the Deliverables;</w:t>
      </w:r>
    </w:p>
    <w:p w:rsidR="00000000" w:rsidDel="00000000" w:rsidP="00000000" w:rsidRDefault="00000000" w:rsidRPr="00000000" w14:paraId="0000006F">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bookmarkStart w:colFirst="0" w:colLast="0" w:name="_heading=h.2jxsxqh" w:id="11"/>
      <w:bookmarkEnd w:id="11"/>
      <w:r w:rsidDel="00000000" w:rsidR="00000000" w:rsidRPr="00000000">
        <w:rPr>
          <w:rFonts w:ascii="Arial" w:cs="Arial" w:eastAsia="Arial" w:hAnsi="Arial"/>
          <w:color w:val="000000"/>
          <w:sz w:val="24"/>
          <w:szCs w:val="24"/>
          <w:rtl w:val="0"/>
        </w:rPr>
        <w:t xml:space="preserve">amounts in respect of events which the supplier is required to insure under this Call-Off Contract or other amounts paid by the Supplier to insurers; </w:t>
      </w:r>
    </w:p>
    <w:p w:rsidR="00000000" w:rsidDel="00000000" w:rsidP="00000000" w:rsidRDefault="00000000" w:rsidRPr="00000000" w14:paraId="00000070">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bookmarkStart w:colFirst="0" w:colLast="0" w:name="_heading=h.44sinio" w:id="12"/>
      <w:bookmarkEnd w:id="12"/>
      <w:r w:rsidDel="00000000" w:rsidR="00000000" w:rsidRPr="00000000">
        <w:rPr>
          <w:rFonts w:ascii="Arial" w:cs="Arial" w:eastAsia="Arial" w:hAnsi="Arial"/>
          <w:color w:val="000000"/>
          <w:sz w:val="24"/>
          <w:szCs w:val="24"/>
          <w:rtl w:val="0"/>
        </w:rPr>
        <w:t xml:space="preserve">costs for preparation for and conduct of formal dispute resolution proceedings.</w:t>
      </w:r>
    </w:p>
    <w:p w:rsidR="00000000" w:rsidDel="00000000" w:rsidP="00000000" w:rsidRDefault="00000000" w:rsidRPr="00000000" w14:paraId="00000071">
      <w:pPr>
        <w:keepNext w:val="1"/>
        <w:numPr>
          <w:ilvl w:val="2"/>
          <w:numId w:val="1"/>
        </w:numPr>
        <w:pBdr>
          <w:top w:space="0" w:sz="0" w:val="nil"/>
          <w:left w:space="0" w:sz="0" w:val="nil"/>
          <w:bottom w:space="0" w:sz="0" w:val="nil"/>
          <w:right w:space="0" w:sz="0" w:val="nil"/>
          <w:between w:space="0" w:sz="0" w:val="nil"/>
        </w:pBdr>
        <w:spacing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works completed in month</w:t>
      </w:r>
    </w:p>
    <w:p w:rsidR="00000000" w:rsidDel="00000000" w:rsidP="00000000" w:rsidRDefault="00000000" w:rsidRPr="00000000" w14:paraId="00000072">
      <w:pPr>
        <w:keepNext w:val="1"/>
        <w:numPr>
          <w:ilvl w:val="0"/>
          <w:numId w:val="1"/>
        </w:numPr>
        <w:pBdr>
          <w:top w:space="0" w:sz="0" w:val="nil"/>
          <w:left w:space="0" w:sz="0" w:val="nil"/>
          <w:bottom w:space="0" w:sz="0" w:val="nil"/>
          <w:right w:space="0" w:sz="0" w:val="nil"/>
          <w:between w:space="0" w:sz="0" w:val="nil"/>
        </w:pBdr>
        <w:spacing w:line="276" w:lineRule="auto"/>
        <w:ind w:left="0" w:hanging="2"/>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T</w:t>
      </w:r>
      <w:r w:rsidDel="00000000" w:rsidR="00000000" w:rsidRPr="00000000">
        <w:rPr>
          <w:rFonts w:ascii="Arial" w:cs="Arial" w:eastAsia="Arial" w:hAnsi="Arial"/>
          <w:b w:val="1"/>
          <w:sz w:val="24"/>
          <w:szCs w:val="24"/>
          <w:rtl w:val="0"/>
        </w:rPr>
        <w:t xml:space="preserve">arget Price</w:t>
      </w:r>
      <w:r w:rsidDel="00000000" w:rsidR="00000000" w:rsidRPr="00000000">
        <w:rPr>
          <w:rtl w:val="0"/>
        </w:rPr>
      </w:r>
    </w:p>
    <w:p w:rsidR="00000000" w:rsidDel="00000000" w:rsidP="00000000" w:rsidRDefault="00000000" w:rsidRPr="00000000" w14:paraId="00000073">
      <w:pPr>
        <w:keepNext w:val="1"/>
        <w:numPr>
          <w:ilvl w:val="1"/>
          <w:numId w:val="1"/>
        </w:numPr>
        <w:pBdr>
          <w:top w:space="0" w:sz="0" w:val="nil"/>
          <w:left w:space="0" w:sz="0" w:val="nil"/>
          <w:bottom w:space="0" w:sz="0" w:val="nil"/>
          <w:right w:space="0" w:sz="0" w:val="nil"/>
          <w:between w:space="0" w:sz="0" w:val="nil"/>
        </w:pBdr>
        <w:spacing w:line="276" w:lineRule="auto"/>
        <w:ind w:left="864" w:hanging="502"/>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Target Price shall be as set out in the Target Price Pricing Matrix as submitted </w:t>
      </w:r>
      <w:r w:rsidDel="00000000" w:rsidR="00000000" w:rsidRPr="00000000">
        <w:rPr>
          <w:rFonts w:ascii="Arial" w:cs="Arial" w:eastAsia="Arial" w:hAnsi="Arial"/>
          <w:color w:val="222222"/>
          <w:sz w:val="24"/>
          <w:szCs w:val="24"/>
          <w:highlight w:val="white"/>
          <w:rtl w:val="0"/>
        </w:rPr>
        <w:t xml:space="preserve">as part of a Competitive Selection Process</w:t>
      </w:r>
      <w:r w:rsidDel="00000000" w:rsidR="00000000" w:rsidRPr="00000000">
        <w:rPr>
          <w:rFonts w:ascii="Arial" w:cs="Arial" w:eastAsia="Arial" w:hAnsi="Arial"/>
          <w:color w:val="000000"/>
          <w:sz w:val="24"/>
          <w:szCs w:val="24"/>
          <w:rtl w:val="0"/>
        </w:rPr>
        <w:t xml:space="preserve">.</w:t>
      </w:r>
      <w:r w:rsidDel="00000000" w:rsidR="00000000" w:rsidRPr="00000000">
        <w:rPr>
          <w:rFonts w:ascii="Calibri" w:cs="Calibri" w:eastAsia="Calibri" w:hAnsi="Calibri"/>
          <w:color w:val="000000"/>
          <w:sz w:val="23"/>
          <w:szCs w:val="23"/>
          <w:rtl w:val="0"/>
        </w:rPr>
        <w:t xml:space="preserve"> </w:t>
      </w:r>
      <w:r w:rsidDel="00000000" w:rsidR="00000000" w:rsidRPr="00000000">
        <w:rPr>
          <w:rtl w:val="0"/>
        </w:rPr>
      </w:r>
    </w:p>
    <w:p w:rsidR="00000000" w:rsidDel="00000000" w:rsidP="00000000" w:rsidRDefault="00000000" w:rsidRPr="00000000" w14:paraId="00000074">
      <w:pPr>
        <w:keepNext w:val="1"/>
        <w:numPr>
          <w:ilvl w:val="0"/>
          <w:numId w:val="1"/>
        </w:numPr>
        <w:pBdr>
          <w:top w:space="0" w:sz="0" w:val="nil"/>
          <w:left w:space="0" w:sz="0" w:val="nil"/>
          <w:bottom w:space="0" w:sz="0" w:val="nil"/>
          <w:right w:space="0" w:sz="0" w:val="nil"/>
          <w:between w:space="0" w:sz="0" w:val="nil"/>
        </w:pBdr>
        <w:spacing w:line="276" w:lineRule="auto"/>
        <w:ind w:left="0" w:hanging="2"/>
        <w:jc w:val="left"/>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Payment Of Target Cost And Target Price</w:t>
      </w:r>
      <w:r w:rsidDel="00000000" w:rsidR="00000000" w:rsidRPr="00000000">
        <w:rPr>
          <w:rtl w:val="0"/>
        </w:rPr>
      </w:r>
    </w:p>
    <w:p w:rsidR="00000000" w:rsidDel="00000000" w:rsidP="00000000" w:rsidRDefault="00000000" w:rsidRPr="00000000" w14:paraId="00000075">
      <w:pPr>
        <w:keepNext w:val="1"/>
        <w:numPr>
          <w:ilvl w:val="1"/>
          <w:numId w:val="1"/>
        </w:numPr>
        <w:pBdr>
          <w:top w:space="0" w:sz="0" w:val="nil"/>
          <w:left w:space="0" w:sz="0" w:val="nil"/>
          <w:bottom w:space="0" w:sz="0" w:val="nil"/>
          <w:right w:space="0" w:sz="0" w:val="nil"/>
          <w:between w:space="0" w:sz="0" w:val="nil"/>
        </w:pBdr>
        <w:spacing w:line="276" w:lineRule="auto"/>
        <w:ind w:left="864" w:hanging="502"/>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respect of the Deliverables provided on a target price basis in a Service Month</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76">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bookmarkStart w:colFirst="0" w:colLast="0" w:name="_heading=h.j60w1rxp452" w:id="13"/>
      <w:bookmarkEnd w:id="13"/>
      <w:r w:rsidDel="00000000" w:rsidR="00000000" w:rsidRPr="00000000">
        <w:rPr>
          <w:rFonts w:ascii="Arial" w:cs="Arial" w:eastAsia="Arial" w:hAnsi="Arial"/>
          <w:color w:val="000000"/>
          <w:sz w:val="24"/>
          <w:szCs w:val="24"/>
          <w:rtl w:val="0"/>
        </w:rPr>
        <w:t xml:space="preserve">the Supplier shall calculate the amount claimed in respect of such Service Month which shall include:</w:t>
      </w:r>
    </w:p>
    <w:p w:rsidR="00000000" w:rsidDel="00000000" w:rsidP="00000000" w:rsidRDefault="00000000" w:rsidRPr="00000000" w14:paraId="00000077">
      <w:pPr>
        <w:keepNext w:val="1"/>
        <w:numPr>
          <w:ilvl w:val="3"/>
          <w:numId w:val="1"/>
        </w:numPr>
        <w:pBdr>
          <w:top w:space="0" w:sz="0" w:val="nil"/>
          <w:left w:space="0" w:sz="0" w:val="nil"/>
          <w:bottom w:space="0" w:sz="0" w:val="nil"/>
          <w:right w:space="0" w:sz="0" w:val="nil"/>
          <w:between w:space="0" w:sz="0" w:val="nil"/>
        </w:pBdr>
        <w:spacing w:after="0" w:before="240" w:line="276" w:lineRule="auto"/>
        <w:ind w:left="3402" w:hanging="1134"/>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costs incurred for such Deliverables in the Service Month;</w:t>
      </w:r>
    </w:p>
    <w:p w:rsidR="00000000" w:rsidDel="00000000" w:rsidP="00000000" w:rsidRDefault="00000000" w:rsidRPr="00000000" w14:paraId="00000078">
      <w:pPr>
        <w:keepNext w:val="1"/>
        <w:numPr>
          <w:ilvl w:val="3"/>
          <w:numId w:val="1"/>
        </w:numPr>
        <w:pBdr>
          <w:top w:space="0" w:sz="0" w:val="nil"/>
          <w:left w:space="0" w:sz="0" w:val="nil"/>
          <w:bottom w:space="0" w:sz="0" w:val="nil"/>
          <w:right w:space="0" w:sz="0" w:val="nil"/>
          <w:between w:space="0" w:sz="0" w:val="nil"/>
        </w:pBdr>
        <w:spacing w:line="276" w:lineRule="auto"/>
        <w:ind w:left="3402" w:hanging="1134"/>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Total KPI Credit</w:t>
      </w:r>
    </w:p>
    <w:p w:rsidR="00000000" w:rsidDel="00000000" w:rsidP="00000000" w:rsidRDefault="00000000" w:rsidRPr="00000000" w14:paraId="00000079">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Fonts w:ascii="Arial" w:cs="Arial" w:eastAsia="Arial" w:hAnsi="Arial"/>
          <w:color w:val="000000"/>
          <w:sz w:val="24"/>
          <w:szCs w:val="24"/>
          <w:rtl w:val="0"/>
        </w:rPr>
        <w:t xml:space="preserve">submit a claim to the Buyer for the amount claimed within 14 days following the end of the Service Month (any costs not claimed by such date shall not be eligible for claim in that Service Month and instead should be submitted in the following Service Month);</w:t>
      </w:r>
    </w:p>
    <w:p w:rsidR="00000000" w:rsidDel="00000000" w:rsidP="00000000" w:rsidRDefault="00000000" w:rsidRPr="00000000" w14:paraId="0000007A">
      <w:pPr>
        <w:keepNext w:val="1"/>
        <w:numPr>
          <w:ilvl w:val="2"/>
          <w:numId w:val="1"/>
        </w:numPr>
        <w:pBdr>
          <w:top w:space="0" w:sz="0" w:val="nil"/>
          <w:left w:space="0" w:sz="0" w:val="nil"/>
          <w:bottom w:space="0" w:sz="0" w:val="nil"/>
          <w:right w:space="0" w:sz="0" w:val="nil"/>
          <w:between w:space="0" w:sz="0" w:val="nil"/>
        </w:pBdr>
        <w:spacing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shall state the basis on which all amounts claimed are calculated and provide all such evidence as the Buyer may request from time to time and without limit the Supplier shall provide:</w:t>
      </w:r>
    </w:p>
    <w:p w:rsidR="00000000" w:rsidDel="00000000" w:rsidP="00000000" w:rsidRDefault="00000000" w:rsidRPr="00000000" w14:paraId="0000007B">
      <w:pPr>
        <w:keepNext w:val="1"/>
        <w:numPr>
          <w:ilvl w:val="3"/>
          <w:numId w:val="1"/>
        </w:numPr>
        <w:pBdr>
          <w:top w:space="0" w:sz="0" w:val="nil"/>
          <w:left w:space="0" w:sz="0" w:val="nil"/>
          <w:bottom w:space="0" w:sz="0" w:val="nil"/>
          <w:right w:space="0" w:sz="0" w:val="nil"/>
          <w:between w:space="0" w:sz="0" w:val="nil"/>
        </w:pBdr>
        <w:spacing w:after="0" w:line="276" w:lineRule="auto"/>
        <w:ind w:left="2880" w:hanging="108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evidence of hours worked;</w:t>
      </w:r>
    </w:p>
    <w:p w:rsidR="00000000" w:rsidDel="00000000" w:rsidP="00000000" w:rsidRDefault="00000000" w:rsidRPr="00000000" w14:paraId="0000007C">
      <w:pPr>
        <w:keepNext w:val="1"/>
        <w:numPr>
          <w:ilvl w:val="3"/>
          <w:numId w:val="1"/>
        </w:numPr>
        <w:pBdr>
          <w:top w:space="0" w:sz="0" w:val="nil"/>
          <w:left w:space="0" w:sz="0" w:val="nil"/>
          <w:bottom w:space="0" w:sz="0" w:val="nil"/>
          <w:right w:space="0" w:sz="0" w:val="nil"/>
          <w:between w:space="0" w:sz="0" w:val="nil"/>
        </w:pBdr>
        <w:spacing w:after="0" w:line="276" w:lineRule="auto"/>
        <w:ind w:left="2880" w:hanging="108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proof that payments have been made;</w:t>
      </w:r>
    </w:p>
    <w:p w:rsidR="00000000" w:rsidDel="00000000" w:rsidP="00000000" w:rsidRDefault="00000000" w:rsidRPr="00000000" w14:paraId="0000007D">
      <w:pPr>
        <w:keepNext w:val="1"/>
        <w:numPr>
          <w:ilvl w:val="3"/>
          <w:numId w:val="1"/>
        </w:numPr>
        <w:pBdr>
          <w:top w:space="0" w:sz="0" w:val="nil"/>
          <w:left w:space="0" w:sz="0" w:val="nil"/>
          <w:bottom w:space="0" w:sz="0" w:val="nil"/>
          <w:right w:space="0" w:sz="0" w:val="nil"/>
          <w:between w:space="0" w:sz="0" w:val="nil"/>
        </w:pBdr>
        <w:spacing w:after="0" w:line="276" w:lineRule="auto"/>
        <w:ind w:left="2880" w:hanging="108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evidence that the costs correspond with the Deliverables provided;</w:t>
      </w:r>
    </w:p>
    <w:p w:rsidR="00000000" w:rsidDel="00000000" w:rsidP="00000000" w:rsidRDefault="00000000" w:rsidRPr="00000000" w14:paraId="0000007E">
      <w:pPr>
        <w:keepNext w:val="1"/>
        <w:numPr>
          <w:ilvl w:val="3"/>
          <w:numId w:val="1"/>
        </w:numPr>
        <w:pBdr>
          <w:top w:space="0" w:sz="0" w:val="nil"/>
          <w:left w:space="0" w:sz="0" w:val="nil"/>
          <w:bottom w:space="0" w:sz="0" w:val="nil"/>
          <w:right w:space="0" w:sz="0" w:val="nil"/>
          <w:between w:space="0" w:sz="0" w:val="nil"/>
        </w:pBdr>
        <w:spacing w:after="0" w:line="276" w:lineRule="auto"/>
        <w:ind w:left="2880" w:hanging="108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equivalent evidence for any costs incurred by any Subcontractors; </w:t>
      </w:r>
    </w:p>
    <w:p w:rsidR="00000000" w:rsidDel="00000000" w:rsidP="00000000" w:rsidRDefault="00000000" w:rsidRPr="00000000" w14:paraId="0000007F">
      <w:pPr>
        <w:keepNext w:val="1"/>
        <w:numPr>
          <w:ilvl w:val="3"/>
          <w:numId w:val="1"/>
        </w:numPr>
        <w:pBdr>
          <w:top w:space="0" w:sz="0" w:val="nil"/>
          <w:left w:space="0" w:sz="0" w:val="nil"/>
          <w:bottom w:space="0" w:sz="0" w:val="nil"/>
          <w:right w:space="0" w:sz="0" w:val="nil"/>
          <w:between w:space="0" w:sz="0" w:val="nil"/>
        </w:pBdr>
        <w:spacing w:line="276" w:lineRule="auto"/>
        <w:ind w:left="2880" w:hanging="1080"/>
        <w:jc w:val="left"/>
        <w:rPr>
          <w:rFonts w:ascii="Arial" w:cs="Arial" w:eastAsia="Arial" w:hAnsi="Arial"/>
          <w:color w:val="000000"/>
          <w:sz w:val="24"/>
          <w:szCs w:val="24"/>
        </w:rPr>
      </w:pPr>
      <w:bookmarkStart w:colFirst="0" w:colLast="0" w:name="_heading=h.26in1rg" w:id="14"/>
      <w:bookmarkEnd w:id="14"/>
      <w:r w:rsidDel="00000000" w:rsidR="00000000" w:rsidRPr="00000000">
        <w:rPr>
          <w:rFonts w:ascii="Arial" w:cs="Arial" w:eastAsia="Arial" w:hAnsi="Arial"/>
          <w:color w:val="000000"/>
          <w:sz w:val="24"/>
          <w:szCs w:val="24"/>
          <w:rtl w:val="0"/>
        </w:rPr>
        <w:t xml:space="preserve">such other records as stated in the Order Form.</w:t>
      </w:r>
    </w:p>
    <w:p w:rsidR="00000000" w:rsidDel="00000000" w:rsidP="00000000" w:rsidRDefault="00000000" w:rsidRPr="00000000" w14:paraId="00000080">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all costs claimed by the Supplier shall be calculated at open market or competitively tendered prices with deductions for all discounts, rebates and taxes which can be recovered;</w:t>
      </w:r>
    </w:p>
    <w:p w:rsidR="00000000" w:rsidDel="00000000" w:rsidP="00000000" w:rsidRDefault="00000000" w:rsidRPr="00000000" w14:paraId="00000081">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the Buyer intends to pay less than the claimed amount, it shall notify the Supplier not later than 7 days before the due date for payment of that amount by stating the amount considered to be due and the basis upon which that sum is calculated; </w:t>
      </w:r>
    </w:p>
    <w:p w:rsidR="00000000" w:rsidDel="00000000" w:rsidP="00000000" w:rsidRDefault="00000000" w:rsidRPr="00000000" w14:paraId="00000082">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Buyer shall not withhold payment of a claimed amount unless it has notified the Supplier in accordance with paragraph 5.1.5 above; and</w:t>
      </w:r>
    </w:p>
    <w:p w:rsidR="00000000" w:rsidDel="00000000" w:rsidP="00000000" w:rsidRDefault="00000000" w:rsidRPr="00000000" w14:paraId="00000083">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bookmarkStart w:colFirst="0" w:colLast="0" w:name="_heading=h.lnxbz9" w:id="15"/>
      <w:bookmarkEnd w:id="15"/>
      <w:r w:rsidDel="00000000" w:rsidR="00000000" w:rsidRPr="00000000">
        <w:rPr>
          <w:rFonts w:ascii="Arial" w:cs="Arial" w:eastAsia="Arial" w:hAnsi="Arial"/>
          <w:color w:val="000000"/>
          <w:sz w:val="24"/>
          <w:szCs w:val="24"/>
          <w:rtl w:val="0"/>
        </w:rPr>
        <w:t xml:space="preserve">the maximum amount which can be claimed by the Supplier shall be capped at the Target Price; and</w:t>
      </w:r>
    </w:p>
    <w:p w:rsidR="00000000" w:rsidDel="00000000" w:rsidP="00000000" w:rsidRDefault="00000000" w:rsidRPr="00000000" w14:paraId="00000084">
      <w:pPr>
        <w:keepNext w:val="1"/>
        <w:numPr>
          <w:ilvl w:val="2"/>
          <w:numId w:val="1"/>
        </w:numPr>
        <w:pBdr>
          <w:top w:space="0" w:sz="0" w:val="nil"/>
          <w:left w:space="0" w:sz="0" w:val="nil"/>
          <w:bottom w:space="0" w:sz="0" w:val="nil"/>
          <w:right w:space="0" w:sz="0" w:val="nil"/>
          <w:between w:space="0" w:sz="0" w:val="nil"/>
        </w:pBdr>
        <w:spacing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the actual costs incurred are less than the agreed Target Cost than the actual price paid shall be assessed in accordance with paragraph 5.2 below.</w:t>
      </w:r>
    </w:p>
    <w:p w:rsidR="00000000" w:rsidDel="00000000" w:rsidP="00000000" w:rsidRDefault="00000000" w:rsidRPr="00000000" w14:paraId="00000085">
      <w:pPr>
        <w:keepNext w:val="1"/>
        <w:numPr>
          <w:ilvl w:val="1"/>
          <w:numId w:val="1"/>
        </w:numPr>
        <w:pBdr>
          <w:top w:space="0" w:sz="0" w:val="nil"/>
          <w:left w:space="0" w:sz="0" w:val="nil"/>
          <w:bottom w:space="0" w:sz="0" w:val="nil"/>
          <w:right w:space="0" w:sz="0" w:val="nil"/>
          <w:between w:space="0" w:sz="0" w:val="nil"/>
        </w:pBdr>
        <w:spacing w:line="276" w:lineRule="auto"/>
        <w:ind w:left="864" w:hanging="502"/>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Following the completion of Deliverables provided on a target price basis, the Buyer shall assess the total price to be paid and it shall be calculated in accordance with the following table:</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76" w:lineRule="auto"/>
        <w:ind w:hanging="2"/>
        <w:jc w:val="left"/>
        <w:rPr>
          <w:rFonts w:ascii="Arial" w:cs="Arial" w:eastAsia="Arial" w:hAnsi="Arial"/>
          <w:color w:val="000000"/>
          <w:sz w:val="24"/>
          <w:szCs w:val="24"/>
        </w:rPr>
      </w:pPr>
      <w:r w:rsidDel="00000000" w:rsidR="00000000" w:rsidRPr="00000000">
        <w:rPr>
          <w:rFonts w:ascii="Arial" w:cs="Arial" w:eastAsia="Arial" w:hAnsi="Arial"/>
          <w:i w:val="1"/>
          <w:color w:val="000000"/>
          <w:sz w:val="24"/>
          <w:szCs w:val="24"/>
          <w:highlight w:val="yellow"/>
          <w:rtl w:val="0"/>
        </w:rPr>
        <w:t xml:space="preserve">[</w:t>
      </w:r>
      <w:r w:rsidDel="00000000" w:rsidR="00000000" w:rsidRPr="00000000">
        <w:rPr>
          <w:rFonts w:ascii="Arial" w:cs="Arial" w:eastAsia="Arial" w:hAnsi="Arial"/>
          <w:b w:val="1"/>
          <w:i w:val="1"/>
          <w:color w:val="000000"/>
          <w:sz w:val="24"/>
          <w:szCs w:val="24"/>
          <w:highlight w:val="yellow"/>
          <w:rtl w:val="0"/>
        </w:rPr>
        <w:t xml:space="preserve">Buyer </w:t>
      </w:r>
      <w:r w:rsidDel="00000000" w:rsidR="00000000" w:rsidRPr="00000000">
        <w:rPr>
          <w:rFonts w:ascii="Arial" w:cs="Arial" w:eastAsia="Arial" w:hAnsi="Arial"/>
          <w:b w:val="1"/>
          <w:i w:val="1"/>
          <w:sz w:val="24"/>
          <w:szCs w:val="24"/>
          <w:highlight w:val="yellow"/>
          <w:rtl w:val="0"/>
        </w:rPr>
        <w:t xml:space="preserve">g</w:t>
      </w:r>
      <w:r w:rsidDel="00000000" w:rsidR="00000000" w:rsidRPr="00000000">
        <w:rPr>
          <w:rFonts w:ascii="Arial" w:cs="Arial" w:eastAsia="Arial" w:hAnsi="Arial"/>
          <w:b w:val="1"/>
          <w:i w:val="1"/>
          <w:color w:val="000000"/>
          <w:sz w:val="24"/>
          <w:szCs w:val="24"/>
          <w:highlight w:val="yellow"/>
          <w:rtl w:val="0"/>
        </w:rPr>
        <w:t xml:space="preserve">uidance:</w:t>
      </w:r>
      <w:r w:rsidDel="00000000" w:rsidR="00000000" w:rsidRPr="00000000">
        <w:rPr>
          <w:rFonts w:ascii="Arial" w:cs="Arial" w:eastAsia="Arial" w:hAnsi="Arial"/>
          <w:i w:val="1"/>
          <w:color w:val="000000"/>
          <w:sz w:val="24"/>
          <w:szCs w:val="24"/>
          <w:highlight w:val="yellow"/>
          <w:rtl w:val="0"/>
        </w:rPr>
        <w:t xml:space="preserve"> Buyer to include table based on requirements, this may include adding or deleting rows to amend share lines and provide cap on pain / gain]</w:t>
      </w:r>
      <w:r w:rsidDel="00000000" w:rsidR="00000000" w:rsidRPr="00000000">
        <w:rPr>
          <w:rtl w:val="0"/>
        </w:rPr>
      </w:r>
    </w:p>
    <w:tbl>
      <w:tblPr>
        <w:tblStyle w:val="Table1"/>
        <w:tblW w:w="8234.0" w:type="dxa"/>
        <w:jc w:val="left"/>
        <w:tblInd w:w="10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17"/>
        <w:gridCol w:w="4117"/>
        <w:tblGridChange w:id="0">
          <w:tblGrid>
            <w:gridCol w:w="4117"/>
            <w:gridCol w:w="4117"/>
          </w:tblGrid>
        </w:tblGridChange>
      </w:tblGrid>
      <w:tr>
        <w:trPr>
          <w:cantSplit w:val="0"/>
          <w:tblHeader w:val="0"/>
        </w:trPr>
        <w:tc>
          <w:tcPr/>
          <w:p w:rsidR="00000000" w:rsidDel="00000000" w:rsidP="00000000" w:rsidRDefault="00000000" w:rsidRPr="00000000" w14:paraId="00000087">
            <w:pPr>
              <w:spacing w:after="120" w:line="276" w:lineRule="auto"/>
              <w:ind w:hanging="2"/>
              <w:jc w:val="left"/>
              <w:rPr>
                <w:rFonts w:ascii="Arial" w:cs="Arial" w:eastAsia="Arial" w:hAnsi="Arial"/>
                <w:color w:val="000000"/>
                <w:sz w:val="24"/>
                <w:szCs w:val="24"/>
                <w:highlight w:val="yellow"/>
              </w:rPr>
            </w:pPr>
            <w:r w:rsidDel="00000000" w:rsidR="00000000" w:rsidRPr="00000000">
              <w:rPr>
                <w:rFonts w:ascii="Arial" w:cs="Arial" w:eastAsia="Arial" w:hAnsi="Arial"/>
                <w:color w:val="000000"/>
                <w:sz w:val="24"/>
                <w:szCs w:val="24"/>
                <w:highlight w:val="yellow"/>
                <w:rtl w:val="0"/>
              </w:rPr>
              <w:t xml:space="preserve">[Costs Actually Incurred</w:t>
            </w:r>
          </w:p>
        </w:tc>
        <w:tc>
          <w:tcPr/>
          <w:p w:rsidR="00000000" w:rsidDel="00000000" w:rsidP="00000000" w:rsidRDefault="00000000" w:rsidRPr="00000000" w14:paraId="00000088">
            <w:pPr>
              <w:spacing w:after="120" w:line="276" w:lineRule="auto"/>
              <w:ind w:hanging="2"/>
              <w:jc w:val="left"/>
              <w:rPr>
                <w:rFonts w:ascii="Arial" w:cs="Arial" w:eastAsia="Arial" w:hAnsi="Arial"/>
                <w:color w:val="000000"/>
                <w:sz w:val="24"/>
                <w:szCs w:val="24"/>
                <w:highlight w:val="yellow"/>
              </w:rPr>
            </w:pPr>
            <w:bookmarkStart w:colFirst="0" w:colLast="0" w:name="_heading=h.w5iiwrhlyayq" w:id="16"/>
            <w:bookmarkEnd w:id="16"/>
            <w:r w:rsidDel="00000000" w:rsidR="00000000" w:rsidRPr="00000000">
              <w:rPr>
                <w:rFonts w:ascii="Arial" w:cs="Arial" w:eastAsia="Arial" w:hAnsi="Arial"/>
                <w:color w:val="000000"/>
                <w:sz w:val="24"/>
                <w:szCs w:val="24"/>
                <w:highlight w:val="yellow"/>
                <w:rtl w:val="0"/>
              </w:rPr>
              <w:t xml:space="preserve">Price to be paid to the Supplier]</w:t>
            </w:r>
          </w:p>
        </w:tc>
      </w:tr>
      <w:tr>
        <w:trPr>
          <w:cantSplit w:val="0"/>
          <w:tblHeader w:val="0"/>
        </w:trPr>
        <w:tc>
          <w:tcPr/>
          <w:p w:rsidR="00000000" w:rsidDel="00000000" w:rsidP="00000000" w:rsidRDefault="00000000" w:rsidRPr="00000000" w14:paraId="00000089">
            <w:pPr>
              <w:spacing w:after="120" w:line="276" w:lineRule="auto"/>
              <w:ind w:hanging="2"/>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8A">
            <w:pPr>
              <w:spacing w:after="120" w:line="276" w:lineRule="auto"/>
              <w:ind w:hanging="2"/>
              <w:jc w:val="left"/>
              <w:rPr>
                <w:rFonts w:ascii="Arial" w:cs="Arial" w:eastAsia="Arial" w:hAnsi="Arial"/>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B">
            <w:pPr>
              <w:spacing w:after="120" w:line="276" w:lineRule="auto"/>
              <w:ind w:hanging="2"/>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8C">
            <w:pPr>
              <w:spacing w:after="120" w:line="276" w:lineRule="auto"/>
              <w:ind w:hanging="2"/>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tc>
      </w:tr>
    </w:tbl>
    <w:p w:rsidR="00000000" w:rsidDel="00000000" w:rsidP="00000000" w:rsidRDefault="00000000" w:rsidRPr="00000000" w14:paraId="0000008D">
      <w:pPr>
        <w:keepNext w:val="1"/>
        <w:numPr>
          <w:ilvl w:val="0"/>
          <w:numId w:val="1"/>
        </w:numPr>
        <w:pBdr>
          <w:top w:space="0" w:sz="0" w:val="nil"/>
          <w:left w:space="0" w:sz="0" w:val="nil"/>
          <w:bottom w:space="0" w:sz="0" w:val="nil"/>
          <w:right w:space="0" w:sz="0" w:val="nil"/>
          <w:between w:space="0" w:sz="0" w:val="nil"/>
        </w:pBdr>
        <w:spacing w:line="276" w:lineRule="auto"/>
        <w:ind w:left="0" w:hanging="2"/>
        <w:jc w:val="left"/>
        <w:rPr>
          <w:rFonts w:ascii="Arial" w:cs="Arial" w:eastAsia="Arial" w:hAnsi="Arial"/>
          <w:b w:val="1"/>
          <w:color w:val="000000"/>
          <w:sz w:val="24"/>
          <w:szCs w:val="24"/>
        </w:rPr>
      </w:pPr>
      <w:bookmarkStart w:colFirst="0" w:colLast="0" w:name="_heading=h.35nkun2" w:id="17"/>
      <w:bookmarkEnd w:id="17"/>
      <w:r w:rsidDel="00000000" w:rsidR="00000000" w:rsidRPr="00000000">
        <w:rPr>
          <w:rFonts w:ascii="Arial" w:cs="Arial" w:eastAsia="Arial" w:hAnsi="Arial"/>
          <w:b w:val="1"/>
          <w:color w:val="000000"/>
          <w:sz w:val="24"/>
          <w:szCs w:val="24"/>
          <w:rtl w:val="0"/>
        </w:rPr>
        <w:t xml:space="preserve">Additional Works</w:t>
      </w:r>
    </w:p>
    <w:p w:rsidR="00000000" w:rsidDel="00000000" w:rsidP="00000000" w:rsidRDefault="00000000" w:rsidRPr="00000000" w14:paraId="0000008E">
      <w:pPr>
        <w:keepNext w:val="1"/>
        <w:numPr>
          <w:ilvl w:val="1"/>
          <w:numId w:val="1"/>
        </w:numPr>
        <w:pBdr>
          <w:top w:space="0" w:sz="0" w:val="nil"/>
          <w:left w:space="0" w:sz="0" w:val="nil"/>
          <w:bottom w:space="0" w:sz="0" w:val="nil"/>
          <w:right w:space="0" w:sz="0" w:val="nil"/>
          <w:between w:space="0" w:sz="0" w:val="nil"/>
        </w:pBdr>
        <w:spacing w:line="276" w:lineRule="auto"/>
        <w:ind w:left="864" w:hanging="502"/>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price for Additional Works shall be calculated using the mechanism set out in Schedule 28 (</w:t>
      </w:r>
      <w:r w:rsidDel="00000000" w:rsidR="00000000" w:rsidRPr="00000000">
        <w:rPr>
          <w:rFonts w:ascii="Arial" w:cs="Arial" w:eastAsia="Arial" w:hAnsi="Arial"/>
          <w:i w:val="1"/>
          <w:color w:val="000000"/>
          <w:sz w:val="24"/>
          <w:szCs w:val="24"/>
          <w:rtl w:val="0"/>
        </w:rPr>
        <w:t xml:space="preserve">Additional Works</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8F">
      <w:pPr>
        <w:keepNext w:val="1"/>
        <w:numPr>
          <w:ilvl w:val="0"/>
          <w:numId w:val="1"/>
        </w:numPr>
        <w:pBdr>
          <w:top w:space="0" w:sz="0" w:val="nil"/>
          <w:left w:space="0" w:sz="0" w:val="nil"/>
          <w:bottom w:space="0" w:sz="0" w:val="nil"/>
          <w:right w:space="0" w:sz="0" w:val="nil"/>
          <w:between w:space="0" w:sz="0" w:val="nil"/>
        </w:pBdr>
        <w:spacing w:line="276" w:lineRule="auto"/>
        <w:ind w:left="0" w:firstLine="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I</w:t>
      </w:r>
      <w:r w:rsidDel="00000000" w:rsidR="00000000" w:rsidRPr="00000000">
        <w:rPr>
          <w:rFonts w:ascii="Arial" w:cs="Arial" w:eastAsia="Arial" w:hAnsi="Arial"/>
          <w:b w:val="1"/>
          <w:sz w:val="24"/>
          <w:szCs w:val="24"/>
          <w:rtl w:val="0"/>
        </w:rPr>
        <w:t xml:space="preserve">nvoicing</w:t>
      </w:r>
      <w:r w:rsidDel="00000000" w:rsidR="00000000" w:rsidRPr="00000000">
        <w:rPr>
          <w:rtl w:val="0"/>
        </w:rPr>
      </w:r>
    </w:p>
    <w:p w:rsidR="00000000" w:rsidDel="00000000" w:rsidP="00000000" w:rsidRDefault="00000000" w:rsidRPr="00000000" w14:paraId="00000090">
      <w:pPr>
        <w:keepNext w:val="1"/>
        <w:numPr>
          <w:ilvl w:val="1"/>
          <w:numId w:val="1"/>
        </w:numPr>
        <w:pBdr>
          <w:top w:space="0" w:sz="0" w:val="nil"/>
          <w:left w:space="0" w:sz="0" w:val="nil"/>
          <w:bottom w:space="0" w:sz="0" w:val="nil"/>
          <w:right w:space="0" w:sz="0" w:val="nil"/>
          <w:between w:space="0" w:sz="0" w:val="nil"/>
        </w:pBdr>
        <w:spacing w:line="276" w:lineRule="auto"/>
        <w:ind w:left="864" w:hanging="502"/>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addition to its obligations in </w:t>
      </w:r>
      <w:r w:rsidDel="00000000" w:rsidR="00000000" w:rsidRPr="00000000">
        <w:rPr>
          <w:rFonts w:ascii="Arial" w:cs="Arial" w:eastAsia="Arial" w:hAnsi="Arial"/>
          <w:sz w:val="24"/>
          <w:szCs w:val="24"/>
          <w:rtl w:val="0"/>
        </w:rPr>
        <w:t xml:space="preserve">C</w:t>
      </w:r>
      <w:r w:rsidDel="00000000" w:rsidR="00000000" w:rsidRPr="00000000">
        <w:rPr>
          <w:rFonts w:ascii="Arial" w:cs="Arial" w:eastAsia="Arial" w:hAnsi="Arial"/>
          <w:color w:val="000000"/>
          <w:sz w:val="24"/>
          <w:szCs w:val="24"/>
          <w:rtl w:val="0"/>
        </w:rPr>
        <w:t xml:space="preserve">lause 4 in the General Terms (</w:t>
      </w:r>
      <w:r w:rsidDel="00000000" w:rsidR="00000000" w:rsidRPr="00000000">
        <w:rPr>
          <w:rFonts w:ascii="Arial" w:cs="Arial" w:eastAsia="Arial" w:hAnsi="Arial"/>
          <w:i w:val="1"/>
          <w:color w:val="000000"/>
          <w:sz w:val="24"/>
          <w:szCs w:val="24"/>
          <w:rtl w:val="0"/>
        </w:rPr>
        <w:t xml:space="preserve">Pric</w:t>
      </w:r>
      <w:r w:rsidDel="00000000" w:rsidR="00000000" w:rsidRPr="00000000">
        <w:rPr>
          <w:rFonts w:ascii="Arial" w:cs="Arial" w:eastAsia="Arial" w:hAnsi="Arial"/>
          <w:i w:val="1"/>
          <w:sz w:val="24"/>
          <w:szCs w:val="24"/>
          <w:rtl w:val="0"/>
        </w:rPr>
        <w:t xml:space="preserve">ing</w:t>
      </w:r>
      <w:r w:rsidDel="00000000" w:rsidR="00000000" w:rsidRPr="00000000">
        <w:rPr>
          <w:rFonts w:ascii="Arial" w:cs="Arial" w:eastAsia="Arial" w:hAnsi="Arial"/>
          <w:i w:val="1"/>
          <w:color w:val="000000"/>
          <w:sz w:val="24"/>
          <w:szCs w:val="24"/>
          <w:rtl w:val="0"/>
        </w:rPr>
        <w:t xml:space="preserve"> and </w:t>
      </w:r>
      <w:r w:rsidDel="00000000" w:rsidR="00000000" w:rsidRPr="00000000">
        <w:rPr>
          <w:rFonts w:ascii="Arial" w:cs="Arial" w:eastAsia="Arial" w:hAnsi="Arial"/>
          <w:i w:val="1"/>
          <w:sz w:val="24"/>
          <w:szCs w:val="24"/>
          <w:rtl w:val="0"/>
        </w:rPr>
        <w:t xml:space="preserve">P</w:t>
      </w:r>
      <w:r w:rsidDel="00000000" w:rsidR="00000000" w:rsidRPr="00000000">
        <w:rPr>
          <w:rFonts w:ascii="Arial" w:cs="Arial" w:eastAsia="Arial" w:hAnsi="Arial"/>
          <w:i w:val="1"/>
          <w:color w:val="000000"/>
          <w:sz w:val="24"/>
          <w:szCs w:val="24"/>
          <w:rtl w:val="0"/>
        </w:rPr>
        <w:t xml:space="preserve">ayments</w:t>
      </w:r>
      <w:r w:rsidDel="00000000" w:rsidR="00000000" w:rsidRPr="00000000">
        <w:rPr>
          <w:rFonts w:ascii="Arial" w:cs="Arial" w:eastAsia="Arial" w:hAnsi="Arial"/>
          <w:color w:val="000000"/>
          <w:sz w:val="24"/>
          <w:szCs w:val="24"/>
          <w:rtl w:val="0"/>
        </w:rPr>
        <w:t xml:space="preserve">) the Supplier shall ensure that each invoice it prepares in relation to the Charges:</w:t>
      </w:r>
    </w:p>
    <w:p w:rsidR="00000000" w:rsidDel="00000000" w:rsidP="00000000" w:rsidRDefault="00000000" w:rsidRPr="00000000" w14:paraId="00000091">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specifies the period to which the invoice relates;</w:t>
      </w:r>
    </w:p>
    <w:p w:rsidR="00000000" w:rsidDel="00000000" w:rsidP="00000000" w:rsidRDefault="00000000" w:rsidRPr="00000000" w14:paraId="00000092">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specifies the Deliverables to which the invoice relates;</w:t>
      </w:r>
    </w:p>
    <w:p w:rsidR="00000000" w:rsidDel="00000000" w:rsidP="00000000" w:rsidRDefault="00000000" w:rsidRPr="00000000" w14:paraId="00000093">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sets out the calculations used to reach the amount of the Charges that are being invoiced;</w:t>
      </w:r>
    </w:p>
    <w:p w:rsidR="00000000" w:rsidDel="00000000" w:rsidP="00000000" w:rsidRDefault="00000000" w:rsidRPr="00000000" w14:paraId="00000094">
      <w:pPr>
        <w:keepNext w:val="1"/>
        <w:numPr>
          <w:ilvl w:val="2"/>
          <w:numId w:val="1"/>
        </w:numPr>
        <w:pBdr>
          <w:top w:space="0" w:sz="0" w:val="nil"/>
          <w:left w:space="0" w:sz="0" w:val="nil"/>
          <w:bottom w:space="0" w:sz="0" w:val="nil"/>
          <w:right w:space="0" w:sz="0" w:val="nil"/>
          <w:between w:space="0" w:sz="0" w:val="nil"/>
        </w:pBdr>
        <w:spacing w:after="0" w:line="276" w:lineRule="auto"/>
        <w:ind w:left="1926" w:hanging="936"/>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separately itemises any expense or taxes said to be payable by the Buyer; and</w:t>
      </w:r>
    </w:p>
    <w:p w:rsidR="00000000" w:rsidDel="00000000" w:rsidP="00000000" w:rsidRDefault="00000000" w:rsidRPr="00000000" w14:paraId="00000095">
      <w:pPr>
        <w:keepNext w:val="1"/>
        <w:numPr>
          <w:ilvl w:val="2"/>
          <w:numId w:val="1"/>
        </w:numPr>
        <w:pBdr>
          <w:top w:space="0" w:sz="0" w:val="nil"/>
          <w:left w:space="0" w:sz="0" w:val="nil"/>
          <w:bottom w:space="0" w:sz="0" w:val="nil"/>
          <w:right w:space="0" w:sz="0" w:val="nil"/>
          <w:between w:space="0" w:sz="0" w:val="nil"/>
        </w:pBdr>
        <w:spacing w:line="276" w:lineRule="auto"/>
        <w:ind w:left="1926" w:hanging="936"/>
        <w:jc w:val="left"/>
        <w:rPr>
          <w:rFonts w:ascii="Arial" w:cs="Arial" w:eastAsia="Arial" w:hAnsi="Arial"/>
          <w:color w:val="000000"/>
          <w:sz w:val="24"/>
          <w:szCs w:val="24"/>
        </w:rPr>
      </w:pPr>
      <w:bookmarkStart w:colFirst="0" w:colLast="0" w:name="_heading=h.3j2qqm3" w:id="18"/>
      <w:bookmarkEnd w:id="18"/>
      <w:r w:rsidDel="00000000" w:rsidR="00000000" w:rsidRPr="00000000">
        <w:rPr>
          <w:rFonts w:ascii="Arial" w:cs="Arial" w:eastAsia="Arial" w:hAnsi="Arial"/>
          <w:color w:val="000000"/>
          <w:sz w:val="24"/>
          <w:szCs w:val="24"/>
          <w:rtl w:val="0"/>
        </w:rPr>
        <w:t xml:space="preserve">specifies the Supplier's VAT code.</w:t>
      </w:r>
    </w:p>
    <w:p w:rsidR="00000000" w:rsidDel="00000000" w:rsidP="00000000" w:rsidRDefault="00000000" w:rsidRPr="00000000" w14:paraId="00000096">
      <w:pPr>
        <w:keepNext w:val="1"/>
        <w:numPr>
          <w:ilvl w:val="1"/>
          <w:numId w:val="1"/>
        </w:numPr>
        <w:pBdr>
          <w:top w:space="0" w:sz="0" w:val="nil"/>
          <w:left w:space="0" w:sz="0" w:val="nil"/>
          <w:bottom w:space="0" w:sz="0" w:val="nil"/>
          <w:right w:space="0" w:sz="0" w:val="nil"/>
          <w:between w:space="0" w:sz="0" w:val="nil"/>
        </w:pBdr>
        <w:spacing w:line="276" w:lineRule="auto"/>
        <w:ind w:left="864" w:hanging="502"/>
        <w:jc w:val="left"/>
        <w:rPr>
          <w:rFonts w:ascii="Arial" w:cs="Arial" w:eastAsia="Arial" w:hAnsi="Arial"/>
          <w:color w:val="000000"/>
          <w:sz w:val="24"/>
          <w:szCs w:val="24"/>
        </w:rPr>
        <w:sectPr>
          <w:type w:val="nextPage"/>
          <w:pgSz w:h="16834" w:w="11909" w:orient="portrait"/>
          <w:pgMar w:bottom="1440" w:top="1440" w:left="1440" w:right="1440" w:header="706" w:footer="706"/>
          <w:titlePg w:val="1"/>
        </w:sectPr>
      </w:pPr>
      <w:r w:rsidDel="00000000" w:rsidR="00000000" w:rsidRPr="00000000">
        <w:rPr>
          <w:rFonts w:ascii="Arial" w:cs="Arial" w:eastAsia="Arial" w:hAnsi="Arial"/>
          <w:color w:val="000000"/>
          <w:sz w:val="24"/>
          <w:szCs w:val="24"/>
          <w:rtl w:val="0"/>
        </w:rPr>
        <w:t xml:space="preserve">The Supplier shall prepare a draft of each invoice and supporting information for each Service Month and submit it to the Buyer within 14 days (or such other period as the Buyer agrees) following the end of the Service Month. Following receipt of such draft invoice the Buyer shall be entitled to reject it where it does not comply with the requirements of this Call-Off Contract. The Supplier will promptly respond to any queries that the Buyer has in relation to a draft invoice. If the Buyer approves the invoice (such approval not to be unreasonably withheld) then it will notify the Supplier and the Supplier shall be entitled to prepare a final form of that invoice in the approved form. The Supplier shall only be entitled to issue and the Buyer shall not be obliged to pay for any final form invoice which has been issued in accordance with this Call-Off Contract and specifically this procedure.</w:t>
      </w:r>
    </w:p>
    <w:p w:rsidR="00000000" w:rsidDel="00000000" w:rsidP="00000000" w:rsidRDefault="00000000" w:rsidRPr="00000000" w14:paraId="00000097">
      <w:pPr>
        <w:spacing w:line="276" w:lineRule="auto"/>
        <w:ind w:hanging="2"/>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Annex 1 – Fixed Fee Call-Off Pricing Principles</w:t>
      </w:r>
    </w:p>
    <w:p w:rsidR="00000000" w:rsidDel="00000000" w:rsidP="00000000" w:rsidRDefault="00000000" w:rsidRPr="00000000" w14:paraId="00000098">
      <w:pPr>
        <w:spacing w:line="276" w:lineRule="auto"/>
        <w:ind w:hanging="2"/>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7672898" cy="5145087"/>
            <wp:effectExtent b="0" l="0" r="0" t="0"/>
            <wp:docPr id="2"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7672898" cy="5145087"/>
                    </a:xfrm>
                    <a:prstGeom prst="rect"/>
                    <a:ln/>
                  </pic:spPr>
                </pic:pic>
              </a:graphicData>
            </a:graphic>
          </wp:inline>
        </w:drawing>
      </w:r>
      <w:r w:rsidDel="00000000" w:rsidR="00000000" w:rsidRPr="00000000">
        <w:rPr>
          <w:rtl w:val="0"/>
        </w:rPr>
      </w:r>
    </w:p>
    <w:sectPr>
      <w:type w:val="nextPage"/>
      <w:pgSz w:h="11909" w:w="16834" w:orient="landscape"/>
      <w:pgMar w:bottom="1440" w:top="1440" w:left="1440" w:right="1440"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ind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Framework Ref: RM</w:t>
    </w:r>
    <w:r w:rsidDel="00000000" w:rsidR="00000000" w:rsidRPr="00000000">
      <w:rPr>
        <w:rFonts w:ascii="Arial" w:cs="Arial" w:eastAsia="Arial" w:hAnsi="Arial"/>
        <w:sz w:val="20"/>
        <w:szCs w:val="20"/>
        <w:rtl w:val="0"/>
      </w:rPr>
      <w:t xml:space="preserve">6378</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ind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Project Version: v1.0</w:t>
      <w:tab/>
      <w:tab/>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ind w:hanging="2"/>
      <w:rPr>
        <w:rFonts w:ascii="Arial" w:cs="Arial" w:eastAsia="Arial" w:hAnsi="Arial"/>
        <w:color w:val="a6a6a6"/>
        <w:sz w:val="20"/>
        <w:szCs w:val="20"/>
      </w:rPr>
    </w:pPr>
    <w:bookmarkStart w:colFirst="0" w:colLast="0" w:name="_heading=h.8ezfbaa0hz2u" w:id="19"/>
    <w:bookmarkEnd w:id="19"/>
    <w:r w:rsidDel="00000000" w:rsidR="00000000" w:rsidRPr="00000000">
      <w:rPr>
        <w:rFonts w:ascii="Arial" w:cs="Arial" w:eastAsia="Arial" w:hAnsi="Arial"/>
        <w:color w:val="000000"/>
        <w:sz w:val="20"/>
        <w:szCs w:val="20"/>
        <w:rtl w:val="0"/>
      </w:rPr>
      <w:t xml:space="preserve">Model Version: v1.0</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Framework Ref: RM</w:t>
    </w:r>
    <w:r w:rsidDel="00000000" w:rsidR="00000000" w:rsidRPr="00000000">
      <w:rPr>
        <w:rFonts w:ascii="Arial" w:cs="Arial" w:eastAsia="Arial" w:hAnsi="Arial"/>
        <w:sz w:val="20"/>
        <w:szCs w:val="20"/>
        <w:rtl w:val="0"/>
      </w:rPr>
      <w:t xml:space="preserve">6378</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Project Version: v</w:t>
    </w:r>
    <w:r w:rsidDel="00000000" w:rsidR="00000000" w:rsidRPr="00000000">
      <w:rPr>
        <w:rFonts w:ascii="Arial" w:cs="Arial" w:eastAsia="Arial" w:hAnsi="Arial"/>
        <w:sz w:val="20"/>
        <w:szCs w:val="20"/>
        <w:rtl w:val="0"/>
      </w:rPr>
      <w:t xml:space="preserve">1</w:t>
    </w:r>
    <w:r w:rsidDel="00000000" w:rsidR="00000000" w:rsidRPr="00000000">
      <w:rPr>
        <w:rFonts w:ascii="Arial" w:cs="Arial" w:eastAsia="Arial" w:hAnsi="Arial"/>
        <w:color w:val="000000"/>
        <w:sz w:val="20"/>
        <w:szCs w:val="20"/>
        <w:rtl w:val="0"/>
      </w:rPr>
      <w:t xml:space="preserve">.0</w:t>
      <w:tab/>
      <w:tab/>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hanging="2"/>
      <w:rPr>
        <w:rFonts w:ascii="Arial" w:cs="Arial" w:eastAsia="Arial" w:hAnsi="Arial"/>
        <w:color w:val="a6a6a6"/>
        <w:sz w:val="20"/>
        <w:szCs w:val="20"/>
      </w:rPr>
    </w:pPr>
    <w:r w:rsidDel="00000000" w:rsidR="00000000" w:rsidRPr="00000000">
      <w:rPr>
        <w:rFonts w:ascii="Arial" w:cs="Arial" w:eastAsia="Arial" w:hAnsi="Arial"/>
        <w:color w:val="000000"/>
        <w:sz w:val="20"/>
        <w:szCs w:val="20"/>
        <w:rtl w:val="0"/>
      </w:rPr>
      <w:t xml:space="preserve">Model Version: v1.0</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153"/>
        <w:tab w:val="right" w:leader="none" w:pos="8306"/>
      </w:tabs>
      <w:ind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tabs>
        <w:tab w:val="center" w:leader="none" w:pos="4513"/>
        <w:tab w:val="right" w:leader="none" w:pos="9026"/>
      </w:tabs>
      <w:spacing w:after="0" w:line="276" w:lineRule="auto"/>
      <w:ind w:hanging="2"/>
      <w:rPr>
        <w:rFonts w:ascii="Arial" w:cs="Arial" w:eastAsia="Arial" w:hAnsi="Arial"/>
        <w:b w:val="1"/>
      </w:rPr>
    </w:pPr>
    <w:r w:rsidDel="00000000" w:rsidR="00000000" w:rsidRPr="00000000">
      <w:rPr>
        <w:rFonts w:ascii="Arial" w:cs="Arial" w:eastAsia="Arial" w:hAnsi="Arial"/>
        <w:b w:val="1"/>
        <w:rtl w:val="0"/>
      </w:rPr>
      <w:t xml:space="preserve">Call-Off Schedule 5 (Pricing Details) </w:t>
    </w:r>
  </w:p>
  <w:p w:rsidR="00000000" w:rsidDel="00000000" w:rsidP="00000000" w:rsidRDefault="00000000" w:rsidRPr="00000000" w14:paraId="0000009B">
    <w:pPr>
      <w:tabs>
        <w:tab w:val="center" w:leader="none" w:pos="4513"/>
        <w:tab w:val="right" w:leader="none" w:pos="9026"/>
      </w:tabs>
      <w:spacing w:after="0" w:line="276" w:lineRule="auto"/>
      <w:ind w:hanging="2"/>
      <w:rPr>
        <w:rFonts w:ascii="Arial" w:cs="Arial" w:eastAsia="Arial" w:hAnsi="Arial"/>
      </w:rPr>
    </w:pPr>
    <w:r w:rsidDel="00000000" w:rsidR="00000000" w:rsidRPr="00000000">
      <w:rPr>
        <w:rFonts w:ascii="Arial" w:cs="Arial" w:eastAsia="Arial" w:hAnsi="Arial"/>
        <w:rtl w:val="0"/>
      </w:rPr>
      <w:t xml:space="preserve">Call-Off Ref:</w:t>
    </w:r>
  </w:p>
  <w:p w:rsidR="00000000" w:rsidDel="00000000" w:rsidP="00000000" w:rsidRDefault="00000000" w:rsidRPr="00000000" w14:paraId="0000009C">
    <w:pPr>
      <w:tabs>
        <w:tab w:val="center" w:leader="none" w:pos="4513"/>
        <w:tab w:val="right" w:leader="none" w:pos="9026"/>
      </w:tabs>
      <w:spacing w:after="0" w:line="276" w:lineRule="auto"/>
      <w:ind w:hanging="2"/>
      <w:rPr>
        <w:rFonts w:ascii="Arial" w:cs="Arial" w:eastAsia="Arial" w:hAnsi="Arial"/>
      </w:rPr>
    </w:pPr>
    <w:r w:rsidDel="00000000" w:rsidR="00000000" w:rsidRPr="00000000">
      <w:rPr>
        <w:rFonts w:ascii="Arial" w:cs="Arial" w:eastAsia="Arial" w:hAnsi="Arial"/>
        <w:rtl w:val="0"/>
      </w:rPr>
      <w:t xml:space="preserve">Crown Copyright 2021</w:t>
    </w:r>
  </w:p>
  <w:p w:rsidR="00000000" w:rsidDel="00000000" w:rsidP="00000000" w:rsidRDefault="00000000" w:rsidRPr="00000000" w14:paraId="0000009D">
    <w:pPr>
      <w:tabs>
        <w:tab w:val="center" w:leader="none" w:pos="4513"/>
        <w:tab w:val="right" w:leader="none" w:pos="9026"/>
      </w:tabs>
      <w:spacing w:after="0" w:line="276" w:lineRule="auto"/>
      <w:ind w:hanging="2"/>
      <w:rPr>
        <w:rFonts w:ascii="Arial" w:cs="Arial" w:eastAsia="Arial" w:hAnsi="Arial"/>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tabs>
        <w:tab w:val="center" w:leader="none" w:pos="4513"/>
        <w:tab w:val="right" w:leader="none" w:pos="9026"/>
      </w:tabs>
      <w:spacing w:after="0" w:line="240" w:lineRule="auto"/>
      <w:ind w:firstLine="0"/>
      <w:jc w:val="left"/>
      <w:rPr>
        <w:rFonts w:ascii="Arial" w:cs="Arial" w:eastAsia="Arial" w:hAnsi="Arial"/>
      </w:rPr>
    </w:pPr>
    <w:r w:rsidDel="00000000" w:rsidR="00000000" w:rsidRPr="00000000">
      <w:rPr>
        <w:rFonts w:ascii="Arial" w:cs="Arial" w:eastAsia="Arial" w:hAnsi="Arial"/>
        <w:b w:val="1"/>
        <w:rtl w:val="0"/>
      </w:rPr>
      <w:t xml:space="preserve">Call-Off Schedule 5 (Pricing Details)</w:t>
    </w:r>
    <w:r w:rsidDel="00000000" w:rsidR="00000000" w:rsidRPr="00000000">
      <w:rPr>
        <w:rtl w:val="0"/>
      </w:rPr>
    </w:r>
  </w:p>
  <w:p w:rsidR="00000000" w:rsidDel="00000000" w:rsidP="00000000" w:rsidRDefault="00000000" w:rsidRPr="00000000" w14:paraId="0000009F">
    <w:pPr>
      <w:tabs>
        <w:tab w:val="center" w:leader="none" w:pos="4513"/>
        <w:tab w:val="right" w:leader="none" w:pos="9026"/>
      </w:tabs>
      <w:spacing w:after="0" w:line="240" w:lineRule="auto"/>
      <w:ind w:firstLine="0"/>
      <w:jc w:val="left"/>
      <w:rPr>
        <w:rFonts w:ascii="Arial" w:cs="Arial" w:eastAsia="Arial" w:hAnsi="Arial"/>
      </w:rPr>
    </w:pPr>
    <w:r w:rsidDel="00000000" w:rsidR="00000000" w:rsidRPr="00000000">
      <w:rPr>
        <w:rFonts w:ascii="Arial" w:cs="Arial" w:eastAsia="Arial" w:hAnsi="Arial"/>
        <w:rtl w:val="0"/>
      </w:rPr>
      <w:t xml:space="preserve">Call-Off Ref:</w:t>
    </w:r>
  </w:p>
  <w:p w:rsidR="00000000" w:rsidDel="00000000" w:rsidP="00000000" w:rsidRDefault="00000000" w:rsidRPr="00000000" w14:paraId="000000A0">
    <w:pPr>
      <w:tabs>
        <w:tab w:val="center" w:leader="none" w:pos="4513"/>
        <w:tab w:val="right" w:leader="none" w:pos="9026"/>
      </w:tabs>
      <w:spacing w:after="0" w:line="240" w:lineRule="auto"/>
      <w:ind w:firstLine="0"/>
      <w:jc w:val="left"/>
      <w:rPr/>
    </w:pPr>
    <w:r w:rsidDel="00000000" w:rsidR="00000000" w:rsidRPr="00000000">
      <w:rPr>
        <w:rFonts w:ascii="Arial" w:cs="Arial" w:eastAsia="Arial" w:hAnsi="Arial"/>
        <w:rtl w:val="0"/>
      </w:rPr>
      <w:t xml:space="preserve">Crown Copyright 2025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smallCaps w:val="0"/>
        <w:vertAlign w:val="baseline"/>
      </w:rPr>
    </w:lvl>
    <w:lvl w:ilvl="1">
      <w:start w:val="1"/>
      <w:numFmt w:val="decimal"/>
      <w:lvlText w:val="%1.%2"/>
      <w:lvlJc w:val="left"/>
      <w:pPr>
        <w:ind w:left="864" w:hanging="502"/>
      </w:pPr>
      <w:rPr>
        <w:b w:val="0"/>
        <w:smallCaps w:val="0"/>
        <w:vertAlign w:val="baseline"/>
      </w:rPr>
    </w:lvl>
    <w:lvl w:ilvl="2">
      <w:start w:val="1"/>
      <w:numFmt w:val="decimal"/>
      <w:lvlText w:val="%1.%2.%3"/>
      <w:lvlJc w:val="left"/>
      <w:pPr>
        <w:ind w:left="1926" w:hanging="936"/>
      </w:pPr>
      <w:rPr>
        <w:b w:val="0"/>
        <w:smallCaps w:val="0"/>
        <w:vertAlign w:val="baseline"/>
      </w:rPr>
    </w:lvl>
    <w:lvl w:ilvl="3">
      <w:start w:val="1"/>
      <w:numFmt w:val="decimal"/>
      <w:lvlText w:val="%1.%2.%3.%4"/>
      <w:lvlJc w:val="left"/>
      <w:pPr>
        <w:ind w:left="2880" w:hanging="1080"/>
      </w:pPr>
      <w:rPr>
        <w:smallCaps w:val="0"/>
        <w:vertAlign w:val="baseline"/>
      </w:rPr>
    </w:lvl>
    <w:lvl w:ilvl="4">
      <w:start w:val="1"/>
      <w:numFmt w:val="upperLetter"/>
      <w:lvlText w:val="(%5)"/>
      <w:lvlJc w:val="left"/>
      <w:pPr>
        <w:ind w:left="3600" w:hanging="720"/>
      </w:pPr>
      <w:rPr>
        <w:smallCaps w:val="0"/>
        <w:vertAlign w:val="baseline"/>
      </w:rPr>
    </w:lvl>
    <w:lvl w:ilvl="5">
      <w:start w:val="1"/>
      <w:numFmt w:val="lowerRoman"/>
      <w:lvlText w:val="(%6)"/>
      <w:lvlJc w:val="left"/>
      <w:pPr>
        <w:ind w:left="4320" w:hanging="720"/>
      </w:pPr>
      <w:rPr>
        <w:smallCaps w:val="0"/>
        <w:vertAlign w:val="baseline"/>
      </w:rPr>
    </w:lvl>
    <w:lvl w:ilvl="6">
      <w:start w:val="1"/>
      <w:numFmt w:val="decimal"/>
      <w:lvlText w:val="(%7)"/>
      <w:lvlJc w:val="left"/>
      <w:pPr>
        <w:ind w:left="5040" w:hanging="720"/>
      </w:pPr>
      <w:rPr>
        <w:smallCaps w:val="0"/>
        <w:vertAlign w:val="baseline"/>
      </w:rPr>
    </w:lvl>
    <w:lvl w:ilvl="7">
      <w:start w:val="1"/>
      <w:numFmt w:val="decimal"/>
      <w:lvlText w:val=""/>
      <w:lvlJc w:val="left"/>
      <w:pPr>
        <w:ind w:left="5040" w:hanging="720"/>
      </w:pPr>
      <w:rPr>
        <w:smallCaps w:val="0"/>
        <w:vertAlign w:val="baseline"/>
      </w:rPr>
    </w:lvl>
    <w:lvl w:ilvl="8">
      <w:start w:val="1"/>
      <w:numFmt w:val="decimal"/>
      <w:lvlText w:val=""/>
      <w:lvlJc w:val="left"/>
      <w:pPr>
        <w:ind w:left="5040" w:hanging="720"/>
      </w:pPr>
      <w:rPr>
        <w:smallCaps w:val="0"/>
        <w:vertAlign w:val="baseline"/>
      </w:rPr>
    </w:lvl>
  </w:abstractNum>
  <w:abstractNum w:abstractNumId="2">
    <w:lvl w:ilvl="0">
      <w:start w:val="1"/>
      <w:numFmt w:val="decimal"/>
      <w:lvlText w:val="%1."/>
      <w:lvlJc w:val="left"/>
      <w:pPr>
        <w:ind w:left="720" w:hanging="720"/>
      </w:pPr>
      <w:rPr>
        <w:smallCaps w:val="0"/>
        <w:vertAlign w:val="baseline"/>
      </w:rPr>
    </w:lvl>
    <w:lvl w:ilvl="1">
      <w:start w:val="1"/>
      <w:numFmt w:val="decimal"/>
      <w:lvlText w:val="%1.%2"/>
      <w:lvlJc w:val="left"/>
      <w:pPr>
        <w:ind w:left="1440" w:hanging="720"/>
      </w:pPr>
      <w:rPr>
        <w:b w:val="0"/>
        <w:smallCaps w:val="0"/>
        <w:vertAlign w:val="baseline"/>
      </w:rPr>
    </w:lvl>
    <w:lvl w:ilvl="2">
      <w:start w:val="1"/>
      <w:numFmt w:val="decimal"/>
      <w:lvlText w:val="%1.%2.%3"/>
      <w:lvlJc w:val="left"/>
      <w:pPr>
        <w:ind w:left="2268" w:hanging="828"/>
      </w:pPr>
      <w:rPr>
        <w:b w:val="0"/>
        <w:smallCaps w:val="0"/>
        <w:vertAlign w:val="baseline"/>
      </w:rPr>
    </w:lvl>
    <w:lvl w:ilvl="3">
      <w:start w:val="1"/>
      <w:numFmt w:val="decimal"/>
      <w:lvlText w:val="%1.%2.%3.%4"/>
      <w:lvlJc w:val="left"/>
      <w:pPr>
        <w:ind w:left="3402" w:hanging="1134"/>
      </w:pPr>
      <w:rPr>
        <w:rFonts w:ascii="Arial" w:cs="Arial" w:eastAsia="Arial" w:hAnsi="Arial"/>
        <w:b w:val="0"/>
        <w:smallCaps w:val="0"/>
        <w:vertAlign w:val="baseline"/>
      </w:rPr>
    </w:lvl>
    <w:lvl w:ilvl="4">
      <w:start w:val="1"/>
      <w:numFmt w:val="upperLetter"/>
      <w:lvlText w:val="(%5)"/>
      <w:lvlJc w:val="left"/>
      <w:pPr>
        <w:ind w:left="3544" w:hanging="425"/>
      </w:pPr>
      <w:rPr>
        <w:smallCaps w:val="0"/>
        <w:vertAlign w:val="baseline"/>
      </w:rPr>
    </w:lvl>
    <w:lvl w:ilvl="5">
      <w:start w:val="1"/>
      <w:numFmt w:val="lowerRoman"/>
      <w:lvlText w:val="(%6)"/>
      <w:lvlJc w:val="left"/>
      <w:pPr>
        <w:ind w:left="3969" w:hanging="567"/>
      </w:pPr>
      <w:rPr>
        <w:smallCaps w:val="0"/>
        <w:vertAlign w:val="baseline"/>
      </w:rPr>
    </w:lvl>
    <w:lvl w:ilvl="6">
      <w:start w:val="1"/>
      <w:numFmt w:val="decimal"/>
      <w:lvlText w:val="(%7)"/>
      <w:lvlJc w:val="left"/>
      <w:pPr>
        <w:ind w:left="5040" w:hanging="720"/>
      </w:pPr>
      <w:rPr>
        <w:smallCaps w:val="0"/>
        <w:vertAlign w:val="baseline"/>
      </w:rPr>
    </w:lvl>
    <w:lvl w:ilvl="7">
      <w:start w:val="1"/>
      <w:numFmt w:val="decimal"/>
      <w:lvlText w:val=""/>
      <w:lvlJc w:val="left"/>
      <w:pPr>
        <w:ind w:left="5040" w:hanging="720"/>
      </w:pPr>
      <w:rPr>
        <w:smallCaps w:val="0"/>
        <w:vertAlign w:val="baseline"/>
      </w:rPr>
    </w:lvl>
    <w:lvl w:ilvl="8">
      <w:start w:val="1"/>
      <w:numFmt w:val="decimal"/>
      <w:lvlText w:val=""/>
      <w:lvlJc w:val="left"/>
      <w:pPr>
        <w:ind w:left="5040" w:hanging="720"/>
      </w:pPr>
      <w:rPr>
        <w:smallCaps w:val="0"/>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_GB"/>
      </w:rPr>
    </w:rPrDefault>
    <w:pPrDefault>
      <w:pPr>
        <w:spacing w:after="240" w:line="360" w:lineRule="auto"/>
        <w:ind w:hanging="1"/>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pPr>
    <w:rPr>
      <w:color w:val="000000"/>
    </w:rPr>
  </w:style>
  <w:style w:type="paragraph" w:styleId="Heading2">
    <w:name w:val="heading 2"/>
    <w:basedOn w:val="Normal"/>
    <w:next w:val="Normal"/>
    <w:pPr>
      <w:pBdr>
        <w:top w:space="0" w:sz="0" w:val="nil"/>
        <w:left w:space="0" w:sz="0" w:val="nil"/>
        <w:bottom w:space="0" w:sz="0" w:val="nil"/>
        <w:right w:space="0" w:sz="0" w:val="nil"/>
        <w:between w:space="0" w:sz="0" w:val="nil"/>
      </w:pBdr>
    </w:pPr>
    <w:rPr>
      <w:rFonts w:ascii="Calibri" w:cs="Calibri" w:eastAsia="Calibri" w:hAnsi="Calibri"/>
      <w:color w:val="000000"/>
    </w:rPr>
  </w:style>
  <w:style w:type="paragraph" w:styleId="Heading3">
    <w:name w:val="heading 3"/>
    <w:basedOn w:val="Normal"/>
    <w:next w:val="Normal"/>
    <w:pPr>
      <w:pBdr>
        <w:top w:space="0" w:sz="0" w:val="nil"/>
        <w:left w:space="0" w:sz="0" w:val="nil"/>
        <w:bottom w:space="0" w:sz="0" w:val="nil"/>
        <w:right w:space="0" w:sz="0" w:val="nil"/>
        <w:between w:space="0" w:sz="0" w:val="nil"/>
      </w:pBdr>
    </w:pPr>
    <w:rPr>
      <w:color w:val="000000"/>
    </w:rPr>
  </w:style>
  <w:style w:type="paragraph" w:styleId="Heading4">
    <w:name w:val="heading 4"/>
    <w:basedOn w:val="Normal"/>
    <w:next w:val="Normal"/>
    <w:pPr>
      <w:pBdr>
        <w:top w:space="0" w:sz="0" w:val="nil"/>
        <w:left w:space="0" w:sz="0" w:val="nil"/>
        <w:bottom w:space="0" w:sz="0" w:val="nil"/>
        <w:right w:space="0" w:sz="0" w:val="nil"/>
        <w:between w:space="0" w:sz="0" w:val="nil"/>
      </w:pBdr>
    </w:pPr>
    <w:rPr>
      <w:color w:val="000000"/>
    </w:rPr>
  </w:style>
  <w:style w:type="paragraph" w:styleId="Heading5">
    <w:name w:val="heading 5"/>
    <w:basedOn w:val="Normal"/>
    <w:next w:val="Normal"/>
    <w:pPr>
      <w:pBdr>
        <w:top w:space="0" w:sz="0" w:val="nil"/>
        <w:left w:space="0" w:sz="0" w:val="nil"/>
        <w:bottom w:space="0" w:sz="0" w:val="nil"/>
        <w:right w:space="0" w:sz="0" w:val="nil"/>
        <w:between w:space="0" w:sz="0" w:val="nil"/>
      </w:pBdr>
    </w:pPr>
    <w:rPr>
      <w:color w:val="000000"/>
    </w:rPr>
  </w:style>
  <w:style w:type="paragraph" w:styleId="Heading6">
    <w:name w:val="heading 6"/>
    <w:basedOn w:val="Normal"/>
    <w:next w:val="Normal"/>
    <w:pPr>
      <w:pBdr>
        <w:top w:space="0" w:sz="0" w:val="nil"/>
        <w:left w:space="0" w:sz="0" w:val="nil"/>
        <w:bottom w:space="0" w:sz="0" w:val="nil"/>
        <w:right w:space="0" w:sz="0" w:val="nil"/>
        <w:between w:space="0" w:sz="0" w:val="nil"/>
      </w:pBdr>
    </w:pPr>
    <w:rPr>
      <w:color w:val="000000"/>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Heading7">
    <w:name w:val="heading 7"/>
    <w:basedOn w:val="HouseStyleBase"/>
    <w:pPr>
      <w:numPr>
        <w:ilvl w:val="6"/>
        <w:numId w:val="2"/>
      </w:numPr>
      <w:ind w:left="0" w:leftChars="0" w:firstLine="0" w:firstLineChars="0"/>
      <w:outlineLvl w:val="6"/>
    </w:pPr>
  </w:style>
  <w:style w:type="paragraph" w:styleId="Heading8">
    <w:name w:val="heading 8"/>
    <w:basedOn w:val="HouseStyleBase"/>
    <w:pPr>
      <w:numPr>
        <w:ilvl w:val="7"/>
        <w:numId w:val="2"/>
      </w:numPr>
      <w:ind w:left="0" w:leftChars="0" w:firstLine="0" w:firstLineChars="0"/>
      <w:outlineLvl w:val="7"/>
    </w:pPr>
  </w:style>
  <w:style w:type="paragraph" w:styleId="Heading9">
    <w:name w:val="heading 9"/>
    <w:basedOn w:val="HouseStyleBase"/>
    <w:pPr>
      <w:numPr>
        <w:ilvl w:val="8"/>
        <w:numId w:val="2"/>
      </w:numPr>
      <w:ind w:left="0" w:leftChars="0" w:firstLine="0" w:firstLineChars="0"/>
      <w:outlineLvl w:val="8"/>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table" w:styleId="TableNormal3" w:customStyle="1">
    <w:name w:val="TableNormal"/>
    <w:tblPr>
      <w:tblCellMar>
        <w:top w:w="100.0" w:type="dxa"/>
        <w:left w:w="100.0" w:type="dxa"/>
        <w:bottom w:w="100.0" w:type="dxa"/>
        <w:right w:w="100.0" w:type="dxa"/>
      </w:tblCellMar>
    </w:tblPr>
  </w:style>
  <w:style w:type="paragraph" w:styleId="Footer">
    <w:name w:val="footer"/>
    <w:basedOn w:val="Normal"/>
    <w:pPr>
      <w:tabs>
        <w:tab w:val="center" w:pos="4153"/>
        <w:tab w:val="right" w:pos="8306"/>
      </w:tabs>
      <w:spacing w:after="0" w:line="240" w:lineRule="auto"/>
    </w:pPr>
  </w:style>
  <w:style w:type="paragraph" w:styleId="BodyTextIndent">
    <w:name w:val="Body Text Indent"/>
    <w:basedOn w:val="HouseStyleBase"/>
    <w:pPr>
      <w:numPr>
        <w:numId w:val="3"/>
      </w:numPr>
      <w:ind w:left="-1" w:hanging="1"/>
    </w:pPr>
    <w:rPr>
      <w:rFonts w:ascii="Calibri" w:eastAsia="STZhongsong" w:hAnsi="Calibri"/>
    </w:rPr>
  </w:style>
  <w:style w:type="paragraph" w:styleId="BodyTextIndent2">
    <w:name w:val="Body Text Indent 2"/>
    <w:basedOn w:val="HouseStyleBase"/>
    <w:pPr>
      <w:numPr>
        <w:ilvl w:val="1"/>
        <w:numId w:val="3"/>
      </w:numPr>
      <w:ind w:left="-1" w:hanging="1"/>
    </w:pPr>
  </w:style>
  <w:style w:type="paragraph" w:styleId="BodyTextIndent3">
    <w:name w:val="Body Text Indent 3"/>
    <w:basedOn w:val="HouseStyleBase"/>
    <w:pPr>
      <w:ind w:left="1800"/>
    </w:pPr>
  </w:style>
  <w:style w:type="paragraph" w:styleId="BodyTextIndent4" w:customStyle="1">
    <w:name w:val="Body Text Indent 4"/>
    <w:basedOn w:val="HouseStyleBase"/>
    <w:pPr>
      <w:ind w:left="2880"/>
    </w:pPr>
  </w:style>
  <w:style w:type="paragraph" w:styleId="BodyTextIndent5" w:customStyle="1">
    <w:name w:val="Body Text Indent 5"/>
    <w:basedOn w:val="HouseStyleBase"/>
    <w:pPr>
      <w:ind w:left="3600"/>
    </w:pPr>
  </w:style>
  <w:style w:type="paragraph" w:styleId="MarginText" w:customStyle="1">
    <w:name w:val="Margin Text"/>
    <w:basedOn w:val="HouseStyleBase"/>
    <w:rPr>
      <w:rFonts w:ascii="Calibri" w:eastAsia="STZhongsong" w:hAnsi="Calibri"/>
    </w:rPr>
  </w:style>
  <w:style w:type="paragraph" w:styleId="BodyText">
    <w:name w:val="Body Text"/>
    <w:basedOn w:val="Normal"/>
    <w:pPr>
      <w:spacing w:after="120"/>
    </w:pPr>
  </w:style>
  <w:style w:type="character" w:styleId="PageNumber">
    <w:name w:val="page number"/>
    <w:rPr>
      <w:w w:val="100"/>
      <w:position w:val="-1"/>
      <w:sz w:val="22"/>
      <w:effect w:val="none"/>
      <w:vertAlign w:val="baseline"/>
      <w:cs w:val="0"/>
      <w:em w:val="none"/>
    </w:rPr>
  </w:style>
  <w:style w:type="paragraph" w:styleId="Header">
    <w:name w:val="header"/>
    <w:basedOn w:val="Normal"/>
    <w:pPr>
      <w:tabs>
        <w:tab w:val="center" w:pos="4153"/>
        <w:tab w:val="right" w:pos="8306"/>
      </w:tabs>
    </w:pPr>
  </w:style>
  <w:style w:type="paragraph" w:styleId="BodyTextIndent6" w:customStyle="1">
    <w:name w:val="Body Text Indent 6"/>
    <w:basedOn w:val="HouseStyleBase"/>
    <w:pPr>
      <w:ind w:left="4320"/>
    </w:pPr>
  </w:style>
  <w:style w:type="paragraph" w:styleId="BodyTextIndent7" w:customStyle="1">
    <w:name w:val="Body Text Indent 7"/>
    <w:basedOn w:val="HouseStyleBase"/>
    <w:pPr>
      <w:ind w:left="5040"/>
    </w:pPr>
  </w:style>
  <w:style w:type="paragraph" w:styleId="SchHead" w:customStyle="1">
    <w:name w:val="SchHead"/>
    <w:basedOn w:val="HouseStyleBaseCentred"/>
    <w:next w:val="SchPart"/>
    <w:pPr>
      <w:keepNext w:val="1"/>
      <w:tabs>
        <w:tab w:val="num" w:pos="720"/>
      </w:tabs>
      <w:jc w:val="center"/>
    </w:pPr>
    <w:rPr>
      <w:b w:val="1"/>
      <w:caps w:val="1"/>
    </w:rPr>
  </w:style>
  <w:style w:type="paragraph" w:styleId="ScheduleL1" w:customStyle="1">
    <w:name w:val="Schedule L1"/>
    <w:basedOn w:val="HouseStyleBase"/>
    <w:pPr>
      <w:keepNext w:val="1"/>
      <w:tabs>
        <w:tab w:val="num" w:pos="720"/>
      </w:tabs>
    </w:pPr>
    <w:rPr>
      <w:rFonts w:ascii="Calibri" w:eastAsia="STZhongsong" w:hAnsi="Calibri"/>
      <w:b w:val="1"/>
      <w:bCs w:val="1"/>
    </w:rPr>
  </w:style>
  <w:style w:type="paragraph" w:styleId="ListBullet">
    <w:name w:val="List Bullet"/>
    <w:basedOn w:val="Normal"/>
    <w:pPr>
      <w:numPr>
        <w:ilvl w:val="10"/>
        <w:numId w:val="4"/>
      </w:numPr>
      <w:ind w:left="720" w:hanging="720"/>
    </w:pPr>
  </w:style>
  <w:style w:type="paragraph" w:styleId="TOAHeading">
    <w:name w:val="toa heading"/>
    <w:basedOn w:val="Normal"/>
    <w:next w:val="Normal"/>
    <w:pPr>
      <w:spacing w:before="120"/>
    </w:pPr>
    <w:rPr>
      <w:b w:val="1"/>
    </w:rPr>
  </w:style>
  <w:style w:type="paragraph" w:styleId="ListBullet2">
    <w:name w:val="List Bullet 2"/>
    <w:basedOn w:val="HouseStyleBase"/>
    <w:pPr>
      <w:tabs>
        <w:tab w:val="num" w:pos="1440"/>
      </w:tabs>
    </w:pPr>
  </w:style>
  <w:style w:type="paragraph" w:styleId="HouseStyleBase" w:customStyle="1">
    <w:name w:val="House Style Base"/>
    <w:pPr>
      <w:suppressAutoHyphens w:val="1"/>
      <w:adjustRightInd w:val="0"/>
      <w:spacing w:line="1" w:lineRule="atLeast"/>
      <w:ind w:left="-1" w:leftChars="-1" w:hangingChars="1"/>
      <w:textDirection w:val="btLr"/>
      <w:textAlignment w:val="top"/>
      <w:outlineLvl w:val="0"/>
    </w:pPr>
    <w:rPr>
      <w:position w:val="-1"/>
      <w:lang w:eastAsia="zh-CN"/>
    </w:rPr>
  </w:style>
  <w:style w:type="numbering" w:styleId="111111">
    <w:name w:val="Outline List 2"/>
    <w:basedOn w:val="NoList"/>
  </w:style>
  <w:style w:type="paragraph" w:styleId="TOC1">
    <w:name w:val="toc 1"/>
    <w:pPr>
      <w:tabs>
        <w:tab w:val="left" w:pos="720"/>
        <w:tab w:val="right" w:leader="dot" w:pos="9029"/>
      </w:tabs>
      <w:suppressAutoHyphens w:val="1"/>
      <w:adjustRightInd w:val="0"/>
      <w:spacing w:after="120" w:line="1" w:lineRule="atLeast"/>
      <w:ind w:left="720" w:leftChars="-1" w:hanging="720" w:hangingChars="1"/>
      <w:textDirection w:val="btLr"/>
      <w:textAlignment w:val="top"/>
      <w:outlineLvl w:val="0"/>
    </w:pPr>
    <w:rPr>
      <w:caps w:val="1"/>
      <w:position w:val="-1"/>
      <w:lang w:eastAsia="zh-CN"/>
    </w:rPr>
  </w:style>
  <w:style w:type="paragraph" w:styleId="TOC2">
    <w:name w:val="toc 2"/>
    <w:pPr>
      <w:tabs>
        <w:tab w:val="left" w:pos="1440"/>
        <w:tab w:val="right" w:leader="dot" w:pos="9029"/>
      </w:tabs>
      <w:suppressAutoHyphens w:val="1"/>
      <w:adjustRightInd w:val="0"/>
      <w:spacing w:after="120" w:line="1" w:lineRule="atLeast"/>
      <w:ind w:left="1440" w:leftChars="-1" w:hanging="720" w:hangingChars="1"/>
      <w:textDirection w:val="btLr"/>
      <w:textAlignment w:val="top"/>
      <w:outlineLvl w:val="0"/>
    </w:pPr>
    <w:rPr>
      <w:position w:val="-1"/>
      <w:lang w:eastAsia="zh-CN"/>
    </w:rPr>
  </w:style>
  <w:style w:type="paragraph" w:styleId="TOC3">
    <w:name w:val="toc 3"/>
    <w:pPr>
      <w:tabs>
        <w:tab w:val="left" w:pos="2160"/>
        <w:tab w:val="right" w:leader="dot" w:pos="9029"/>
      </w:tabs>
      <w:suppressAutoHyphens w:val="1"/>
      <w:adjustRightInd w:val="0"/>
      <w:spacing w:after="120" w:line="1" w:lineRule="atLeast"/>
      <w:ind w:left="2160" w:leftChars="-1" w:hanging="720" w:hangingChars="1"/>
      <w:textDirection w:val="btLr"/>
      <w:textAlignment w:val="top"/>
      <w:outlineLvl w:val="0"/>
    </w:pPr>
    <w:rPr>
      <w:position w:val="-1"/>
      <w:lang w:eastAsia="zh-CN"/>
    </w:rPr>
  </w:style>
  <w:style w:type="paragraph" w:styleId="TOC4">
    <w:name w:val="toc 4"/>
    <w:pPr>
      <w:tabs>
        <w:tab w:val="left" w:pos="2880"/>
        <w:tab w:val="right" w:leader="dot" w:pos="9029"/>
      </w:tabs>
      <w:suppressAutoHyphens w:val="1"/>
      <w:adjustRightInd w:val="0"/>
      <w:spacing w:after="120" w:line="1" w:lineRule="atLeast"/>
      <w:ind w:left="2880" w:leftChars="-1" w:hanging="720" w:hangingChars="1"/>
      <w:textDirection w:val="btLr"/>
      <w:textAlignment w:val="top"/>
      <w:outlineLvl w:val="0"/>
    </w:pPr>
    <w:rPr>
      <w:position w:val="-1"/>
      <w:lang w:eastAsia="zh-CN"/>
    </w:rPr>
  </w:style>
  <w:style w:type="paragraph" w:styleId="TOC5">
    <w:name w:val="toc 5"/>
    <w:pPr>
      <w:tabs>
        <w:tab w:val="left" w:pos="3600"/>
        <w:tab w:val="right" w:leader="dot" w:pos="9029"/>
      </w:tabs>
      <w:suppressAutoHyphens w:val="1"/>
      <w:adjustRightInd w:val="0"/>
      <w:spacing w:after="120" w:line="1" w:lineRule="atLeast"/>
      <w:ind w:left="3600" w:leftChars="-1" w:hanging="720" w:hangingChars="1"/>
      <w:textDirection w:val="btLr"/>
      <w:textAlignment w:val="top"/>
      <w:outlineLvl w:val="0"/>
    </w:pPr>
    <w:rPr>
      <w:position w:val="-1"/>
      <w:lang w:eastAsia="zh-CN"/>
    </w:rPr>
  </w:style>
  <w:style w:type="paragraph" w:styleId="TOC6">
    <w:name w:val="toc 6"/>
    <w:pPr>
      <w:tabs>
        <w:tab w:val="left" w:pos="4320"/>
        <w:tab w:val="right" w:leader="dot" w:pos="9029"/>
      </w:tabs>
      <w:suppressAutoHyphens w:val="1"/>
      <w:adjustRightInd w:val="0"/>
      <w:spacing w:after="120" w:line="1" w:lineRule="atLeast"/>
      <w:ind w:left="4320" w:leftChars="-1" w:hanging="720" w:hangingChars="1"/>
      <w:textDirection w:val="btLr"/>
      <w:textAlignment w:val="top"/>
      <w:outlineLvl w:val="0"/>
    </w:pPr>
    <w:rPr>
      <w:position w:val="-1"/>
      <w:lang w:eastAsia="zh-CN"/>
    </w:rPr>
  </w:style>
  <w:style w:type="paragraph" w:styleId="TOC7">
    <w:name w:val="toc 7"/>
    <w:pPr>
      <w:tabs>
        <w:tab w:val="left" w:pos="5040"/>
        <w:tab w:val="right" w:leader="dot" w:pos="9029"/>
      </w:tabs>
      <w:suppressAutoHyphens w:val="1"/>
      <w:adjustRightInd w:val="0"/>
      <w:spacing w:after="120" w:line="1" w:lineRule="atLeast"/>
      <w:ind w:left="5040" w:leftChars="-1" w:hanging="720" w:hangingChars="1"/>
      <w:textDirection w:val="btLr"/>
      <w:textAlignment w:val="top"/>
      <w:outlineLvl w:val="0"/>
    </w:pPr>
    <w:rPr>
      <w:position w:val="-1"/>
      <w:lang w:eastAsia="zh-CN"/>
    </w:rPr>
  </w:style>
  <w:style w:type="paragraph" w:styleId="TOC8">
    <w:name w:val="toc 8"/>
    <w:pPr>
      <w:tabs>
        <w:tab w:val="right" w:leader="dot" w:pos="9029"/>
      </w:tabs>
      <w:suppressAutoHyphens w:val="1"/>
      <w:adjustRightInd w:val="0"/>
      <w:spacing w:after="120" w:line="1" w:lineRule="atLeast"/>
      <w:ind w:left="-1" w:leftChars="-1" w:hangingChars="1"/>
      <w:textDirection w:val="btLr"/>
      <w:textAlignment w:val="top"/>
      <w:outlineLvl w:val="0"/>
    </w:pPr>
    <w:rPr>
      <w:caps w:val="1"/>
      <w:position w:val="-1"/>
      <w:lang w:eastAsia="zh-CN"/>
    </w:rPr>
  </w:style>
  <w:style w:type="paragraph" w:styleId="TOC9">
    <w:name w:val="toc 9"/>
    <w:pPr>
      <w:tabs>
        <w:tab w:val="right" w:leader="dot" w:pos="9029"/>
      </w:tabs>
      <w:suppressAutoHyphens w:val="1"/>
      <w:adjustRightInd w:val="0"/>
      <w:spacing w:after="120" w:line="1" w:lineRule="atLeast"/>
      <w:ind w:left="720" w:leftChars="-1" w:hangingChars="1"/>
      <w:textDirection w:val="btLr"/>
      <w:textAlignment w:val="top"/>
      <w:outlineLvl w:val="0"/>
    </w:pPr>
    <w:rPr>
      <w:position w:val="-1"/>
      <w:lang w:eastAsia="zh-CN"/>
    </w:rPr>
  </w:style>
  <w:style w:type="paragraph" w:styleId="HouseStyleBaseCentred" w:customStyle="1">
    <w:name w:val="House Style Base Centred"/>
    <w:pPr>
      <w:suppressAutoHyphens w:val="1"/>
      <w:adjustRightInd w:val="0"/>
      <w:spacing w:line="1" w:lineRule="atLeast"/>
      <w:ind w:left="-1" w:leftChars="-1" w:hangingChars="1"/>
      <w:textDirection w:val="btLr"/>
      <w:textAlignment w:val="top"/>
      <w:outlineLvl w:val="0"/>
    </w:pPr>
    <w:rPr>
      <w:position w:val="-1"/>
      <w:lang w:eastAsia="zh-CN"/>
    </w:rPr>
  </w:style>
  <w:style w:type="paragraph" w:styleId="FootnoteText">
    <w:name w:val="footnote text"/>
    <w:basedOn w:val="HouseStyleBase"/>
    <w:pPr>
      <w:spacing w:after="60"/>
      <w:ind w:left="720" w:hanging="720"/>
    </w:pPr>
    <w:rPr>
      <w:sz w:val="16"/>
    </w:rPr>
  </w:style>
  <w:style w:type="character" w:styleId="FootnoteReference">
    <w:name w:val="footnote reference"/>
    <w:rPr>
      <w:rFonts w:ascii="Times New Roman" w:cs="Times New Roman" w:hAnsi="Times New Roman"/>
      <w:dstrike w:val="0"/>
      <w:snapToGrid w:val="1"/>
      <w:color w:val="auto"/>
      <w:w w:val="100"/>
      <w:kern w:val="0"/>
      <w:position w:val="-1"/>
      <w:sz w:val="22"/>
      <w:u w:val="none"/>
      <w:effect w:val="none"/>
      <w:vertAlign w:val="superscript"/>
      <w:cs w:val="0"/>
      <w:em w:val="none"/>
    </w:rPr>
  </w:style>
  <w:style w:type="paragraph" w:styleId="EndnoteText">
    <w:name w:val="endnote text"/>
    <w:basedOn w:val="HouseStyleBase"/>
    <w:pPr>
      <w:spacing w:after="120"/>
      <w:ind w:left="720" w:hanging="720"/>
    </w:pPr>
    <w:rPr>
      <w:sz w:val="18"/>
    </w:rPr>
  </w:style>
  <w:style w:type="character" w:styleId="EndnoteReference">
    <w:name w:val="endnote reference"/>
    <w:rPr>
      <w:rFonts w:ascii="Times New Roman" w:cs="Times New Roman" w:hAnsi="Times New Roman"/>
      <w:dstrike w:val="0"/>
      <w:snapToGrid w:val="1"/>
      <w:color w:val="auto"/>
      <w:w w:val="100"/>
      <w:kern w:val="0"/>
      <w:position w:val="-1"/>
      <w:sz w:val="22"/>
      <w:u w:val="none"/>
      <w:effect w:val="none"/>
      <w:vertAlign w:val="superscript"/>
      <w:cs w:val="0"/>
      <w:em w:val="none"/>
    </w:rPr>
  </w:style>
  <w:style w:type="table" w:styleId="TableGrid">
    <w:name w:val="Table Grid"/>
    <w:basedOn w:val="TableNormal"/>
    <w:pPr>
      <w:suppressAutoHyphens w:val="1"/>
      <w:overflowPunct w:val="0"/>
      <w:autoSpaceDE w:val="0"/>
      <w:autoSpaceDN w:val="0"/>
      <w:adjustRightInd w:val="0"/>
      <w:spacing w:line="1" w:lineRule="atLeast"/>
      <w:ind w:left="-1" w:leftChars="-1" w:hangingChars="1"/>
      <w:textDirection w:val="btLr"/>
      <w:textAlignment w:val="baseline"/>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ing" w:customStyle="1">
    <w:name w:val="Heading"/>
    <w:basedOn w:val="HouseStyleBaseCentred"/>
    <w:next w:val="MarginText"/>
    <w:pPr>
      <w:keepNext w:val="1"/>
      <w:jc w:val="center"/>
    </w:pPr>
    <w:rPr>
      <w:b w:val="1"/>
      <w:caps w:val="1"/>
    </w:rPr>
  </w:style>
  <w:style w:type="paragraph" w:styleId="AppHead" w:customStyle="1">
    <w:name w:val="AppHead"/>
    <w:basedOn w:val="HouseStyleBaseCentred"/>
    <w:pPr>
      <w:tabs>
        <w:tab w:val="num" w:pos="720"/>
      </w:tabs>
      <w:jc w:val="center"/>
    </w:pPr>
    <w:rPr>
      <w:b w:val="1"/>
      <w:caps w:val="1"/>
    </w:rPr>
  </w:style>
  <w:style w:type="paragraph" w:styleId="RecitalNumbering" w:customStyle="1">
    <w:name w:val="Recital Numbering"/>
    <w:basedOn w:val="HouseStyleBase"/>
    <w:pPr>
      <w:tabs>
        <w:tab w:val="num" w:pos="720"/>
      </w:tabs>
    </w:pPr>
  </w:style>
  <w:style w:type="paragraph" w:styleId="DefinitionNumbering1" w:customStyle="1">
    <w:name w:val="Definition Numbering 1"/>
    <w:basedOn w:val="HouseStyleBase"/>
    <w:pPr>
      <w:numPr>
        <w:ilvl w:val="2"/>
        <w:numId w:val="3"/>
      </w:numPr>
      <w:spacing w:after="120"/>
      <w:ind w:left="-1" w:hanging="1"/>
    </w:pPr>
    <w:rPr>
      <w:rFonts w:ascii="Calibri" w:eastAsia="STZhongsong" w:hAnsi="Calibri"/>
    </w:rPr>
  </w:style>
  <w:style w:type="paragraph" w:styleId="DefinitionNumbering2" w:customStyle="1">
    <w:name w:val="Definition Numbering 2"/>
    <w:basedOn w:val="HouseStyleBase"/>
    <w:pPr>
      <w:numPr>
        <w:ilvl w:val="3"/>
        <w:numId w:val="3"/>
      </w:numPr>
      <w:ind w:left="-1" w:hanging="1"/>
      <w:outlineLvl w:val="1"/>
    </w:pPr>
  </w:style>
  <w:style w:type="paragraph" w:styleId="DefinitionNumbering3" w:customStyle="1">
    <w:name w:val="Definition Numbering 3"/>
    <w:basedOn w:val="HouseStyleBase"/>
    <w:pPr>
      <w:numPr>
        <w:ilvl w:val="4"/>
        <w:numId w:val="3"/>
      </w:numPr>
      <w:ind w:left="-1" w:hanging="1"/>
      <w:outlineLvl w:val="2"/>
    </w:pPr>
  </w:style>
  <w:style w:type="paragraph" w:styleId="DefinitionNumbering4" w:customStyle="1">
    <w:name w:val="Definition Numbering 4"/>
    <w:basedOn w:val="HouseStyleBase"/>
    <w:pPr>
      <w:numPr>
        <w:ilvl w:val="5"/>
        <w:numId w:val="3"/>
      </w:numPr>
      <w:ind w:left="-1" w:hanging="1"/>
      <w:outlineLvl w:val="3"/>
    </w:pPr>
  </w:style>
  <w:style w:type="paragraph" w:styleId="DefinitionNumbering5" w:customStyle="1">
    <w:name w:val="Definition Numbering 5"/>
    <w:basedOn w:val="HouseStyleBase"/>
    <w:pPr>
      <w:numPr>
        <w:ilvl w:val="6"/>
        <w:numId w:val="3"/>
      </w:numPr>
      <w:ind w:left="-1" w:hanging="1"/>
      <w:outlineLvl w:val="4"/>
    </w:pPr>
  </w:style>
  <w:style w:type="paragraph" w:styleId="DefinitionNumbering6" w:customStyle="1">
    <w:name w:val="Definition Numbering 6"/>
    <w:basedOn w:val="HouseStyleBase"/>
    <w:pPr>
      <w:numPr>
        <w:ilvl w:val="7"/>
        <w:numId w:val="3"/>
      </w:numPr>
      <w:ind w:left="-1" w:hanging="1"/>
      <w:outlineLvl w:val="5"/>
    </w:pPr>
  </w:style>
  <w:style w:type="paragraph" w:styleId="DefinitionNumbering7" w:customStyle="1">
    <w:name w:val="Definition Numbering 7"/>
    <w:basedOn w:val="HouseStyleBase"/>
    <w:pPr>
      <w:tabs>
        <w:tab w:val="num" w:pos="6480"/>
      </w:tabs>
      <w:outlineLvl w:val="6"/>
    </w:pPr>
  </w:style>
  <w:style w:type="paragraph" w:styleId="DefinitionNumbering8" w:customStyle="1">
    <w:name w:val="Definition Numbering 8"/>
    <w:basedOn w:val="HouseStyleBase"/>
    <w:pPr>
      <w:tabs>
        <w:tab w:val="num" w:pos="5760"/>
      </w:tabs>
      <w:outlineLvl w:val="7"/>
    </w:pPr>
  </w:style>
  <w:style w:type="paragraph" w:styleId="DefinitionNumbering9" w:customStyle="1">
    <w:name w:val="Definition Numbering 9"/>
    <w:basedOn w:val="HouseStyleBase"/>
    <w:pPr>
      <w:tabs>
        <w:tab w:val="num" w:pos="6480"/>
      </w:tabs>
      <w:outlineLvl w:val="8"/>
    </w:pPr>
  </w:style>
  <w:style w:type="paragraph" w:styleId="ListBullet1" w:customStyle="1">
    <w:name w:val="List Bullet 1"/>
    <w:basedOn w:val="HouseStyleBase"/>
    <w:pPr>
      <w:tabs>
        <w:tab w:val="num" w:pos="720"/>
      </w:tabs>
    </w:pPr>
  </w:style>
  <w:style w:type="paragraph" w:styleId="ListBullet3">
    <w:name w:val="List Bullet 3"/>
    <w:basedOn w:val="HouseStyleBase"/>
    <w:pPr>
      <w:tabs>
        <w:tab w:val="num" w:pos="2160"/>
      </w:tabs>
    </w:pPr>
  </w:style>
  <w:style w:type="paragraph" w:styleId="ListBullet4">
    <w:name w:val="List Bullet 4"/>
    <w:basedOn w:val="HouseStyleBase"/>
    <w:pPr>
      <w:tabs>
        <w:tab w:val="num" w:pos="2880"/>
      </w:tabs>
    </w:pPr>
  </w:style>
  <w:style w:type="paragraph" w:styleId="ListBullet5">
    <w:name w:val="List Bullet 5"/>
    <w:basedOn w:val="HouseStyleBase"/>
    <w:pPr>
      <w:tabs>
        <w:tab w:val="num" w:pos="3600"/>
      </w:tabs>
    </w:pPr>
  </w:style>
  <w:style w:type="paragraph" w:styleId="ListBullet6" w:customStyle="1">
    <w:name w:val="List Bullet 6"/>
    <w:basedOn w:val="HouseStyleBase"/>
    <w:pPr>
      <w:tabs>
        <w:tab w:val="num" w:pos="4320"/>
      </w:tabs>
    </w:pPr>
  </w:style>
  <w:style w:type="paragraph" w:styleId="ListBullet7" w:customStyle="1">
    <w:name w:val="List Bullet 7"/>
    <w:basedOn w:val="HouseStyleBase"/>
    <w:pPr>
      <w:tabs>
        <w:tab w:val="num" w:pos="5040"/>
      </w:tabs>
    </w:pPr>
  </w:style>
  <w:style w:type="paragraph" w:styleId="ListBullet8" w:customStyle="1">
    <w:name w:val="List Bullet 8"/>
    <w:basedOn w:val="HouseStyleBase"/>
    <w:pPr>
      <w:tabs>
        <w:tab w:val="num" w:pos="5760"/>
      </w:tabs>
    </w:pPr>
  </w:style>
  <w:style w:type="paragraph" w:styleId="ListBullet9" w:customStyle="1">
    <w:name w:val="List Bullet 9"/>
    <w:basedOn w:val="HouseStyleBase"/>
    <w:pPr>
      <w:tabs>
        <w:tab w:val="num" w:pos="6480"/>
      </w:tabs>
    </w:pPr>
  </w:style>
  <w:style w:type="paragraph" w:styleId="SchPart" w:customStyle="1">
    <w:name w:val="SchPart"/>
    <w:basedOn w:val="HouseStyleBaseCentred"/>
    <w:next w:val="MarginText"/>
    <w:pPr>
      <w:keepNext w:val="1"/>
      <w:tabs>
        <w:tab w:val="num" w:pos="1440"/>
      </w:tabs>
      <w:jc w:val="center"/>
      <w:outlineLvl w:val="1"/>
    </w:pPr>
    <w:rPr>
      <w:b w:val="1"/>
    </w:rPr>
  </w:style>
  <w:style w:type="paragraph" w:styleId="ScheduleL2" w:customStyle="1">
    <w:name w:val="Schedule L2"/>
    <w:basedOn w:val="HouseStyleBase"/>
    <w:pPr>
      <w:tabs>
        <w:tab w:val="num" w:pos="1440"/>
      </w:tabs>
      <w:outlineLvl w:val="1"/>
    </w:pPr>
    <w:rPr>
      <w:rFonts w:ascii="Calibri" w:eastAsia="STZhongsong" w:hAnsi="Calibri"/>
    </w:rPr>
  </w:style>
  <w:style w:type="paragraph" w:styleId="ScheduleL3" w:customStyle="1">
    <w:name w:val="Schedule L3"/>
    <w:basedOn w:val="HouseStyleBase"/>
    <w:pPr>
      <w:tabs>
        <w:tab w:val="num" w:pos="2160"/>
      </w:tabs>
      <w:outlineLvl w:val="2"/>
    </w:pPr>
    <w:rPr>
      <w:rFonts w:ascii="Calibri" w:eastAsia="STZhongsong" w:hAnsi="Calibri"/>
    </w:rPr>
  </w:style>
  <w:style w:type="paragraph" w:styleId="ScheduleL4" w:customStyle="1">
    <w:name w:val="Schedule L4"/>
    <w:basedOn w:val="HouseStyleBase"/>
    <w:pPr>
      <w:tabs>
        <w:tab w:val="num" w:pos="2880"/>
      </w:tabs>
      <w:outlineLvl w:val="3"/>
    </w:pPr>
  </w:style>
  <w:style w:type="paragraph" w:styleId="ScheduleL5" w:customStyle="1">
    <w:name w:val="Schedule L5"/>
    <w:basedOn w:val="HouseStyleBase"/>
    <w:pPr>
      <w:tabs>
        <w:tab w:val="num" w:pos="3600"/>
      </w:tabs>
      <w:outlineLvl w:val="4"/>
    </w:pPr>
  </w:style>
  <w:style w:type="paragraph" w:styleId="ScheduleL6" w:customStyle="1">
    <w:name w:val="Schedule L6"/>
    <w:basedOn w:val="HouseStyleBase"/>
    <w:pPr>
      <w:tabs>
        <w:tab w:val="num" w:pos="4320"/>
      </w:tabs>
      <w:outlineLvl w:val="5"/>
    </w:pPr>
  </w:style>
  <w:style w:type="paragraph" w:styleId="ScheduleL7" w:customStyle="1">
    <w:name w:val="Schedule L7"/>
    <w:basedOn w:val="HouseStyleBase"/>
    <w:pPr>
      <w:tabs>
        <w:tab w:val="num" w:pos="5040"/>
      </w:tabs>
      <w:outlineLvl w:val="6"/>
    </w:pPr>
  </w:style>
  <w:style w:type="paragraph" w:styleId="ScheduleL8" w:customStyle="1">
    <w:name w:val="Schedule L8"/>
    <w:basedOn w:val="HouseStyleBase"/>
    <w:pPr>
      <w:tabs>
        <w:tab w:val="num" w:pos="5760"/>
      </w:tabs>
      <w:outlineLvl w:val="7"/>
    </w:pPr>
  </w:style>
  <w:style w:type="paragraph" w:styleId="ScheduleL9" w:customStyle="1">
    <w:name w:val="Schedule L9"/>
    <w:basedOn w:val="HouseStyleBase"/>
    <w:pPr>
      <w:tabs>
        <w:tab w:val="num" w:pos="6480"/>
      </w:tabs>
      <w:outlineLvl w:val="8"/>
    </w:pPr>
  </w:style>
  <w:style w:type="paragraph" w:styleId="SchSection" w:customStyle="1">
    <w:name w:val="SchSection"/>
    <w:basedOn w:val="HouseStyleBaseCentred"/>
    <w:next w:val="MarginText"/>
    <w:pPr>
      <w:keepNext w:val="1"/>
      <w:tabs>
        <w:tab w:val="num" w:pos="2160"/>
      </w:tabs>
      <w:jc w:val="center"/>
      <w:outlineLvl w:val="2"/>
    </w:pPr>
    <w:rPr>
      <w:b w:val="1"/>
    </w:rPr>
  </w:style>
  <w:style w:type="paragraph" w:styleId="Table-followingparagraph" w:customStyle="1">
    <w:name w:val="Table - following paragraph"/>
    <w:basedOn w:val="HouseStyleBase"/>
    <w:next w:val="MarginText"/>
    <w:pPr>
      <w:spacing w:after="0"/>
    </w:pPr>
  </w:style>
  <w:style w:type="paragraph" w:styleId="Table-Text" w:customStyle="1">
    <w:name w:val="Table - Text"/>
    <w:basedOn w:val="HouseStyleBase"/>
    <w:pPr>
      <w:spacing w:after="120" w:before="120"/>
      <w:jc w:val="left"/>
    </w:pPr>
  </w:style>
  <w:style w:type="paragraph" w:styleId="AppPart" w:customStyle="1">
    <w:name w:val="AppPart"/>
    <w:basedOn w:val="HouseStyleBaseCentred"/>
    <w:pPr>
      <w:tabs>
        <w:tab w:val="num" w:pos="1440"/>
      </w:tabs>
      <w:jc w:val="center"/>
      <w:outlineLvl w:val="1"/>
    </w:pPr>
    <w:rPr>
      <w:b w:val="1"/>
    </w:rPr>
  </w:style>
  <w:style w:type="paragraph" w:styleId="RecitalNumbering2" w:customStyle="1">
    <w:name w:val="Recital Numbering 2"/>
    <w:basedOn w:val="HouseStyleBase"/>
    <w:pPr>
      <w:tabs>
        <w:tab w:val="num" w:pos="1440"/>
      </w:tabs>
      <w:overflowPunct w:val="0"/>
      <w:autoSpaceDE w:val="0"/>
      <w:autoSpaceDN w:val="0"/>
      <w:textAlignment w:val="baseline"/>
    </w:pPr>
  </w:style>
  <w:style w:type="paragraph" w:styleId="RecitalNumbering3" w:customStyle="1">
    <w:name w:val="Recital Numbering 3"/>
    <w:basedOn w:val="HouseStyleBase"/>
    <w:pPr>
      <w:tabs>
        <w:tab w:val="num" w:pos="2160"/>
      </w:tabs>
      <w:overflowPunct w:val="0"/>
      <w:autoSpaceDE w:val="0"/>
      <w:autoSpaceDN w:val="0"/>
      <w:textAlignment w:val="baseline"/>
    </w:pPr>
  </w:style>
  <w:style w:type="paragraph" w:styleId="BalloonText">
    <w:name w:val="Balloon Text"/>
    <w:basedOn w:val="Normal"/>
    <w:pPr>
      <w:spacing w:after="0" w:line="240" w:lineRule="auto"/>
    </w:pPr>
    <w:rPr>
      <w:rFonts w:ascii="Tahoma" w:cs="Tahoma" w:hAnsi="Tahoma"/>
      <w:sz w:val="16"/>
      <w:szCs w:val="16"/>
    </w:rPr>
  </w:style>
  <w:style w:type="character" w:styleId="BalloonTextChar" w:customStyle="1">
    <w:name w:val="Balloon Text Char"/>
    <w:rPr>
      <w:rFonts w:ascii="Tahoma" w:cs="Tahoma" w:hAnsi="Tahoma"/>
      <w:w w:val="100"/>
      <w:position w:val="-1"/>
      <w:sz w:val="16"/>
      <w:szCs w:val="16"/>
      <w:effect w:val="none"/>
      <w:vertAlign w:val="baseline"/>
      <w:cs w:val="0"/>
      <w:em w:val="none"/>
      <w:lang w:eastAsia="en-US"/>
    </w:rPr>
  </w:style>
  <w:style w:type="paragraph" w:styleId="Bibliography">
    <w:name w:val="Bibliography"/>
    <w:basedOn w:val="Normal"/>
    <w:next w:val="Normal"/>
    <w:qFormat w:val="1"/>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character" w:styleId="BodyText2Char" w:customStyle="1">
    <w:name w:val="Body Text 2 Char"/>
    <w:rPr>
      <w:w w:val="100"/>
      <w:position w:val="-1"/>
      <w:sz w:val="22"/>
      <w:effect w:val="none"/>
      <w:vertAlign w:val="baseline"/>
      <w:cs w:val="0"/>
      <w:em w:val="none"/>
      <w:lang w:eastAsia="en-US"/>
    </w:rPr>
  </w:style>
  <w:style w:type="paragraph" w:styleId="BodyText3">
    <w:name w:val="Body Text 3"/>
    <w:basedOn w:val="Normal"/>
    <w:pPr>
      <w:spacing w:after="120"/>
    </w:pPr>
    <w:rPr>
      <w:sz w:val="16"/>
      <w:szCs w:val="16"/>
    </w:rPr>
  </w:style>
  <w:style w:type="character" w:styleId="BodyText3Char" w:customStyle="1">
    <w:name w:val="Body Text 3 Char"/>
    <w:rPr>
      <w:w w:val="100"/>
      <w:position w:val="-1"/>
      <w:sz w:val="16"/>
      <w:szCs w:val="16"/>
      <w:effect w:val="none"/>
      <w:vertAlign w:val="baseline"/>
      <w:cs w:val="0"/>
      <w:em w:val="none"/>
      <w:lang w:eastAsia="en-US"/>
    </w:rPr>
  </w:style>
  <w:style w:type="paragraph" w:styleId="BodyTextFirstIndent">
    <w:name w:val="Body Text First Indent"/>
    <w:basedOn w:val="BodyText"/>
    <w:pPr>
      <w:ind w:firstLine="210"/>
    </w:pPr>
  </w:style>
  <w:style w:type="character" w:styleId="BodyTextChar" w:customStyle="1">
    <w:name w:val="Body Text Char"/>
    <w:rPr>
      <w:w w:val="100"/>
      <w:position w:val="-1"/>
      <w:sz w:val="22"/>
      <w:effect w:val="none"/>
      <w:vertAlign w:val="baseline"/>
      <w:cs w:val="0"/>
      <w:em w:val="none"/>
      <w:lang w:eastAsia="en-US"/>
    </w:rPr>
  </w:style>
  <w:style w:type="character" w:styleId="BodyTextFirstIndentChar" w:customStyle="1">
    <w:name w:val="Body Text First Indent Char"/>
    <w:basedOn w:val="BodyTextChar"/>
    <w:rPr>
      <w:w w:val="100"/>
      <w:position w:val="-1"/>
      <w:sz w:val="22"/>
      <w:effect w:val="none"/>
      <w:vertAlign w:val="baseline"/>
      <w:cs w:val="0"/>
      <w:em w:val="none"/>
      <w:lang w:eastAsia="en-US"/>
    </w:rPr>
  </w:style>
  <w:style w:type="paragraph" w:styleId="BodyTextFirstIndent2">
    <w:name w:val="Body Text First Indent 2"/>
    <w:basedOn w:val="BodyTextIndent"/>
    <w:pPr>
      <w:numPr>
        <w:numId w:val="0"/>
      </w:numPr>
      <w:overflowPunct w:val="0"/>
      <w:autoSpaceDE w:val="0"/>
      <w:autoSpaceDN w:val="0"/>
      <w:spacing w:after="120" w:line="360" w:lineRule="auto"/>
      <w:ind w:left="283" w:leftChars="-1" w:hanging="1" w:hangingChars="1"/>
      <w:textAlignment w:val="baseline"/>
    </w:pPr>
    <w:rPr>
      <w:rFonts w:eastAsia="Times New Roman"/>
    </w:rPr>
  </w:style>
  <w:style w:type="character" w:styleId="HouseStyleBaseChar" w:customStyle="1">
    <w:name w:val="House Style Base Char"/>
    <w:rPr>
      <w:w w:val="100"/>
      <w:position w:val="-1"/>
      <w:sz w:val="22"/>
      <w:effect w:val="none"/>
      <w:vertAlign w:val="baseline"/>
      <w:cs w:val="0"/>
      <w:em w:val="none"/>
      <w:lang w:eastAsia="zh-CN"/>
    </w:rPr>
  </w:style>
  <w:style w:type="character" w:styleId="BodyTextIndentChar" w:customStyle="1">
    <w:name w:val="Body Text Indent Char"/>
    <w:rPr>
      <w:rFonts w:ascii="Calibri" w:eastAsia="STZhongsong" w:hAnsi="Calibri"/>
      <w:w w:val="100"/>
      <w:position w:val="-1"/>
      <w:sz w:val="22"/>
      <w:effect w:val="none"/>
      <w:vertAlign w:val="baseline"/>
      <w:cs w:val="0"/>
      <w:em w:val="none"/>
      <w:lang w:eastAsia="zh-CN"/>
    </w:rPr>
  </w:style>
  <w:style w:type="character" w:styleId="BodyTextFirstIndent2Char" w:customStyle="1">
    <w:name w:val="Body Text First Indent 2 Char"/>
    <w:rPr>
      <w:w w:val="100"/>
      <w:position w:val="-1"/>
      <w:sz w:val="22"/>
      <w:effect w:val="none"/>
      <w:vertAlign w:val="baseline"/>
      <w:cs w:val="0"/>
      <w:em w:val="none"/>
      <w:lang w:eastAsia="en-US"/>
    </w:rPr>
  </w:style>
  <w:style w:type="character" w:styleId="BookTitle">
    <w:name w:val="Book Title"/>
    <w:rPr>
      <w:b w:val="1"/>
      <w:bCs w:val="1"/>
      <w:smallCaps w:val="1"/>
      <w:spacing w:val="5"/>
      <w:w w:val="100"/>
      <w:position w:val="-1"/>
      <w:effect w:val="none"/>
      <w:vertAlign w:val="baseline"/>
      <w:cs w:val="0"/>
      <w:em w:val="none"/>
    </w:rPr>
  </w:style>
  <w:style w:type="paragraph" w:styleId="Caption">
    <w:name w:val="caption"/>
    <w:basedOn w:val="Normal"/>
    <w:next w:val="Normal"/>
    <w:qFormat w:val="1"/>
    <w:rPr>
      <w:b w:val="1"/>
      <w:bCs w:val="1"/>
      <w:sz w:val="20"/>
    </w:rPr>
  </w:style>
  <w:style w:type="paragraph" w:styleId="Closing">
    <w:name w:val="Closing"/>
    <w:basedOn w:val="Normal"/>
    <w:pPr>
      <w:ind w:left="4252"/>
    </w:pPr>
  </w:style>
  <w:style w:type="character" w:styleId="ClosingChar" w:customStyle="1">
    <w:name w:val="Closing Char"/>
    <w:rPr>
      <w:w w:val="100"/>
      <w:position w:val="-1"/>
      <w:sz w:val="22"/>
      <w:effect w:val="none"/>
      <w:vertAlign w:val="baseline"/>
      <w:cs w:val="0"/>
      <w:em w:val="none"/>
      <w:lang w:eastAsia="en-US"/>
    </w:rPr>
  </w:style>
  <w:style w:type="table" w:styleId="ColourfulGrid">
    <w:name w:val="Colorful Grid"/>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insideH w:color="ffffff" w:space="0" w:sz="4" w:val="single"/>
      </w:tblBorders>
    </w:tblPr>
  </w:style>
  <w:style w:type="table" w:styleId="ColourfulGridAccent1">
    <w:name w:val="Colorful Grid Accent 1"/>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insideH w:color="ffffff" w:space="0" w:sz="4" w:val="single"/>
      </w:tblBorders>
    </w:tblPr>
  </w:style>
  <w:style w:type="table" w:styleId="ColourfulGridAccent2">
    <w:name w:val="Colorful Grid Accent 2"/>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insideH w:color="ffffff" w:space="0" w:sz="4" w:val="single"/>
      </w:tblBorders>
    </w:tblPr>
  </w:style>
  <w:style w:type="table" w:styleId="ColourfulGridAccent3">
    <w:name w:val="Colorful Grid Accent 3"/>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insideH w:color="ffffff" w:space="0" w:sz="4" w:val="single"/>
      </w:tblBorders>
    </w:tblPr>
  </w:style>
  <w:style w:type="table" w:styleId="ColourfulGridAccent4">
    <w:name w:val="Colorful Grid Accent 4"/>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insideH w:color="ffffff" w:space="0" w:sz="4" w:val="single"/>
      </w:tblBorders>
    </w:tblPr>
  </w:style>
  <w:style w:type="table" w:styleId="ColourfulGridAccent5">
    <w:name w:val="Colorful Grid Accent 5"/>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insideH w:color="ffffff" w:space="0" w:sz="4" w:val="single"/>
      </w:tblBorders>
    </w:tblPr>
  </w:style>
  <w:style w:type="table" w:styleId="ColourfulGridAccent6">
    <w:name w:val="Colorful Grid Accent 6"/>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insideH w:color="ffffff" w:space="0" w:sz="4" w:val="single"/>
      </w:tblBorders>
    </w:tblPr>
  </w:style>
  <w:style w:type="table" w:styleId="ColourfulList">
    <w:name w:val="Colorful List"/>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Pr>
  </w:style>
  <w:style w:type="table" w:styleId="ColourfulListAccent1">
    <w:name w:val="Colorful List Accent 1"/>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Pr>
  </w:style>
  <w:style w:type="table" w:styleId="ColourfulListAccent2">
    <w:name w:val="Colorful List Accent 2"/>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Pr>
  </w:style>
  <w:style w:type="table" w:styleId="ColourfulListAccent3">
    <w:name w:val="Colorful List Accent 3"/>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Pr>
  </w:style>
  <w:style w:type="table" w:styleId="ColourfulListAccent4">
    <w:name w:val="Colorful List Accent 4"/>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Pr>
  </w:style>
  <w:style w:type="table" w:styleId="ColourfulListAccent5">
    <w:name w:val="Colorful List Accent 5"/>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Pr>
  </w:style>
  <w:style w:type="table" w:styleId="ColourfulListAccent6">
    <w:name w:val="Colorful List Accent 6"/>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Pr>
  </w:style>
  <w:style w:type="table" w:styleId="ColourfulShading">
    <w:name w:val="Colorful Shading"/>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c0504d" w:space="0" w:sz="24" w:val="single"/>
        <w:left w:color="000000" w:space="0" w:sz="4" w:val="single"/>
        <w:bottom w:color="000000" w:space="0" w:sz="4" w:val="single"/>
        <w:right w:color="000000" w:space="0" w:sz="4" w:val="single"/>
        <w:insideH w:color="ffffff" w:space="0" w:sz="4" w:val="single"/>
        <w:insideV w:color="ffffff" w:space="0" w:sz="4" w:val="single"/>
      </w:tblBorders>
    </w:tblPr>
  </w:style>
  <w:style w:type="table" w:styleId="ColourfulShadingAccent1">
    <w:name w:val="Colorful Shading Accent 1"/>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c0504d" w:space="0" w:sz="24" w:val="single"/>
        <w:left w:color="4f81bd" w:space="0" w:sz="4" w:val="single"/>
        <w:bottom w:color="4f81bd" w:space="0" w:sz="4" w:val="single"/>
        <w:right w:color="4f81bd" w:space="0" w:sz="4" w:val="single"/>
        <w:insideH w:color="ffffff" w:space="0" w:sz="4" w:val="single"/>
        <w:insideV w:color="ffffff" w:space="0" w:sz="4" w:val="single"/>
      </w:tblBorders>
    </w:tblPr>
  </w:style>
  <w:style w:type="table" w:styleId="ColourfulShadingAccent2">
    <w:name w:val="Colorful Shading Accent 2"/>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c0504d" w:space="0" w:sz="24" w:val="single"/>
        <w:left w:color="c0504d" w:space="0" w:sz="4" w:val="single"/>
        <w:bottom w:color="c0504d" w:space="0" w:sz="4" w:val="single"/>
        <w:right w:color="c0504d" w:space="0" w:sz="4" w:val="single"/>
        <w:insideH w:color="ffffff" w:space="0" w:sz="4" w:val="single"/>
        <w:insideV w:color="ffffff" w:space="0" w:sz="4" w:val="single"/>
      </w:tblBorders>
    </w:tblPr>
  </w:style>
  <w:style w:type="table" w:styleId="ColourfulShadingAccent3">
    <w:name w:val="Colorful Shading Accent 3"/>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8064a2" w:space="0" w:sz="24" w:val="single"/>
        <w:left w:color="9bbb59" w:space="0" w:sz="4" w:val="single"/>
        <w:bottom w:color="9bbb59" w:space="0" w:sz="4" w:val="single"/>
        <w:right w:color="9bbb59" w:space="0" w:sz="4" w:val="single"/>
        <w:insideH w:color="ffffff" w:space="0" w:sz="4" w:val="single"/>
        <w:insideV w:color="ffffff" w:space="0" w:sz="4" w:val="single"/>
      </w:tblBorders>
    </w:tblPr>
  </w:style>
  <w:style w:type="table" w:styleId="ColourfulShadingAccent4">
    <w:name w:val="Colorful Shading Accent 4"/>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9bbb59" w:space="0" w:sz="24" w:val="single"/>
        <w:left w:color="8064a2" w:space="0" w:sz="4" w:val="single"/>
        <w:bottom w:color="8064a2" w:space="0" w:sz="4" w:val="single"/>
        <w:right w:color="8064a2" w:space="0" w:sz="4" w:val="single"/>
        <w:insideH w:color="ffffff" w:space="0" w:sz="4" w:val="single"/>
        <w:insideV w:color="ffffff" w:space="0" w:sz="4" w:val="single"/>
      </w:tblBorders>
    </w:tblPr>
  </w:style>
  <w:style w:type="table" w:styleId="ColourfulShadingAccent5">
    <w:name w:val="Colorful Shading Accent 5"/>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f79646" w:space="0" w:sz="24" w:val="single"/>
        <w:left w:color="4bacc6" w:space="0" w:sz="4" w:val="single"/>
        <w:bottom w:color="4bacc6" w:space="0" w:sz="4" w:val="single"/>
        <w:right w:color="4bacc6" w:space="0" w:sz="4" w:val="single"/>
        <w:insideH w:color="ffffff" w:space="0" w:sz="4" w:val="single"/>
        <w:insideV w:color="ffffff" w:space="0" w:sz="4" w:val="single"/>
      </w:tblBorders>
    </w:tblPr>
  </w:style>
  <w:style w:type="table" w:styleId="ColourfulShadingAccent6">
    <w:name w:val="Colorful Shading Accent 6"/>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4bacc6" w:space="0" w:sz="24" w:val="single"/>
        <w:left w:color="f79646" w:space="0" w:sz="4" w:val="single"/>
        <w:bottom w:color="f79646" w:space="0" w:sz="4" w:val="single"/>
        <w:right w:color="f79646" w:space="0" w:sz="4" w:val="single"/>
        <w:insideH w:color="ffffff" w:space="0" w:sz="4" w:val="single"/>
        <w:insideV w:color="ffffff" w:space="0" w:sz="4" w:val="single"/>
      </w:tblBorders>
    </w:tbl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rPr>
  </w:style>
  <w:style w:type="character" w:styleId="CommentTextChar" w:customStyle="1">
    <w:name w:val="Comment Text Char"/>
    <w:rPr>
      <w:w w:val="100"/>
      <w:position w:val="-1"/>
      <w:effect w:val="none"/>
      <w:vertAlign w:val="baseline"/>
      <w:cs w:val="0"/>
      <w:em w:val="none"/>
      <w:lang w:eastAsia="en-US"/>
    </w:rPr>
  </w:style>
  <w:style w:type="paragraph" w:styleId="CommentSubject">
    <w:name w:val="annotation subject"/>
    <w:basedOn w:val="CommentText"/>
    <w:next w:val="CommentText"/>
    <w:rPr>
      <w:b w:val="1"/>
      <w:bCs w:val="1"/>
    </w:rPr>
  </w:style>
  <w:style w:type="character" w:styleId="CommentSubjectChar" w:customStyle="1">
    <w:name w:val="Comment Subject Char"/>
    <w:rPr>
      <w:b w:val="1"/>
      <w:bCs w:val="1"/>
      <w:w w:val="100"/>
      <w:position w:val="-1"/>
      <w:effect w:val="none"/>
      <w:vertAlign w:val="baseline"/>
      <w:cs w:val="0"/>
      <w:em w:val="none"/>
      <w:lang w:eastAsia="en-US"/>
    </w:rPr>
  </w:style>
  <w:style w:type="table" w:styleId="DarkList">
    <w:name w:val="Dark List"/>
    <w:basedOn w:val="TableNormal"/>
    <w:pPr>
      <w:suppressAutoHyphens w:val="1"/>
      <w:spacing w:line="1" w:lineRule="atLeast"/>
      <w:ind w:left="-1" w:leftChars="-1" w:hangingChars="1"/>
      <w:textDirection w:val="btLr"/>
      <w:textAlignment w:val="top"/>
      <w:outlineLvl w:val="0"/>
    </w:pPr>
    <w:rPr>
      <w:color w:val="ffffff"/>
      <w:position w:val="-1"/>
    </w:rPr>
    <w:tblPr>
      <w:tblStyleRowBandSize w:val="1"/>
      <w:tblStyleColBandSize w:val="1"/>
    </w:tblPr>
  </w:style>
  <w:style w:type="table" w:styleId="DarkList-Accent1">
    <w:name w:val="Dark List Accent 1"/>
    <w:basedOn w:val="TableNormal"/>
    <w:pPr>
      <w:suppressAutoHyphens w:val="1"/>
      <w:spacing w:line="1" w:lineRule="atLeast"/>
      <w:ind w:left="-1" w:leftChars="-1" w:hangingChars="1"/>
      <w:textDirection w:val="btLr"/>
      <w:textAlignment w:val="top"/>
      <w:outlineLvl w:val="0"/>
    </w:pPr>
    <w:rPr>
      <w:color w:val="ffffff"/>
      <w:position w:val="-1"/>
    </w:rPr>
    <w:tblPr>
      <w:tblStyleRowBandSize w:val="1"/>
      <w:tblStyleColBandSize w:val="1"/>
    </w:tblPr>
  </w:style>
  <w:style w:type="table" w:styleId="DarkList-Accent2">
    <w:name w:val="Dark List Accent 2"/>
    <w:basedOn w:val="TableNormal"/>
    <w:pPr>
      <w:suppressAutoHyphens w:val="1"/>
      <w:spacing w:line="1" w:lineRule="atLeast"/>
      <w:ind w:left="-1" w:leftChars="-1" w:hangingChars="1"/>
      <w:textDirection w:val="btLr"/>
      <w:textAlignment w:val="top"/>
      <w:outlineLvl w:val="0"/>
    </w:pPr>
    <w:rPr>
      <w:color w:val="ffffff"/>
      <w:position w:val="-1"/>
    </w:rPr>
    <w:tblPr>
      <w:tblStyleRowBandSize w:val="1"/>
      <w:tblStyleColBandSize w:val="1"/>
    </w:tblPr>
  </w:style>
  <w:style w:type="table" w:styleId="DarkList-Accent3">
    <w:name w:val="Dark List Accent 3"/>
    <w:basedOn w:val="TableNormal"/>
    <w:pPr>
      <w:suppressAutoHyphens w:val="1"/>
      <w:spacing w:line="1" w:lineRule="atLeast"/>
      <w:ind w:left="-1" w:leftChars="-1" w:hangingChars="1"/>
      <w:textDirection w:val="btLr"/>
      <w:textAlignment w:val="top"/>
      <w:outlineLvl w:val="0"/>
    </w:pPr>
    <w:rPr>
      <w:color w:val="ffffff"/>
      <w:position w:val="-1"/>
    </w:rPr>
    <w:tblPr>
      <w:tblStyleRowBandSize w:val="1"/>
      <w:tblStyleColBandSize w:val="1"/>
    </w:tblPr>
  </w:style>
  <w:style w:type="table" w:styleId="DarkList-Accent4">
    <w:name w:val="Dark List Accent 4"/>
    <w:basedOn w:val="TableNormal"/>
    <w:pPr>
      <w:suppressAutoHyphens w:val="1"/>
      <w:spacing w:line="1" w:lineRule="atLeast"/>
      <w:ind w:left="-1" w:leftChars="-1" w:hangingChars="1"/>
      <w:textDirection w:val="btLr"/>
      <w:textAlignment w:val="top"/>
      <w:outlineLvl w:val="0"/>
    </w:pPr>
    <w:rPr>
      <w:color w:val="ffffff"/>
      <w:position w:val="-1"/>
    </w:rPr>
    <w:tblPr>
      <w:tblStyleRowBandSize w:val="1"/>
      <w:tblStyleColBandSize w:val="1"/>
    </w:tblPr>
  </w:style>
  <w:style w:type="table" w:styleId="DarkList-Accent5">
    <w:name w:val="Dark List Accent 5"/>
    <w:basedOn w:val="TableNormal"/>
    <w:pPr>
      <w:suppressAutoHyphens w:val="1"/>
      <w:spacing w:line="1" w:lineRule="atLeast"/>
      <w:ind w:left="-1" w:leftChars="-1" w:hangingChars="1"/>
      <w:textDirection w:val="btLr"/>
      <w:textAlignment w:val="top"/>
      <w:outlineLvl w:val="0"/>
    </w:pPr>
    <w:rPr>
      <w:color w:val="ffffff"/>
      <w:position w:val="-1"/>
    </w:rPr>
    <w:tblPr>
      <w:tblStyleRowBandSize w:val="1"/>
      <w:tblStyleColBandSize w:val="1"/>
    </w:tblPr>
  </w:style>
  <w:style w:type="table" w:styleId="DarkList-Accent6">
    <w:name w:val="Dark List Accent 6"/>
    <w:basedOn w:val="TableNormal"/>
    <w:pPr>
      <w:suppressAutoHyphens w:val="1"/>
      <w:spacing w:line="1" w:lineRule="atLeast"/>
      <w:ind w:left="-1" w:leftChars="-1" w:hangingChars="1"/>
      <w:textDirection w:val="btLr"/>
      <w:textAlignment w:val="top"/>
      <w:outlineLvl w:val="0"/>
    </w:pPr>
    <w:rPr>
      <w:color w:val="ffffff"/>
      <w:position w:val="-1"/>
    </w:rPr>
    <w:tblPr>
      <w:tblStyleRowBandSize w:val="1"/>
      <w:tblStyleColBandSize w:val="1"/>
    </w:tblPr>
  </w:style>
  <w:style w:type="paragraph" w:styleId="Date">
    <w:name w:val="Date"/>
    <w:basedOn w:val="Normal"/>
    <w:next w:val="Normal"/>
  </w:style>
  <w:style w:type="character" w:styleId="DateChar" w:customStyle="1">
    <w:name w:val="Date Char"/>
    <w:rPr>
      <w:w w:val="100"/>
      <w:position w:val="-1"/>
      <w:sz w:val="22"/>
      <w:effect w:val="none"/>
      <w:vertAlign w:val="baseline"/>
      <w:cs w:val="0"/>
      <w:em w:val="none"/>
      <w:lang w:eastAsia="en-US"/>
    </w:rPr>
  </w:style>
  <w:style w:type="paragraph" w:styleId="DocumentMap">
    <w:name w:val="Document Map"/>
    <w:basedOn w:val="Normal"/>
    <w:rPr>
      <w:rFonts w:ascii="Tahoma" w:cs="Tahoma" w:hAnsi="Tahoma"/>
      <w:sz w:val="16"/>
      <w:szCs w:val="16"/>
    </w:rPr>
  </w:style>
  <w:style w:type="character" w:styleId="DocumentMapChar" w:customStyle="1">
    <w:name w:val="Document Map Char"/>
    <w:rPr>
      <w:rFonts w:ascii="Tahoma" w:cs="Tahoma" w:hAnsi="Tahoma"/>
      <w:w w:val="100"/>
      <w:position w:val="-1"/>
      <w:sz w:val="16"/>
      <w:szCs w:val="16"/>
      <w:effect w:val="none"/>
      <w:vertAlign w:val="baseline"/>
      <w:cs w:val="0"/>
      <w:em w:val="none"/>
      <w:lang w:eastAsia="en-US"/>
    </w:rPr>
  </w:style>
  <w:style w:type="paragraph" w:styleId="EmailSignature">
    <w:name w:val="E-mail Signature"/>
    <w:basedOn w:val="Normal"/>
  </w:style>
  <w:style w:type="character" w:styleId="E-mailSignatureChar" w:customStyle="1">
    <w:name w:val="E-mail Signature Char"/>
    <w:rPr>
      <w:w w:val="100"/>
      <w:position w:val="-1"/>
      <w:sz w:val="22"/>
      <w:effect w:val="none"/>
      <w:vertAlign w:val="baseline"/>
      <w:cs w:val="0"/>
      <w:em w:val="none"/>
      <w:lang w:eastAsia="en-US"/>
    </w:rPr>
  </w:style>
  <w:style w:type="character" w:styleId="Emphasis">
    <w:name w:val="Emphasis"/>
    <w:rPr>
      <w:i w:val="1"/>
      <w:iCs w:val="1"/>
      <w:w w:val="100"/>
      <w:position w:val="-1"/>
      <w:effect w:val="none"/>
      <w:vertAlign w:val="baseline"/>
      <w:cs w:val="0"/>
      <w:em w:val="none"/>
    </w:rPr>
  </w:style>
  <w:style w:type="paragraph" w:styleId="EnvelopeAddress">
    <w:name w:val="envelope address"/>
    <w:basedOn w:val="Normal"/>
    <w:pPr>
      <w:framePr w:lines="0" w:w="7920" w:hSpace="180" w:wrap="auto" w:hAnchor="text" w:v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character" w:styleId="FollowedHyperlink">
    <w:name w:val="FollowedHyperlink"/>
    <w:rPr>
      <w:color w:val="800080"/>
      <w:w w:val="100"/>
      <w:position w:val="-1"/>
      <w:u w:val="single"/>
      <w:effect w:val="none"/>
      <w:vertAlign w:val="baseline"/>
      <w:cs w:val="0"/>
      <w:em w:val="none"/>
    </w:rPr>
  </w:style>
  <w:style w:type="character" w:styleId="HTMLAcronym">
    <w:name w:val="HTML Acronym"/>
    <w:rPr>
      <w:w w:val="100"/>
      <w:position w:val="-1"/>
      <w:effect w:val="none"/>
      <w:vertAlign w:val="baseline"/>
      <w:cs w:val="0"/>
      <w:em w:val="none"/>
    </w:rPr>
  </w:style>
  <w:style w:type="paragraph" w:styleId="HTMLAddress">
    <w:name w:val="HTML Address"/>
    <w:basedOn w:val="Normal"/>
    <w:rPr>
      <w:i w:val="1"/>
      <w:iCs w:val="1"/>
    </w:rPr>
  </w:style>
  <w:style w:type="character" w:styleId="HTMLAddressChar" w:customStyle="1">
    <w:name w:val="HTML Address Char"/>
    <w:rPr>
      <w:i w:val="1"/>
      <w:iCs w:val="1"/>
      <w:w w:val="100"/>
      <w:position w:val="-1"/>
      <w:sz w:val="22"/>
      <w:effect w:val="none"/>
      <w:vertAlign w:val="baseline"/>
      <w:cs w:val="0"/>
      <w:em w:val="none"/>
      <w:lang w:eastAsia="en-US"/>
    </w:rPr>
  </w:style>
  <w:style w:type="character" w:styleId="HTMLCite">
    <w:name w:val="HTML Cite"/>
    <w:rPr>
      <w:i w:val="1"/>
      <w:iCs w:val="1"/>
      <w:w w:val="100"/>
      <w:position w:val="-1"/>
      <w:effect w:val="none"/>
      <w:vertAlign w:val="baseline"/>
      <w:cs w:val="0"/>
      <w:em w:val="none"/>
    </w:rPr>
  </w:style>
  <w:style w:type="character" w:styleId="HTMLCode">
    <w:name w:val="HTML Code"/>
    <w:rPr>
      <w:rFonts w:ascii="Courier New" w:cs="Courier New" w:hAnsi="Courier New"/>
      <w:w w:val="100"/>
      <w:position w:val="-1"/>
      <w:sz w:val="20"/>
      <w:szCs w:val="20"/>
      <w:effect w:val="none"/>
      <w:vertAlign w:val="baseline"/>
      <w:cs w:val="0"/>
      <w:em w:val="none"/>
    </w:rPr>
  </w:style>
  <w:style w:type="character" w:styleId="HTMLDefinition">
    <w:name w:val="HTML Definition"/>
    <w:rPr>
      <w:i w:val="1"/>
      <w:iCs w:val="1"/>
      <w:w w:val="100"/>
      <w:position w:val="-1"/>
      <w:effect w:val="none"/>
      <w:vertAlign w:val="baseline"/>
      <w:cs w:val="0"/>
      <w:em w:val="none"/>
    </w:rPr>
  </w:style>
  <w:style w:type="character" w:styleId="HTMLKeyboard">
    <w:name w:val="HTML Keyboard"/>
    <w:rPr>
      <w:rFonts w:ascii="Courier New" w:cs="Courier New" w:hAnsi="Courier New"/>
      <w:w w:val="100"/>
      <w:position w:val="-1"/>
      <w:sz w:val="20"/>
      <w:szCs w:val="20"/>
      <w:effect w:val="none"/>
      <w:vertAlign w:val="baseline"/>
      <w:cs w:val="0"/>
      <w:em w:val="none"/>
    </w:rPr>
  </w:style>
  <w:style w:type="paragraph" w:styleId="HTMLPreformatted">
    <w:name w:val="HTML Preformatted"/>
    <w:basedOn w:val="Normal"/>
    <w:rPr>
      <w:rFonts w:ascii="Courier New" w:cs="Courier New" w:hAnsi="Courier New"/>
      <w:sz w:val="20"/>
    </w:rPr>
  </w:style>
  <w:style w:type="character" w:styleId="HTMLPreformattedChar" w:customStyle="1">
    <w:name w:val="HTML Preformatted Char"/>
    <w:rPr>
      <w:rFonts w:ascii="Courier New" w:cs="Courier New" w:hAnsi="Courier New"/>
      <w:w w:val="100"/>
      <w:position w:val="-1"/>
      <w:effect w:val="none"/>
      <w:vertAlign w:val="baseline"/>
      <w:cs w:val="0"/>
      <w:em w:val="none"/>
      <w:lang w:eastAsia="en-US"/>
    </w:rPr>
  </w:style>
  <w:style w:type="character" w:styleId="HTMLSample">
    <w:name w:val="HTML Sample"/>
    <w:rPr>
      <w:rFonts w:ascii="Courier New" w:cs="Courier New" w:hAnsi="Courier New"/>
      <w:w w:val="100"/>
      <w:position w:val="-1"/>
      <w:effect w:val="none"/>
      <w:vertAlign w:val="baseline"/>
      <w:cs w:val="0"/>
      <w:em w:val="none"/>
    </w:rPr>
  </w:style>
  <w:style w:type="character" w:styleId="HTMLTypewriter">
    <w:name w:val="HTML Typewriter"/>
    <w:rPr>
      <w:rFonts w:ascii="Courier New" w:cs="Courier New" w:hAnsi="Courier New"/>
      <w:w w:val="100"/>
      <w:position w:val="-1"/>
      <w:sz w:val="20"/>
      <w:szCs w:val="20"/>
      <w:effect w:val="none"/>
      <w:vertAlign w:val="baseline"/>
      <w:cs w:val="0"/>
      <w:em w:val="none"/>
    </w:rPr>
  </w:style>
  <w:style w:type="character" w:styleId="HTMLVariable">
    <w:name w:val="HTML Variable"/>
    <w:rPr>
      <w:i w:val="1"/>
      <w:iCs w:val="1"/>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Index1">
    <w:name w:val="index 1"/>
    <w:basedOn w:val="Normal"/>
    <w:next w:val="Normal"/>
    <w:pPr>
      <w:ind w:left="220" w:hanging="220"/>
    </w:pPr>
  </w:style>
  <w:style w:type="paragraph" w:styleId="Index2">
    <w:name w:val="index 2"/>
    <w:basedOn w:val="Normal"/>
    <w:next w:val="Normal"/>
    <w:pPr>
      <w:ind w:left="440" w:hanging="220"/>
    </w:pPr>
  </w:style>
  <w:style w:type="paragraph" w:styleId="Index3">
    <w:name w:val="index 3"/>
    <w:basedOn w:val="Normal"/>
    <w:next w:val="Normal"/>
    <w:pPr>
      <w:ind w:left="660" w:hanging="220"/>
    </w:pPr>
  </w:style>
  <w:style w:type="paragraph" w:styleId="Index4">
    <w:name w:val="index 4"/>
    <w:basedOn w:val="Normal"/>
    <w:next w:val="Normal"/>
    <w:pPr>
      <w:ind w:left="880" w:hanging="220"/>
    </w:pPr>
  </w:style>
  <w:style w:type="paragraph" w:styleId="Index5">
    <w:name w:val="index 5"/>
    <w:basedOn w:val="Normal"/>
    <w:next w:val="Normal"/>
    <w:pPr>
      <w:ind w:left="1100" w:hanging="220"/>
    </w:pPr>
  </w:style>
  <w:style w:type="paragraph" w:styleId="Index6">
    <w:name w:val="index 6"/>
    <w:basedOn w:val="Normal"/>
    <w:next w:val="Normal"/>
    <w:pPr>
      <w:ind w:left="1320" w:hanging="220"/>
    </w:pPr>
  </w:style>
  <w:style w:type="paragraph" w:styleId="Index7">
    <w:name w:val="index 7"/>
    <w:basedOn w:val="Normal"/>
    <w:next w:val="Normal"/>
    <w:pPr>
      <w:ind w:left="1540" w:hanging="220"/>
    </w:pPr>
  </w:style>
  <w:style w:type="paragraph" w:styleId="Index8">
    <w:name w:val="index 8"/>
    <w:basedOn w:val="Normal"/>
    <w:next w:val="Normal"/>
    <w:pPr>
      <w:ind w:left="1760" w:hanging="220"/>
    </w:pPr>
  </w:style>
  <w:style w:type="paragraph" w:styleId="Index9">
    <w:name w:val="index 9"/>
    <w:basedOn w:val="Normal"/>
    <w:next w:val="Normal"/>
    <w:pPr>
      <w:ind w:left="1980" w:hanging="220"/>
    </w:pPr>
  </w:style>
  <w:style w:type="paragraph" w:styleId="IndexHeading">
    <w:name w:val="index heading"/>
    <w:basedOn w:val="Normal"/>
    <w:next w:val="Index1"/>
    <w:rPr>
      <w:rFonts w:ascii="Cambria" w:hAnsi="Cambria"/>
      <w:b w:val="1"/>
      <w:bCs w:val="1"/>
    </w:rPr>
  </w:style>
  <w:style w:type="character" w:styleId="IntenseEmphasis">
    <w:name w:val="Intense Emphasis"/>
    <w:rPr>
      <w:b w:val="1"/>
      <w:bCs w:val="1"/>
      <w:i w:val="1"/>
      <w:iCs w:val="1"/>
      <w:color w:val="4f81bd"/>
      <w:w w:val="100"/>
      <w:position w:val="-1"/>
      <w:effect w:val="none"/>
      <w:vertAlign w:val="baseline"/>
      <w:cs w:val="0"/>
      <w:em w:val="none"/>
    </w:rPr>
  </w:style>
  <w:style w:type="paragraph" w:styleId="IntenseQuote">
    <w:name w:val="Intense Quote"/>
    <w:basedOn w:val="Normal"/>
    <w:next w:val="Normal"/>
    <w:pPr>
      <w:pBdr>
        <w:bottom w:color="4f81bd" w:space="4" w:sz="4" w:val="single"/>
      </w:pBdr>
      <w:spacing w:after="280" w:before="200"/>
      <w:ind w:left="936" w:right="936"/>
    </w:pPr>
    <w:rPr>
      <w:b w:val="1"/>
      <w:bCs w:val="1"/>
      <w:i w:val="1"/>
      <w:iCs w:val="1"/>
      <w:color w:val="4f81bd"/>
    </w:rPr>
  </w:style>
  <w:style w:type="character" w:styleId="IntenseQuoteChar" w:customStyle="1">
    <w:name w:val="Intense Quote Char"/>
    <w:rPr>
      <w:b w:val="1"/>
      <w:bCs w:val="1"/>
      <w:i w:val="1"/>
      <w:iCs w:val="1"/>
      <w:color w:val="4f81bd"/>
      <w:w w:val="100"/>
      <w:position w:val="-1"/>
      <w:sz w:val="22"/>
      <w:effect w:val="none"/>
      <w:vertAlign w:val="baseline"/>
      <w:cs w:val="0"/>
      <w:em w:val="none"/>
      <w:lang w:eastAsia="en-US"/>
    </w:rPr>
  </w:style>
  <w:style w:type="character" w:styleId="IntenseReference">
    <w:name w:val="Intense Reference"/>
    <w:rPr>
      <w:b w:val="1"/>
      <w:bCs w:val="1"/>
      <w:smallCaps w:val="1"/>
      <w:color w:val="c0504d"/>
      <w:spacing w:val="5"/>
      <w:w w:val="100"/>
      <w:position w:val="-1"/>
      <w:u w:val="single"/>
      <w:effect w:val="none"/>
      <w:vertAlign w:val="baseline"/>
      <w:cs w:val="0"/>
      <w:em w:val="none"/>
    </w:rPr>
  </w:style>
  <w:style w:type="table" w:styleId="LightGrid">
    <w:name w:val="Light Grid"/>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style>
  <w:style w:type="table" w:styleId="LightGrid-Accent1">
    <w:name w:val="Light Grid Accent 1"/>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style>
  <w:style w:type="table" w:styleId="LightGrid-Accent2">
    <w:name w:val="Light Grid Accent 2"/>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c0504d" w:space="0" w:sz="8" w:val="single"/>
        <w:left w:color="c0504d" w:space="0" w:sz="8" w:val="single"/>
        <w:bottom w:color="c0504d" w:space="0" w:sz="8" w:val="single"/>
        <w:right w:color="c0504d" w:space="0" w:sz="8" w:val="single"/>
        <w:insideH w:color="c0504d" w:space="0" w:sz="8" w:val="single"/>
        <w:insideV w:color="c0504d" w:space="0" w:sz="8" w:val="single"/>
      </w:tblBorders>
    </w:tblPr>
  </w:style>
  <w:style w:type="table" w:styleId="LightGrid-Accent3">
    <w:name w:val="Light Grid Accent 3"/>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9bbb59" w:space="0" w:sz="8" w:val="single"/>
        <w:left w:color="9bbb59" w:space="0" w:sz="8" w:val="single"/>
        <w:bottom w:color="9bbb59" w:space="0" w:sz="8" w:val="single"/>
        <w:right w:color="9bbb59" w:space="0" w:sz="8" w:val="single"/>
        <w:insideH w:color="9bbb59" w:space="0" w:sz="8" w:val="single"/>
        <w:insideV w:color="9bbb59" w:space="0" w:sz="8" w:val="single"/>
      </w:tblBorders>
    </w:tblPr>
  </w:style>
  <w:style w:type="table" w:styleId="LightGrid-Accent4">
    <w:name w:val="Light Grid Accent 4"/>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style>
  <w:style w:type="table" w:styleId="LightGrid-Accent5">
    <w:name w:val="Light Grid Accent 5"/>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style>
  <w:style w:type="table" w:styleId="LightGrid-Accent6">
    <w:name w:val="Light Grid Accent 6"/>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style>
  <w:style w:type="table" w:styleId="LightList">
    <w:name w:val="Light List"/>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000000" w:space="0" w:sz="8" w:val="single"/>
        <w:left w:color="000000" w:space="0" w:sz="8" w:val="single"/>
        <w:bottom w:color="000000" w:space="0" w:sz="8" w:val="single"/>
        <w:right w:color="000000" w:space="0" w:sz="8" w:val="single"/>
      </w:tblBorders>
    </w:tblPr>
  </w:style>
  <w:style w:type="table" w:styleId="LightList-Accent1">
    <w:name w:val="Light List Accent 1"/>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4f81bd" w:space="0" w:sz="8" w:val="single"/>
        <w:left w:color="4f81bd" w:space="0" w:sz="8" w:val="single"/>
        <w:bottom w:color="4f81bd" w:space="0" w:sz="8" w:val="single"/>
        <w:right w:color="4f81bd" w:space="0" w:sz="8" w:val="single"/>
      </w:tblBorders>
    </w:tblPr>
  </w:style>
  <w:style w:type="table" w:styleId="LightList-Accent2">
    <w:name w:val="Light List Accent 2"/>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c0504d" w:space="0" w:sz="8" w:val="single"/>
        <w:left w:color="c0504d" w:space="0" w:sz="8" w:val="single"/>
        <w:bottom w:color="c0504d" w:space="0" w:sz="8" w:val="single"/>
        <w:right w:color="c0504d" w:space="0" w:sz="8" w:val="single"/>
      </w:tblBorders>
    </w:tblPr>
  </w:style>
  <w:style w:type="table" w:styleId="LightList-Accent3">
    <w:name w:val="Light List Accent 3"/>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9bbb59" w:space="0" w:sz="8" w:val="single"/>
        <w:left w:color="9bbb59" w:space="0" w:sz="8" w:val="single"/>
        <w:bottom w:color="9bbb59" w:space="0" w:sz="8" w:val="single"/>
        <w:right w:color="9bbb59" w:space="0" w:sz="8" w:val="single"/>
      </w:tblBorders>
    </w:tblPr>
  </w:style>
  <w:style w:type="table" w:styleId="LightList-Accent4">
    <w:name w:val="Light List Accent 4"/>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8064a2" w:space="0" w:sz="8" w:val="single"/>
        <w:left w:color="8064a2" w:space="0" w:sz="8" w:val="single"/>
        <w:bottom w:color="8064a2" w:space="0" w:sz="8" w:val="single"/>
        <w:right w:color="8064a2" w:space="0" w:sz="8" w:val="single"/>
      </w:tblBorders>
    </w:tblPr>
  </w:style>
  <w:style w:type="table" w:styleId="LightList-Accent5">
    <w:name w:val="Light List Accent 5"/>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4bacc6" w:space="0" w:sz="8" w:val="single"/>
        <w:left w:color="4bacc6" w:space="0" w:sz="8" w:val="single"/>
        <w:bottom w:color="4bacc6" w:space="0" w:sz="8" w:val="single"/>
        <w:right w:color="4bacc6" w:space="0" w:sz="8" w:val="single"/>
      </w:tblBorders>
    </w:tblPr>
  </w:style>
  <w:style w:type="table" w:styleId="LightList-Accent6">
    <w:name w:val="Light List Accent 6"/>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f79646" w:space="0" w:sz="8" w:val="single"/>
        <w:left w:color="f79646" w:space="0" w:sz="8" w:val="single"/>
        <w:bottom w:color="f79646" w:space="0" w:sz="8" w:val="single"/>
        <w:right w:color="f79646" w:space="0" w:sz="8" w:val="single"/>
      </w:tblBorders>
    </w:tblPr>
  </w:style>
  <w:style w:type="table" w:styleId="LightShading">
    <w:name w:val="Light Shading"/>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000000" w:space="0" w:sz="8" w:val="single"/>
        <w:bottom w:color="000000" w:space="0" w:sz="8" w:val="single"/>
      </w:tblBorders>
    </w:tblPr>
  </w:style>
  <w:style w:type="table" w:styleId="LightShading-Accent1">
    <w:name w:val="Light Shading Accent 1"/>
    <w:basedOn w:val="TableNormal"/>
    <w:pPr>
      <w:suppressAutoHyphens w:val="1"/>
      <w:spacing w:line="1" w:lineRule="atLeast"/>
      <w:ind w:left="-1" w:leftChars="-1" w:hangingChars="1"/>
      <w:textDirection w:val="btLr"/>
      <w:textAlignment w:val="top"/>
      <w:outlineLvl w:val="0"/>
    </w:pPr>
    <w:rPr>
      <w:color w:val="365f91"/>
      <w:position w:val="-1"/>
    </w:rPr>
    <w:tblPr>
      <w:tblStyleRowBandSize w:val="1"/>
      <w:tblStyleColBandSize w:val="1"/>
      <w:tblBorders>
        <w:top w:color="4f81bd" w:space="0" w:sz="8" w:val="single"/>
        <w:bottom w:color="4f81bd" w:space="0" w:sz="8" w:val="single"/>
      </w:tblBorders>
    </w:tblPr>
  </w:style>
  <w:style w:type="table" w:styleId="LightShading-Accent2">
    <w:name w:val="Light Shading Accent 2"/>
    <w:basedOn w:val="TableNormal"/>
    <w:pPr>
      <w:suppressAutoHyphens w:val="1"/>
      <w:spacing w:line="1" w:lineRule="atLeast"/>
      <w:ind w:left="-1" w:leftChars="-1" w:hangingChars="1"/>
      <w:textDirection w:val="btLr"/>
      <w:textAlignment w:val="top"/>
      <w:outlineLvl w:val="0"/>
    </w:pPr>
    <w:rPr>
      <w:color w:val="943634"/>
      <w:position w:val="-1"/>
    </w:rPr>
    <w:tblPr>
      <w:tblStyleRowBandSize w:val="1"/>
      <w:tblStyleColBandSize w:val="1"/>
      <w:tblBorders>
        <w:top w:color="c0504d" w:space="0" w:sz="8" w:val="single"/>
        <w:bottom w:color="c0504d" w:space="0" w:sz="8" w:val="single"/>
      </w:tblBorders>
    </w:tblPr>
  </w:style>
  <w:style w:type="table" w:styleId="LightShading-Accent3">
    <w:name w:val="Light Shading Accent 3"/>
    <w:basedOn w:val="TableNormal"/>
    <w:pPr>
      <w:suppressAutoHyphens w:val="1"/>
      <w:spacing w:line="1" w:lineRule="atLeast"/>
      <w:ind w:left="-1" w:leftChars="-1" w:hangingChars="1"/>
      <w:textDirection w:val="btLr"/>
      <w:textAlignment w:val="top"/>
      <w:outlineLvl w:val="0"/>
    </w:pPr>
    <w:rPr>
      <w:color w:val="76923c"/>
      <w:position w:val="-1"/>
    </w:rPr>
    <w:tblPr>
      <w:tblStyleRowBandSize w:val="1"/>
      <w:tblStyleColBandSize w:val="1"/>
      <w:tblBorders>
        <w:top w:color="9bbb59" w:space="0" w:sz="8" w:val="single"/>
        <w:bottom w:color="9bbb59" w:space="0" w:sz="8" w:val="single"/>
      </w:tblBorders>
    </w:tblPr>
  </w:style>
  <w:style w:type="table" w:styleId="LightShading-Accent4">
    <w:name w:val="Light Shading Accent 4"/>
    <w:basedOn w:val="TableNormal"/>
    <w:pPr>
      <w:suppressAutoHyphens w:val="1"/>
      <w:spacing w:line="1" w:lineRule="atLeast"/>
      <w:ind w:left="-1" w:leftChars="-1" w:hangingChars="1"/>
      <w:textDirection w:val="btLr"/>
      <w:textAlignment w:val="top"/>
      <w:outlineLvl w:val="0"/>
    </w:pPr>
    <w:rPr>
      <w:color w:val="5f497a"/>
      <w:position w:val="-1"/>
    </w:rPr>
    <w:tblPr>
      <w:tblStyleRowBandSize w:val="1"/>
      <w:tblStyleColBandSize w:val="1"/>
      <w:tblBorders>
        <w:top w:color="8064a2" w:space="0" w:sz="8" w:val="single"/>
        <w:bottom w:color="8064a2" w:space="0" w:sz="8" w:val="single"/>
      </w:tblBorders>
    </w:tblPr>
  </w:style>
  <w:style w:type="table" w:styleId="LightShading-Accent5">
    <w:name w:val="Light Shading Accent 5"/>
    <w:basedOn w:val="TableNormal"/>
    <w:pPr>
      <w:suppressAutoHyphens w:val="1"/>
      <w:spacing w:line="1" w:lineRule="atLeast"/>
      <w:ind w:left="-1" w:leftChars="-1" w:hangingChars="1"/>
      <w:textDirection w:val="btLr"/>
      <w:textAlignment w:val="top"/>
      <w:outlineLvl w:val="0"/>
    </w:pPr>
    <w:rPr>
      <w:color w:val="31849b"/>
      <w:position w:val="-1"/>
    </w:rPr>
    <w:tblPr>
      <w:tblStyleRowBandSize w:val="1"/>
      <w:tblStyleColBandSize w:val="1"/>
      <w:tblBorders>
        <w:top w:color="4bacc6" w:space="0" w:sz="8" w:val="single"/>
        <w:bottom w:color="4bacc6" w:space="0" w:sz="8" w:val="single"/>
      </w:tblBorders>
    </w:tblPr>
  </w:style>
  <w:style w:type="table" w:styleId="LightShading-Accent6">
    <w:name w:val="Light Shading Accent 6"/>
    <w:basedOn w:val="TableNormal"/>
    <w:pPr>
      <w:suppressAutoHyphens w:val="1"/>
      <w:spacing w:line="1" w:lineRule="atLeast"/>
      <w:ind w:left="-1" w:leftChars="-1" w:hangingChars="1"/>
      <w:textDirection w:val="btLr"/>
      <w:textAlignment w:val="top"/>
      <w:outlineLvl w:val="0"/>
    </w:pPr>
    <w:rPr>
      <w:color w:val="e36c0a"/>
      <w:position w:val="-1"/>
    </w:rPr>
    <w:tblPr>
      <w:tblStyleRowBandSize w:val="1"/>
      <w:tblStyleColBandSize w:val="1"/>
      <w:tblBorders>
        <w:top w:color="f79646" w:space="0" w:sz="8" w:val="single"/>
        <w:bottom w:color="f79646" w:space="0" w:sz="8" w:val="single"/>
      </w:tblBorders>
    </w:tblPr>
  </w:style>
  <w:style w:type="character" w:styleId="LineNumber">
    <w:name w:val="line number"/>
    <w:rPr>
      <w:w w:val="100"/>
      <w:position w:val="-1"/>
      <w:effect w:val="none"/>
      <w:vertAlign w:val="baseline"/>
      <w:cs w:val="0"/>
      <w:em w:val="none"/>
    </w:rPr>
  </w:style>
  <w:style w:type="paragraph" w:styleId="List">
    <w:name w:val="List"/>
    <w:basedOn w:val="Normal"/>
    <w:pPr>
      <w:ind w:left="283" w:hanging="283"/>
      <w:contextualSpacing w:val="1"/>
    </w:pPr>
  </w:style>
  <w:style w:type="paragraph" w:styleId="List2">
    <w:name w:val="List 2"/>
    <w:basedOn w:val="Normal"/>
    <w:pPr>
      <w:ind w:left="566" w:hanging="283"/>
      <w:contextualSpacing w:val="1"/>
    </w:pPr>
  </w:style>
  <w:style w:type="paragraph" w:styleId="List3">
    <w:name w:val="List 3"/>
    <w:basedOn w:val="Normal"/>
    <w:pPr>
      <w:ind w:left="849" w:hanging="283"/>
      <w:contextualSpacing w:val="1"/>
    </w:pPr>
  </w:style>
  <w:style w:type="paragraph" w:styleId="List4">
    <w:name w:val="List 4"/>
    <w:basedOn w:val="Normal"/>
    <w:pPr>
      <w:ind w:left="1132" w:hanging="283"/>
      <w:contextualSpacing w:val="1"/>
    </w:pPr>
  </w:style>
  <w:style w:type="paragraph" w:styleId="List5">
    <w:name w:val="List 5"/>
    <w:basedOn w:val="Normal"/>
    <w:pPr>
      <w:ind w:left="1415" w:hanging="283"/>
      <w:contextualSpacing w:val="1"/>
    </w:pPr>
  </w:style>
  <w:style w:type="paragraph" w:styleId="ListContinue">
    <w:name w:val="List Continue"/>
    <w:basedOn w:val="Normal"/>
    <w:pPr>
      <w:spacing w:after="120"/>
      <w:ind w:left="283"/>
      <w:contextualSpacing w:val="1"/>
    </w:pPr>
  </w:style>
  <w:style w:type="paragraph" w:styleId="ListContinue2">
    <w:name w:val="List Continue 2"/>
    <w:basedOn w:val="Normal"/>
    <w:pPr>
      <w:spacing w:after="120"/>
      <w:ind w:left="566"/>
      <w:contextualSpacing w:val="1"/>
    </w:pPr>
  </w:style>
  <w:style w:type="paragraph" w:styleId="ListContinue3">
    <w:name w:val="List Continue 3"/>
    <w:basedOn w:val="Normal"/>
    <w:pPr>
      <w:spacing w:after="120"/>
      <w:ind w:left="849"/>
      <w:contextualSpacing w:val="1"/>
    </w:pPr>
  </w:style>
  <w:style w:type="paragraph" w:styleId="ListContinue4">
    <w:name w:val="List Continue 4"/>
    <w:basedOn w:val="Normal"/>
    <w:pPr>
      <w:spacing w:after="120"/>
      <w:ind w:left="1132"/>
      <w:contextualSpacing w:val="1"/>
    </w:pPr>
  </w:style>
  <w:style w:type="paragraph" w:styleId="ListContinue5">
    <w:name w:val="List Continue 5"/>
    <w:basedOn w:val="Normal"/>
    <w:pPr>
      <w:spacing w:after="120"/>
      <w:ind w:left="1415"/>
      <w:contextualSpacing w:val="1"/>
    </w:pPr>
  </w:style>
  <w:style w:type="paragraph" w:styleId="ListNumber">
    <w:name w:val="List Number"/>
    <w:basedOn w:val="Normal"/>
    <w:pPr>
      <w:tabs>
        <w:tab w:val="num" w:pos="720"/>
      </w:tabs>
      <w:contextualSpacing w:val="1"/>
    </w:pPr>
  </w:style>
  <w:style w:type="paragraph" w:styleId="ListNumber2">
    <w:name w:val="List Number 2"/>
    <w:basedOn w:val="Normal"/>
    <w:pPr>
      <w:tabs>
        <w:tab w:val="num" w:pos="720"/>
      </w:tabs>
      <w:contextualSpacing w:val="1"/>
    </w:pPr>
  </w:style>
  <w:style w:type="paragraph" w:styleId="ListNumber3">
    <w:name w:val="List Number 3"/>
    <w:basedOn w:val="Normal"/>
    <w:pPr>
      <w:tabs>
        <w:tab w:val="num" w:pos="720"/>
      </w:tabs>
      <w:contextualSpacing w:val="1"/>
    </w:pPr>
  </w:style>
  <w:style w:type="paragraph" w:styleId="ListNumber4">
    <w:name w:val="List Number 4"/>
    <w:basedOn w:val="Normal"/>
    <w:pPr>
      <w:tabs>
        <w:tab w:val="num" w:pos="720"/>
      </w:tabs>
      <w:contextualSpacing w:val="1"/>
    </w:pPr>
  </w:style>
  <w:style w:type="paragraph" w:styleId="ListNumber5">
    <w:name w:val="List Number 5"/>
    <w:basedOn w:val="Normal"/>
    <w:pPr>
      <w:tabs>
        <w:tab w:val="num" w:pos="720"/>
      </w:tabs>
      <w:contextualSpacing w:val="1"/>
    </w:pPr>
  </w:style>
  <w:style w:type="paragraph" w:styleId="ListParagraph">
    <w:name w:val="List Paragraph"/>
    <w:basedOn w:val="Normal"/>
    <w:pPr>
      <w:ind w:left="720"/>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val="1"/>
      <w:overflowPunct w:val="0"/>
      <w:autoSpaceDE w:val="0"/>
      <w:autoSpaceDN w:val="0"/>
      <w:adjustRightInd w:val="0"/>
      <w:ind w:left="-1" w:leftChars="-1" w:hangingChars="1"/>
      <w:textDirection w:val="btLr"/>
      <w:textAlignment w:val="baseline"/>
      <w:outlineLvl w:val="0"/>
    </w:pPr>
    <w:rPr>
      <w:rFonts w:ascii="Courier New" w:cs="Courier New" w:hAnsi="Courier New"/>
      <w:position w:val="-1"/>
      <w:lang w:eastAsia="en-US"/>
    </w:rPr>
  </w:style>
  <w:style w:type="character" w:styleId="MacroTextChar" w:customStyle="1">
    <w:name w:val="Macro Text Char"/>
    <w:rPr>
      <w:rFonts w:ascii="Courier New" w:cs="Courier New" w:hAnsi="Courier New"/>
      <w:w w:val="100"/>
      <w:position w:val="-1"/>
      <w:effect w:val="none"/>
      <w:vertAlign w:val="baseline"/>
      <w:cs w:val="0"/>
      <w:em w:val="none"/>
      <w:lang w:eastAsia="en-US"/>
    </w:rPr>
  </w:style>
  <w:style w:type="table" w:styleId="MediumGrid1">
    <w:name w:val="Medium Grid 1"/>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insideV w:color="404040" w:space="0" w:sz="8" w:val="single"/>
      </w:tblBorders>
    </w:tblPr>
  </w:style>
  <w:style w:type="table" w:styleId="MediumGrid1-Accent1">
    <w:name w:val="Medium Grid 1 Accent 1"/>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insideV w:color="7ba0cd" w:space="0" w:sz="8" w:val="single"/>
      </w:tblBorders>
    </w:tblPr>
  </w:style>
  <w:style w:type="table" w:styleId="MediumGrid1-Accent2">
    <w:name w:val="Medium Grid 1 Accent 2"/>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insideV w:color="cf7b79" w:space="0" w:sz="8" w:val="single"/>
      </w:tblBorders>
    </w:tblPr>
  </w:style>
  <w:style w:type="table" w:styleId="MediumGrid1-Accent3">
    <w:name w:val="Medium Grid 1 Accent 3"/>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insideV w:color="b3cc82" w:space="0" w:sz="8" w:val="single"/>
      </w:tblBorders>
    </w:tblPr>
  </w:style>
  <w:style w:type="table" w:styleId="MediumGrid1-Accent4">
    <w:name w:val="Medium Grid 1 Accent 4"/>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Pr>
  </w:style>
  <w:style w:type="table" w:styleId="MediumGrid1-Accent5">
    <w:name w:val="Medium Grid 1 Accent 5"/>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78c0d4" w:space="0" w:sz="8" w:val="single"/>
        <w:left w:color="78c0d4" w:space="0" w:sz="8" w:val="single"/>
        <w:bottom w:color="78c0d4" w:space="0" w:sz="8" w:val="single"/>
        <w:right w:color="78c0d4" w:space="0" w:sz="8" w:val="single"/>
        <w:insideH w:color="78c0d4" w:space="0" w:sz="8" w:val="single"/>
        <w:insideV w:color="78c0d4" w:space="0" w:sz="8" w:val="single"/>
      </w:tblBorders>
    </w:tblPr>
  </w:style>
  <w:style w:type="table" w:styleId="MediumGrid1-Accent6">
    <w:name w:val="Medium Grid 1 Accent 6"/>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f9b074" w:space="0" w:sz="8" w:val="single"/>
        <w:left w:color="f9b074" w:space="0" w:sz="8" w:val="single"/>
        <w:bottom w:color="f9b074" w:space="0" w:sz="8" w:val="single"/>
        <w:right w:color="f9b074" w:space="0" w:sz="8" w:val="single"/>
        <w:insideH w:color="f9b074" w:space="0" w:sz="8" w:val="single"/>
        <w:insideV w:color="f9b074" w:space="0" w:sz="8" w:val="single"/>
      </w:tblBorders>
    </w:tblPr>
  </w:style>
  <w:style w:type="table" w:styleId="MediumGrid2">
    <w:name w:val="Medium Grid 2"/>
    <w:basedOn w:val="TableNormal"/>
    <w:pPr>
      <w:suppressAutoHyphens w:val="1"/>
      <w:spacing w:line="1" w:lineRule="atLeast"/>
      <w:ind w:left="-1" w:leftChars="-1" w:hangingChars="1"/>
      <w:textDirection w:val="btLr"/>
      <w:textAlignment w:val="top"/>
      <w:outlineLvl w:val="0"/>
    </w:pPr>
    <w:rPr>
      <w:rFonts w:ascii="Cambria" w:hAnsi="Cambria"/>
      <w:color w:val="000000"/>
      <w:position w:val="-1"/>
    </w:rPr>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style>
  <w:style w:type="table" w:styleId="MediumGrid2-Accent1">
    <w:name w:val="Medium Grid 2 Accent 1"/>
    <w:basedOn w:val="TableNormal"/>
    <w:pPr>
      <w:suppressAutoHyphens w:val="1"/>
      <w:spacing w:line="1" w:lineRule="atLeast"/>
      <w:ind w:left="-1" w:leftChars="-1" w:hangingChars="1"/>
      <w:textDirection w:val="btLr"/>
      <w:textAlignment w:val="top"/>
      <w:outlineLvl w:val="0"/>
    </w:pPr>
    <w:rPr>
      <w:rFonts w:ascii="Cambria" w:hAnsi="Cambria"/>
      <w:color w:val="000000"/>
      <w:position w:val="-1"/>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style>
  <w:style w:type="table" w:styleId="MediumGrid2-Accent2">
    <w:name w:val="Medium Grid 2 Accent 2"/>
    <w:basedOn w:val="TableNormal"/>
    <w:pPr>
      <w:suppressAutoHyphens w:val="1"/>
      <w:spacing w:line="1" w:lineRule="atLeast"/>
      <w:ind w:left="-1" w:leftChars="-1" w:hangingChars="1"/>
      <w:textDirection w:val="btLr"/>
      <w:textAlignment w:val="top"/>
      <w:outlineLvl w:val="0"/>
    </w:pPr>
    <w:rPr>
      <w:rFonts w:ascii="Cambria" w:hAnsi="Cambria"/>
      <w:color w:val="000000"/>
      <w:position w:val="-1"/>
    </w:rPr>
    <w:tblPr>
      <w:tblStyleRowBandSize w:val="1"/>
      <w:tblStyleColBandSize w:val="1"/>
      <w:tblBorders>
        <w:top w:color="c0504d" w:space="0" w:sz="8" w:val="single"/>
        <w:left w:color="c0504d" w:space="0" w:sz="8" w:val="single"/>
        <w:bottom w:color="c0504d" w:space="0" w:sz="8" w:val="single"/>
        <w:right w:color="c0504d" w:space="0" w:sz="8" w:val="single"/>
        <w:insideH w:color="c0504d" w:space="0" w:sz="8" w:val="single"/>
        <w:insideV w:color="c0504d" w:space="0" w:sz="8" w:val="single"/>
      </w:tblBorders>
    </w:tblPr>
  </w:style>
  <w:style w:type="table" w:styleId="MediumGrid2-Accent3">
    <w:name w:val="Medium Grid 2 Accent 3"/>
    <w:basedOn w:val="TableNormal"/>
    <w:pPr>
      <w:suppressAutoHyphens w:val="1"/>
      <w:spacing w:line="1" w:lineRule="atLeast"/>
      <w:ind w:left="-1" w:leftChars="-1" w:hangingChars="1"/>
      <w:textDirection w:val="btLr"/>
      <w:textAlignment w:val="top"/>
      <w:outlineLvl w:val="0"/>
    </w:pPr>
    <w:rPr>
      <w:rFonts w:ascii="Cambria" w:hAnsi="Cambria"/>
      <w:color w:val="000000"/>
      <w:position w:val="-1"/>
    </w:rPr>
    <w:tblPr>
      <w:tblStyleRowBandSize w:val="1"/>
      <w:tblStyleColBandSize w:val="1"/>
      <w:tblBorders>
        <w:top w:color="9bbb59" w:space="0" w:sz="8" w:val="single"/>
        <w:left w:color="9bbb59" w:space="0" w:sz="8" w:val="single"/>
        <w:bottom w:color="9bbb59" w:space="0" w:sz="8" w:val="single"/>
        <w:right w:color="9bbb59" w:space="0" w:sz="8" w:val="single"/>
        <w:insideH w:color="9bbb59" w:space="0" w:sz="8" w:val="single"/>
        <w:insideV w:color="9bbb59" w:space="0" w:sz="8" w:val="single"/>
      </w:tblBorders>
    </w:tblPr>
  </w:style>
  <w:style w:type="table" w:styleId="MediumGrid2-Accent4">
    <w:name w:val="Medium Grid 2 Accent 4"/>
    <w:basedOn w:val="TableNormal"/>
    <w:pPr>
      <w:suppressAutoHyphens w:val="1"/>
      <w:spacing w:line="1" w:lineRule="atLeast"/>
      <w:ind w:left="-1" w:leftChars="-1" w:hangingChars="1"/>
      <w:textDirection w:val="btLr"/>
      <w:textAlignment w:val="top"/>
      <w:outlineLvl w:val="0"/>
    </w:pPr>
    <w:rPr>
      <w:rFonts w:ascii="Cambria" w:hAnsi="Cambria"/>
      <w:color w:val="000000"/>
      <w:position w:val="-1"/>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style>
  <w:style w:type="table" w:styleId="MediumGrid2-Accent5">
    <w:name w:val="Medium Grid 2 Accent 5"/>
    <w:basedOn w:val="TableNormal"/>
    <w:pPr>
      <w:suppressAutoHyphens w:val="1"/>
      <w:spacing w:line="1" w:lineRule="atLeast"/>
      <w:ind w:left="-1" w:leftChars="-1" w:hangingChars="1"/>
      <w:textDirection w:val="btLr"/>
      <w:textAlignment w:val="top"/>
      <w:outlineLvl w:val="0"/>
    </w:pPr>
    <w:rPr>
      <w:rFonts w:ascii="Cambria" w:hAnsi="Cambria"/>
      <w:color w:val="000000"/>
      <w:position w:val="-1"/>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style>
  <w:style w:type="table" w:styleId="MediumGrid2-Accent6">
    <w:name w:val="Medium Grid 2 Accent 6"/>
    <w:basedOn w:val="TableNormal"/>
    <w:pPr>
      <w:suppressAutoHyphens w:val="1"/>
      <w:spacing w:line="1" w:lineRule="atLeast"/>
      <w:ind w:left="-1" w:leftChars="-1" w:hangingChars="1"/>
      <w:textDirection w:val="btLr"/>
      <w:textAlignment w:val="top"/>
      <w:outlineLvl w:val="0"/>
    </w:pPr>
    <w:rPr>
      <w:rFonts w:ascii="Cambria" w:hAnsi="Cambria"/>
      <w:color w:val="000000"/>
      <w:position w:val="-1"/>
    </w:rPr>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style>
  <w:style w:type="table" w:styleId="MediumGrid3">
    <w:name w:val="Medium Grid 3"/>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style>
  <w:style w:type="table" w:styleId="MediumGrid3-Accent1">
    <w:name w:val="Medium Grid 3 Accent 1"/>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style>
  <w:style w:type="table" w:styleId="MediumGrid3-Accent2">
    <w:name w:val="Medium Grid 3 Accent 2"/>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style>
  <w:style w:type="table" w:styleId="MediumGrid3-Accent3">
    <w:name w:val="Medium Grid 3 Accent 3"/>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style>
  <w:style w:type="table" w:styleId="MediumGrid3-Accent4">
    <w:name w:val="Medium Grid 3 Accent 4"/>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style>
  <w:style w:type="table" w:styleId="MediumGrid3-Accent5">
    <w:name w:val="Medium Grid 3 Accent 5"/>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style>
  <w:style w:type="table" w:styleId="MediumGrid3-Accent6">
    <w:name w:val="Medium Grid 3 Accent 6"/>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style>
  <w:style w:type="table" w:styleId="MediumList1">
    <w:name w:val="Medium List 1"/>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000000" w:space="0" w:sz="8" w:val="single"/>
        <w:bottom w:color="000000" w:space="0" w:sz="8" w:val="single"/>
      </w:tblBorders>
    </w:tblPr>
  </w:style>
  <w:style w:type="table" w:styleId="MediumList1-Accent1">
    <w:name w:val="Medium List 1 Accent 1"/>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4f81bd" w:space="0" w:sz="8" w:val="single"/>
        <w:bottom w:color="4f81bd" w:space="0" w:sz="8" w:val="single"/>
      </w:tblBorders>
    </w:tblPr>
  </w:style>
  <w:style w:type="table" w:styleId="MediumList1-Accent2">
    <w:name w:val="Medium List 1 Accent 2"/>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c0504d" w:space="0" w:sz="8" w:val="single"/>
        <w:bottom w:color="c0504d" w:space="0" w:sz="8" w:val="single"/>
      </w:tblBorders>
    </w:tblPr>
  </w:style>
  <w:style w:type="table" w:styleId="MediumList1-Accent3">
    <w:name w:val="Medium List 1 Accent 3"/>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9bbb59" w:space="0" w:sz="8" w:val="single"/>
        <w:bottom w:color="9bbb59" w:space="0" w:sz="8" w:val="single"/>
      </w:tblBorders>
    </w:tblPr>
  </w:style>
  <w:style w:type="table" w:styleId="MediumList1-Accent4">
    <w:name w:val="Medium List 1 Accent 4"/>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8064a2" w:space="0" w:sz="8" w:val="single"/>
        <w:bottom w:color="8064a2" w:space="0" w:sz="8" w:val="single"/>
      </w:tblBorders>
    </w:tblPr>
  </w:style>
  <w:style w:type="table" w:styleId="MediumList1-Accent5">
    <w:name w:val="Medium List 1 Accent 5"/>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4bacc6" w:space="0" w:sz="8" w:val="single"/>
        <w:bottom w:color="4bacc6" w:space="0" w:sz="8" w:val="single"/>
      </w:tblBorders>
    </w:tblPr>
  </w:style>
  <w:style w:type="table" w:styleId="MediumList1-Accent6">
    <w:name w:val="Medium List 1 Accent 6"/>
    <w:basedOn w:val="TableNormal"/>
    <w:pPr>
      <w:suppressAutoHyphens w:val="1"/>
      <w:spacing w:line="1" w:lineRule="atLeast"/>
      <w:ind w:left="-1" w:leftChars="-1" w:hangingChars="1"/>
      <w:textDirection w:val="btLr"/>
      <w:textAlignment w:val="top"/>
      <w:outlineLvl w:val="0"/>
    </w:pPr>
    <w:rPr>
      <w:color w:val="000000"/>
      <w:position w:val="-1"/>
    </w:rPr>
    <w:tblPr>
      <w:tblStyleRowBandSize w:val="1"/>
      <w:tblStyleColBandSize w:val="1"/>
      <w:tblBorders>
        <w:top w:color="f79646" w:space="0" w:sz="8" w:val="single"/>
        <w:bottom w:color="f79646" w:space="0" w:sz="8" w:val="single"/>
      </w:tblBorders>
    </w:tblPr>
  </w:style>
  <w:style w:type="table" w:styleId="MediumList2">
    <w:name w:val="Medium List 2"/>
    <w:basedOn w:val="TableNormal"/>
    <w:pPr>
      <w:suppressAutoHyphens w:val="1"/>
      <w:spacing w:line="1" w:lineRule="atLeast"/>
      <w:ind w:left="-1" w:leftChars="-1" w:hangingChars="1"/>
      <w:textDirection w:val="btLr"/>
      <w:textAlignment w:val="top"/>
      <w:outlineLvl w:val="0"/>
    </w:pPr>
    <w:rPr>
      <w:rFonts w:ascii="Cambria" w:hAnsi="Cambria"/>
      <w:color w:val="000000"/>
      <w:position w:val="-1"/>
    </w:rPr>
    <w:tblPr>
      <w:tblStyleRowBandSize w:val="1"/>
      <w:tblStyleColBandSize w:val="1"/>
      <w:tblBorders>
        <w:top w:color="000000" w:space="0" w:sz="8" w:val="single"/>
        <w:left w:color="000000" w:space="0" w:sz="8" w:val="single"/>
        <w:bottom w:color="000000" w:space="0" w:sz="8" w:val="single"/>
        <w:right w:color="000000" w:space="0" w:sz="8" w:val="single"/>
      </w:tblBorders>
    </w:tblPr>
  </w:style>
  <w:style w:type="table" w:styleId="MediumList2-Accent1">
    <w:name w:val="Medium List 2 Accent 1"/>
    <w:basedOn w:val="TableNormal"/>
    <w:pPr>
      <w:suppressAutoHyphens w:val="1"/>
      <w:spacing w:line="1" w:lineRule="atLeast"/>
      <w:ind w:left="-1" w:leftChars="-1" w:hangingChars="1"/>
      <w:textDirection w:val="btLr"/>
      <w:textAlignment w:val="top"/>
      <w:outlineLvl w:val="0"/>
    </w:pPr>
    <w:rPr>
      <w:rFonts w:ascii="Cambria" w:hAnsi="Cambria"/>
      <w:color w:val="000000"/>
      <w:position w:val="-1"/>
    </w:rPr>
    <w:tblPr>
      <w:tblStyleRowBandSize w:val="1"/>
      <w:tblStyleColBandSize w:val="1"/>
      <w:tblBorders>
        <w:top w:color="4f81bd" w:space="0" w:sz="8" w:val="single"/>
        <w:left w:color="4f81bd" w:space="0" w:sz="8" w:val="single"/>
        <w:bottom w:color="4f81bd" w:space="0" w:sz="8" w:val="single"/>
        <w:right w:color="4f81bd" w:space="0" w:sz="8" w:val="single"/>
      </w:tblBorders>
    </w:tblPr>
  </w:style>
  <w:style w:type="table" w:styleId="MediumList2-Accent2">
    <w:name w:val="Medium List 2 Accent 2"/>
    <w:basedOn w:val="TableNormal"/>
    <w:pPr>
      <w:suppressAutoHyphens w:val="1"/>
      <w:spacing w:line="1" w:lineRule="atLeast"/>
      <w:ind w:left="-1" w:leftChars="-1" w:hangingChars="1"/>
      <w:textDirection w:val="btLr"/>
      <w:textAlignment w:val="top"/>
      <w:outlineLvl w:val="0"/>
    </w:pPr>
    <w:rPr>
      <w:rFonts w:ascii="Cambria" w:hAnsi="Cambria"/>
      <w:color w:val="000000"/>
      <w:position w:val="-1"/>
    </w:rPr>
    <w:tblPr>
      <w:tblStyleRowBandSize w:val="1"/>
      <w:tblStyleColBandSize w:val="1"/>
      <w:tblBorders>
        <w:top w:color="c0504d" w:space="0" w:sz="8" w:val="single"/>
        <w:left w:color="c0504d" w:space="0" w:sz="8" w:val="single"/>
        <w:bottom w:color="c0504d" w:space="0" w:sz="8" w:val="single"/>
        <w:right w:color="c0504d" w:space="0" w:sz="8" w:val="single"/>
      </w:tblBorders>
    </w:tblPr>
  </w:style>
  <w:style w:type="table" w:styleId="MediumList2-Accent3">
    <w:name w:val="Medium List 2 Accent 3"/>
    <w:basedOn w:val="TableNormal"/>
    <w:pPr>
      <w:suppressAutoHyphens w:val="1"/>
      <w:spacing w:line="1" w:lineRule="atLeast"/>
      <w:ind w:left="-1" w:leftChars="-1" w:hangingChars="1"/>
      <w:textDirection w:val="btLr"/>
      <w:textAlignment w:val="top"/>
      <w:outlineLvl w:val="0"/>
    </w:pPr>
    <w:rPr>
      <w:rFonts w:ascii="Cambria" w:hAnsi="Cambria"/>
      <w:color w:val="000000"/>
      <w:position w:val="-1"/>
    </w:rPr>
    <w:tblPr>
      <w:tblStyleRowBandSize w:val="1"/>
      <w:tblStyleColBandSize w:val="1"/>
      <w:tblBorders>
        <w:top w:color="9bbb59" w:space="0" w:sz="8" w:val="single"/>
        <w:left w:color="9bbb59" w:space="0" w:sz="8" w:val="single"/>
        <w:bottom w:color="9bbb59" w:space="0" w:sz="8" w:val="single"/>
        <w:right w:color="9bbb59" w:space="0" w:sz="8" w:val="single"/>
      </w:tblBorders>
    </w:tblPr>
  </w:style>
  <w:style w:type="table" w:styleId="MediumList2-Accent4">
    <w:name w:val="Medium List 2 Accent 4"/>
    <w:basedOn w:val="TableNormal"/>
    <w:pPr>
      <w:suppressAutoHyphens w:val="1"/>
      <w:spacing w:line="1" w:lineRule="atLeast"/>
      <w:ind w:left="-1" w:leftChars="-1" w:hangingChars="1"/>
      <w:textDirection w:val="btLr"/>
      <w:textAlignment w:val="top"/>
      <w:outlineLvl w:val="0"/>
    </w:pPr>
    <w:rPr>
      <w:rFonts w:ascii="Cambria" w:hAnsi="Cambria"/>
      <w:color w:val="000000"/>
      <w:position w:val="-1"/>
    </w:rPr>
    <w:tblPr>
      <w:tblStyleRowBandSize w:val="1"/>
      <w:tblStyleColBandSize w:val="1"/>
      <w:tblBorders>
        <w:top w:color="8064a2" w:space="0" w:sz="8" w:val="single"/>
        <w:left w:color="8064a2" w:space="0" w:sz="8" w:val="single"/>
        <w:bottom w:color="8064a2" w:space="0" w:sz="8" w:val="single"/>
        <w:right w:color="8064a2" w:space="0" w:sz="8" w:val="single"/>
      </w:tblBorders>
    </w:tblPr>
  </w:style>
  <w:style w:type="table" w:styleId="MediumList2-Accent5">
    <w:name w:val="Medium List 2 Accent 5"/>
    <w:basedOn w:val="TableNormal"/>
    <w:pPr>
      <w:suppressAutoHyphens w:val="1"/>
      <w:spacing w:line="1" w:lineRule="atLeast"/>
      <w:ind w:left="-1" w:leftChars="-1" w:hangingChars="1"/>
      <w:textDirection w:val="btLr"/>
      <w:textAlignment w:val="top"/>
      <w:outlineLvl w:val="0"/>
    </w:pPr>
    <w:rPr>
      <w:rFonts w:ascii="Cambria" w:hAnsi="Cambria"/>
      <w:color w:val="000000"/>
      <w:position w:val="-1"/>
    </w:rPr>
    <w:tblPr>
      <w:tblStyleRowBandSize w:val="1"/>
      <w:tblStyleColBandSize w:val="1"/>
      <w:tblBorders>
        <w:top w:color="4bacc6" w:space="0" w:sz="8" w:val="single"/>
        <w:left w:color="4bacc6" w:space="0" w:sz="8" w:val="single"/>
        <w:bottom w:color="4bacc6" w:space="0" w:sz="8" w:val="single"/>
        <w:right w:color="4bacc6" w:space="0" w:sz="8" w:val="single"/>
      </w:tblBorders>
    </w:tblPr>
  </w:style>
  <w:style w:type="table" w:styleId="MediumList2-Accent6">
    <w:name w:val="Medium List 2 Accent 6"/>
    <w:basedOn w:val="TableNormal"/>
    <w:pPr>
      <w:suppressAutoHyphens w:val="1"/>
      <w:spacing w:line="1" w:lineRule="atLeast"/>
      <w:ind w:left="-1" w:leftChars="-1" w:hangingChars="1"/>
      <w:textDirection w:val="btLr"/>
      <w:textAlignment w:val="top"/>
      <w:outlineLvl w:val="0"/>
    </w:pPr>
    <w:rPr>
      <w:rFonts w:ascii="Cambria" w:hAnsi="Cambria"/>
      <w:color w:val="000000"/>
      <w:position w:val="-1"/>
    </w:rPr>
    <w:tblPr>
      <w:tblStyleRowBandSize w:val="1"/>
      <w:tblStyleColBandSize w:val="1"/>
      <w:tblBorders>
        <w:top w:color="f79646" w:space="0" w:sz="8" w:val="single"/>
        <w:left w:color="f79646" w:space="0" w:sz="8" w:val="single"/>
        <w:bottom w:color="f79646" w:space="0" w:sz="8" w:val="single"/>
        <w:right w:color="f79646" w:space="0" w:sz="8" w:val="single"/>
      </w:tblBorders>
    </w:tblPr>
  </w:style>
  <w:style w:type="table" w:styleId="MediumShading1">
    <w:name w:val="Medium Shading 1"/>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tblBorders>
    </w:tblPr>
  </w:style>
  <w:style w:type="table" w:styleId="MediumShading1-Accent1">
    <w:name w:val="Medium Shading 1 Accent 1"/>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style>
  <w:style w:type="table" w:styleId="MediumShading1-Accent2">
    <w:name w:val="Medium Shading 1 Accent 2"/>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tblBorders>
    </w:tblPr>
  </w:style>
  <w:style w:type="table" w:styleId="MediumShading1-Accent3">
    <w:name w:val="Medium Shading 1 Accent 3"/>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tblBorders>
    </w:tblPr>
  </w:style>
  <w:style w:type="table" w:styleId="MediumShading1-Accent4">
    <w:name w:val="Medium Shading 1 Accent 4"/>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style>
  <w:style w:type="table" w:styleId="MediumShading1-Accent5">
    <w:name w:val="Medium Shading 1 Accent 5"/>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78c0d4" w:space="0" w:sz="8" w:val="single"/>
        <w:left w:color="78c0d4" w:space="0" w:sz="8" w:val="single"/>
        <w:bottom w:color="78c0d4" w:space="0" w:sz="8" w:val="single"/>
        <w:right w:color="78c0d4" w:space="0" w:sz="8" w:val="single"/>
        <w:insideH w:color="78c0d4" w:space="0" w:sz="8" w:val="single"/>
      </w:tblBorders>
    </w:tblPr>
  </w:style>
  <w:style w:type="table" w:styleId="MediumShading1-Accent6">
    <w:name w:val="Medium Shading 1 Accent 6"/>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f9b074" w:space="0" w:sz="8" w:val="single"/>
        <w:left w:color="f9b074" w:space="0" w:sz="8" w:val="single"/>
        <w:bottom w:color="f9b074" w:space="0" w:sz="8" w:val="single"/>
        <w:right w:color="f9b074" w:space="0" w:sz="8" w:val="single"/>
        <w:insideH w:color="f9b074" w:space="0" w:sz="8" w:val="single"/>
      </w:tblBorders>
    </w:tblPr>
  </w:style>
  <w:style w:type="table" w:styleId="MediumShading2">
    <w:name w:val="Medium Shading 2"/>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auto" w:space="0" w:sz="18" w:val="single"/>
        <w:bottom w:color="auto" w:space="0" w:sz="18" w:val="single"/>
      </w:tblBorders>
    </w:tblPr>
  </w:style>
  <w:style w:type="table" w:styleId="MediumShading2-Accent1">
    <w:name w:val="Medium Shading 2 Accent 1"/>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auto" w:space="0" w:sz="18" w:val="single"/>
        <w:bottom w:color="auto" w:space="0" w:sz="18" w:val="single"/>
      </w:tblBorders>
    </w:tblPr>
  </w:style>
  <w:style w:type="table" w:styleId="MediumShading2-Accent2">
    <w:name w:val="Medium Shading 2 Accent 2"/>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auto" w:space="0" w:sz="18" w:val="single"/>
        <w:bottom w:color="auto" w:space="0" w:sz="18" w:val="single"/>
      </w:tblBorders>
    </w:tblPr>
  </w:style>
  <w:style w:type="table" w:styleId="MediumShading2-Accent3">
    <w:name w:val="Medium Shading 2 Accent 3"/>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auto" w:space="0" w:sz="18" w:val="single"/>
        <w:bottom w:color="auto" w:space="0" w:sz="18" w:val="single"/>
      </w:tblBorders>
    </w:tblPr>
  </w:style>
  <w:style w:type="table" w:styleId="MediumShading2-Accent4">
    <w:name w:val="Medium Shading 2 Accent 4"/>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auto" w:space="0" w:sz="18" w:val="single"/>
        <w:bottom w:color="auto" w:space="0" w:sz="18" w:val="single"/>
      </w:tblBorders>
    </w:tblPr>
  </w:style>
  <w:style w:type="table" w:styleId="MediumShading2-Accent5">
    <w:name w:val="Medium Shading 2 Accent 5"/>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auto" w:space="0" w:sz="18" w:val="single"/>
        <w:bottom w:color="auto" w:space="0" w:sz="18" w:val="single"/>
      </w:tblBorders>
    </w:tblPr>
  </w:style>
  <w:style w:type="table" w:styleId="MediumShading2-Accent6">
    <w:name w:val="Medium Shading 2 Accent 6"/>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auto" w:space="0" w:sz="18" w:val="single"/>
        <w:bottom w:color="auto" w:space="0" w:sz="18" w:val="single"/>
      </w:tblBorders>
    </w:tbl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Cambria" w:hAnsi="Cambria"/>
      <w:sz w:val="24"/>
      <w:szCs w:val="24"/>
    </w:rPr>
  </w:style>
  <w:style w:type="character" w:styleId="MessageHeaderChar" w:customStyle="1">
    <w:name w:val="Message Header Char"/>
    <w:rPr>
      <w:rFonts w:ascii="Cambria" w:cs="Times New Roman" w:eastAsia="Times New Roman" w:hAnsi="Cambria"/>
      <w:w w:val="100"/>
      <w:position w:val="-1"/>
      <w:sz w:val="24"/>
      <w:szCs w:val="24"/>
      <w:effect w:val="none"/>
      <w:shd w:color="auto" w:fill="auto" w:val="pct20"/>
      <w:vertAlign w:val="baseline"/>
      <w:cs w:val="0"/>
      <w:em w:val="none"/>
      <w:lang w:eastAsia="en-US"/>
    </w:rPr>
  </w:style>
  <w:style w:type="paragraph" w:styleId="NoSpacing">
    <w:name w:val="No Spacing"/>
    <w:pPr>
      <w:suppressAutoHyphens w:val="1"/>
      <w:overflowPunct w:val="0"/>
      <w:autoSpaceDE w:val="0"/>
      <w:autoSpaceDN w:val="0"/>
      <w:adjustRightInd w:val="0"/>
      <w:spacing w:line="1" w:lineRule="atLeast"/>
      <w:ind w:left="-1" w:leftChars="-1" w:hangingChars="1"/>
      <w:textDirection w:val="btLr"/>
      <w:textAlignment w:val="baseline"/>
      <w:outlineLvl w:val="0"/>
    </w:pPr>
    <w:rPr>
      <w:position w:val="-1"/>
      <w:lang w:eastAsia="en-US"/>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character" w:styleId="NoteHeadingChar" w:customStyle="1">
    <w:name w:val="Note Heading Char"/>
    <w:rPr>
      <w:w w:val="100"/>
      <w:position w:val="-1"/>
      <w:sz w:val="22"/>
      <w:effect w:val="none"/>
      <w:vertAlign w:val="baseline"/>
      <w:cs w:val="0"/>
      <w:em w:val="none"/>
      <w:lang w:eastAsia="en-US"/>
    </w:rPr>
  </w:style>
  <w:style w:type="character" w:styleId="PlaceholderText">
    <w:name w:val="Placeholder Text"/>
    <w:rPr>
      <w:color w:val="808080"/>
      <w:w w:val="100"/>
      <w:position w:val="-1"/>
      <w:effect w:val="none"/>
      <w:vertAlign w:val="baseline"/>
      <w:cs w:val="0"/>
      <w:em w:val="none"/>
    </w:rPr>
  </w:style>
  <w:style w:type="paragraph" w:styleId="PlainText">
    <w:name w:val="Plain Text"/>
    <w:basedOn w:val="Normal"/>
    <w:rPr>
      <w:rFonts w:ascii="Courier New" w:cs="Courier New" w:hAnsi="Courier New"/>
      <w:sz w:val="20"/>
    </w:rPr>
  </w:style>
  <w:style w:type="character" w:styleId="PlainTextChar" w:customStyle="1">
    <w:name w:val="Plain Text Char"/>
    <w:rPr>
      <w:rFonts w:ascii="Courier New" w:cs="Courier New" w:hAnsi="Courier New"/>
      <w:w w:val="100"/>
      <w:position w:val="-1"/>
      <w:effect w:val="none"/>
      <w:vertAlign w:val="baseline"/>
      <w:cs w:val="0"/>
      <w:em w:val="none"/>
      <w:lang w:eastAsia="en-US"/>
    </w:rPr>
  </w:style>
  <w:style w:type="paragraph" w:styleId="Quote">
    <w:name w:val="Quote"/>
    <w:basedOn w:val="Normal"/>
    <w:next w:val="Normal"/>
    <w:rPr>
      <w:i w:val="1"/>
      <w:iCs w:val="1"/>
      <w:color w:val="000000"/>
    </w:rPr>
  </w:style>
  <w:style w:type="character" w:styleId="QuoteChar" w:customStyle="1">
    <w:name w:val="Quote Char"/>
    <w:rPr>
      <w:i w:val="1"/>
      <w:iCs w:val="1"/>
      <w:color w:val="000000"/>
      <w:w w:val="100"/>
      <w:position w:val="-1"/>
      <w:sz w:val="22"/>
      <w:effect w:val="none"/>
      <w:vertAlign w:val="baseline"/>
      <w:cs w:val="0"/>
      <w:em w:val="none"/>
      <w:lang w:eastAsia="en-US"/>
    </w:rPr>
  </w:style>
  <w:style w:type="paragraph" w:styleId="Salutation">
    <w:name w:val="Salutation"/>
    <w:basedOn w:val="Normal"/>
    <w:next w:val="Normal"/>
  </w:style>
  <w:style w:type="character" w:styleId="SalutationChar" w:customStyle="1">
    <w:name w:val="Salutation Char"/>
    <w:rPr>
      <w:w w:val="100"/>
      <w:position w:val="-1"/>
      <w:sz w:val="22"/>
      <w:effect w:val="none"/>
      <w:vertAlign w:val="baseline"/>
      <w:cs w:val="0"/>
      <w:em w:val="none"/>
      <w:lang w:eastAsia="en-US"/>
    </w:rPr>
  </w:style>
  <w:style w:type="paragraph" w:styleId="Signature">
    <w:name w:val="Signature"/>
    <w:basedOn w:val="Normal"/>
    <w:pPr>
      <w:ind w:left="4252"/>
    </w:pPr>
  </w:style>
  <w:style w:type="character" w:styleId="SignatureChar" w:customStyle="1">
    <w:name w:val="Signature Char"/>
    <w:rPr>
      <w:w w:val="100"/>
      <w:position w:val="-1"/>
      <w:sz w:val="22"/>
      <w:effect w:val="none"/>
      <w:vertAlign w:val="baseline"/>
      <w:cs w:val="0"/>
      <w:em w:val="none"/>
      <w:lang w:eastAsia="en-US"/>
    </w:rPr>
  </w:style>
  <w:style w:type="character" w:styleId="Strong">
    <w:name w:val="Strong"/>
    <w:rPr>
      <w:b w:val="1"/>
      <w:bCs w:val="1"/>
      <w:w w:val="100"/>
      <w:position w:val="-1"/>
      <w:effect w:val="none"/>
      <w:vertAlign w:val="baseline"/>
      <w:cs w:val="0"/>
      <w:em w:val="none"/>
    </w:rPr>
  </w:style>
  <w:style w:type="character" w:styleId="SubtitleChar" w:customStyle="1">
    <w:name w:val="Subtitle Char"/>
    <w:rPr>
      <w:rFonts w:ascii="Cambria" w:cs="Times New Roman" w:eastAsia="Times New Roman" w:hAnsi="Cambria"/>
      <w:w w:val="100"/>
      <w:position w:val="-1"/>
      <w:sz w:val="24"/>
      <w:szCs w:val="24"/>
      <w:effect w:val="none"/>
      <w:vertAlign w:val="baseline"/>
      <w:cs w:val="0"/>
      <w:em w:val="none"/>
      <w:lang w:eastAsia="en-US"/>
    </w:rPr>
  </w:style>
  <w:style w:type="character" w:styleId="SubtleEmphasis">
    <w:name w:val="Subtle Emphasis"/>
    <w:rPr>
      <w:i w:val="1"/>
      <w:iCs w:val="1"/>
      <w:color w:val="808080"/>
      <w:w w:val="100"/>
      <w:position w:val="-1"/>
      <w:effect w:val="none"/>
      <w:vertAlign w:val="baseline"/>
      <w:cs w:val="0"/>
      <w:em w:val="none"/>
    </w:rPr>
  </w:style>
  <w:style w:type="character" w:styleId="SubtleReference">
    <w:name w:val="Subtle Reference"/>
    <w:rPr>
      <w:smallCaps w:val="1"/>
      <w:color w:val="c0504d"/>
      <w:w w:val="100"/>
      <w:position w:val="-1"/>
      <w:u w:val="single"/>
      <w:effect w:val="none"/>
      <w:vertAlign w:val="baseline"/>
      <w:cs w:val="0"/>
      <w:em w:val="none"/>
    </w:rPr>
  </w:style>
  <w:style w:type="table" w:styleId="Table3Deffects1">
    <w:name w:val="Table 3D effects 1"/>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style>
  <w:style w:type="table" w:styleId="Table3Deffects2">
    <w:name w:val="Table 3D effects 2"/>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StyleRowBandSize w:val="1"/>
    </w:tblPr>
  </w:style>
  <w:style w:type="table" w:styleId="Table3Deffects3">
    <w:name w:val="Table 3D effects 3"/>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StyleRowBandSize w:val="1"/>
      <w:tblStyleColBandSize w:val="1"/>
    </w:tblPr>
  </w:style>
  <w:style w:type="table" w:styleId="TableClassic1">
    <w:name w:val="Table Classic 1"/>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00" w:space="0" w:sz="12" w:val="single"/>
        <w:bottom w:color="000000" w:space="0" w:sz="12" w:val="single"/>
      </w:tblBorders>
    </w:tblPr>
  </w:style>
  <w:style w:type="table" w:styleId="TableClassic2">
    <w:name w:val="Table Classic 2"/>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00" w:space="0" w:sz="12" w:val="single"/>
        <w:bottom w:color="000000" w:space="0" w:sz="12" w:val="single"/>
      </w:tblBorders>
    </w:tblPr>
  </w:style>
  <w:style w:type="table" w:styleId="TableClassic3">
    <w:name w:val="Table Classic 3"/>
    <w:basedOn w:val="TableNormal"/>
    <w:pPr>
      <w:suppressAutoHyphens w:val="1"/>
      <w:overflowPunct w:val="0"/>
      <w:autoSpaceDE w:val="0"/>
      <w:autoSpaceDN w:val="0"/>
      <w:adjustRightInd w:val="0"/>
      <w:ind w:left="-1" w:leftChars="-1" w:hangingChars="1"/>
      <w:textDirection w:val="btLr"/>
      <w:textAlignment w:val="baseline"/>
      <w:outlineLvl w:val="0"/>
    </w:pPr>
    <w:rPr>
      <w:color w:val="000080"/>
      <w:position w:val="-1"/>
    </w:rPr>
    <w:tblPr>
      <w:tblBorders>
        <w:top w:color="000000" w:space="0" w:sz="12" w:val="single"/>
        <w:left w:color="000000" w:space="0" w:sz="12" w:val="single"/>
        <w:bottom w:color="000000" w:space="0" w:sz="12" w:val="single"/>
        <w:right w:color="000000" w:space="0" w:sz="12" w:val="single"/>
      </w:tblBorders>
    </w:tblPr>
  </w:style>
  <w:style w:type="table" w:styleId="TableClassic4">
    <w:name w:val="Table Classic 4"/>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00" w:space="0" w:sz="12" w:val="single"/>
        <w:left w:color="000000" w:space="0" w:sz="6" w:val="single"/>
        <w:bottom w:color="000000" w:space="0" w:sz="12" w:val="single"/>
        <w:right w:color="000000" w:space="0" w:sz="6" w:val="single"/>
      </w:tblBorders>
    </w:tblPr>
  </w:style>
  <w:style w:type="table" w:styleId="TableColourful1">
    <w:name w:val="Table Colorful 1"/>
    <w:basedOn w:val="TableNormal"/>
    <w:pPr>
      <w:suppressAutoHyphens w:val="1"/>
      <w:overflowPunct w:val="0"/>
      <w:autoSpaceDE w:val="0"/>
      <w:autoSpaceDN w:val="0"/>
      <w:adjustRightInd w:val="0"/>
      <w:ind w:left="-1" w:leftChars="-1" w:hangingChars="1"/>
      <w:textDirection w:val="btLr"/>
      <w:textAlignment w:val="baseline"/>
      <w:outlineLvl w:val="0"/>
    </w:pPr>
    <w:rPr>
      <w:color w:val="ffffff"/>
      <w:position w:val="-1"/>
    </w:rPr>
    <w:tblPr>
      <w:tblBorders>
        <w:top w:color="008080" w:space="0" w:sz="12" w:val="single"/>
        <w:left w:color="008080" w:space="0" w:sz="12" w:val="single"/>
        <w:bottom w:color="008080" w:space="0" w:sz="12" w:val="single"/>
        <w:right w:color="008080" w:space="0" w:sz="12" w:val="single"/>
        <w:insideH w:color="00ffff" w:space="0" w:sz="6" w:val="single"/>
      </w:tblBorders>
    </w:tblPr>
  </w:style>
  <w:style w:type="table" w:styleId="TableColourful2">
    <w:name w:val="Table Colorful 2"/>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bottom w:color="000000" w:space="0" w:sz="12" w:val="single"/>
      </w:tblBorders>
    </w:tblPr>
  </w:style>
  <w:style w:type="table" w:styleId="TableColourful3">
    <w:name w:val="Table Colorful 3"/>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00" w:space="0" w:sz="18" w:val="single"/>
        <w:left w:color="000000" w:space="0" w:sz="18" w:val="single"/>
        <w:bottom w:color="000000" w:space="0" w:sz="18" w:val="single"/>
        <w:right w:color="000000" w:space="0" w:sz="18" w:val="single"/>
        <w:insideH w:color="c0c0c0" w:space="0" w:sz="6" w:val="single"/>
      </w:tblBorders>
    </w:tblPr>
  </w:style>
  <w:style w:type="table" w:styleId="TableColumns1">
    <w:name w:val="Table Columns 1"/>
    <w:basedOn w:val="TableNormal"/>
    <w:pPr>
      <w:suppressAutoHyphens w:val="1"/>
      <w:overflowPunct w:val="0"/>
      <w:autoSpaceDE w:val="0"/>
      <w:autoSpaceDN w:val="0"/>
      <w:adjustRightInd w:val="0"/>
      <w:ind w:left="-1" w:leftChars="-1" w:hangingChars="1"/>
      <w:textDirection w:val="btLr"/>
      <w:textAlignment w:val="baseline"/>
      <w:outlineLvl w:val="0"/>
    </w:pPr>
    <w:rPr>
      <w:b w:val="1"/>
      <w:bCs w:val="1"/>
      <w:position w:val="-1"/>
    </w:rPr>
    <w:tblPr>
      <w:tblStyleColBandSize w:val="1"/>
      <w:tblBorders>
        <w:top w:color="000000" w:space="0" w:sz="12" w:val="single"/>
        <w:left w:color="000000" w:space="0" w:sz="12" w:val="single"/>
        <w:bottom w:color="000000" w:space="0" w:sz="12" w:val="single"/>
        <w:right w:color="000000" w:space="0" w:sz="12" w:val="single"/>
      </w:tblBorders>
    </w:tblPr>
  </w:style>
  <w:style w:type="table" w:styleId="TableColumns2">
    <w:name w:val="Table Columns 2"/>
    <w:basedOn w:val="TableNormal"/>
    <w:pPr>
      <w:suppressAutoHyphens w:val="1"/>
      <w:overflowPunct w:val="0"/>
      <w:autoSpaceDE w:val="0"/>
      <w:autoSpaceDN w:val="0"/>
      <w:adjustRightInd w:val="0"/>
      <w:ind w:left="-1" w:leftChars="-1" w:hangingChars="1"/>
      <w:textDirection w:val="btLr"/>
      <w:textAlignment w:val="baseline"/>
      <w:outlineLvl w:val="0"/>
    </w:pPr>
    <w:rPr>
      <w:b w:val="1"/>
      <w:bCs w:val="1"/>
      <w:position w:val="-1"/>
    </w:rPr>
    <w:tblPr>
      <w:tblStyleColBandSize w:val="1"/>
    </w:tblPr>
  </w:style>
  <w:style w:type="table" w:styleId="TableColumns3">
    <w:name w:val="Table Columns 3"/>
    <w:basedOn w:val="TableNormal"/>
    <w:pPr>
      <w:suppressAutoHyphens w:val="1"/>
      <w:overflowPunct w:val="0"/>
      <w:autoSpaceDE w:val="0"/>
      <w:autoSpaceDN w:val="0"/>
      <w:adjustRightInd w:val="0"/>
      <w:ind w:left="-1" w:leftChars="-1" w:hangingChars="1"/>
      <w:textDirection w:val="btLr"/>
      <w:textAlignment w:val="baseline"/>
      <w:outlineLvl w:val="0"/>
    </w:pPr>
    <w:rPr>
      <w:b w:val="1"/>
      <w:bCs w:val="1"/>
      <w:position w:val="-1"/>
    </w:rPr>
    <w:tblPr>
      <w:tblStyleColBandSize w:val="1"/>
      <w:tblBorders>
        <w:top w:color="000080" w:space="0" w:sz="6" w:val="single"/>
        <w:left w:color="000080" w:space="0" w:sz="6" w:val="single"/>
        <w:bottom w:color="000080" w:space="0" w:sz="6" w:val="single"/>
        <w:right w:color="000080" w:space="0" w:sz="6" w:val="single"/>
        <w:insideV w:color="000080" w:space="0" w:sz="6" w:val="single"/>
      </w:tblBorders>
    </w:tblPr>
  </w:style>
  <w:style w:type="table" w:styleId="TableColumns4">
    <w:name w:val="Table Columns 4"/>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StyleColBandSize w:val="1"/>
    </w:tblPr>
  </w:style>
  <w:style w:type="table" w:styleId="TableColumns5">
    <w:name w:val="Table Columns 5"/>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StyleColBandSize w:val="1"/>
      <w:tblBorders>
        <w:top w:color="808080" w:space="0" w:sz="12" w:val="single"/>
        <w:left w:color="808080" w:space="0" w:sz="12" w:val="single"/>
        <w:bottom w:color="808080" w:space="0" w:sz="12" w:val="single"/>
        <w:right w:color="808080" w:space="0" w:sz="12" w:val="single"/>
        <w:insideV w:color="c0c0c0" w:space="0" w:sz="6" w:val="single"/>
      </w:tblBorders>
    </w:tblPr>
  </w:style>
  <w:style w:type="table" w:styleId="TableContemporary">
    <w:name w:val="Table Contemporary"/>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StyleRowBandSize w:val="1"/>
      <w:tblBorders>
        <w:insideH w:color="ffffff" w:space="0" w:sz="18" w:val="single"/>
        <w:insideV w:color="ffffff" w:space="0" w:sz="18" w:val="single"/>
      </w:tblBorders>
    </w:tblPr>
  </w:style>
  <w:style w:type="table" w:styleId="TableElegant">
    <w:name w:val="Table Elegant"/>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style>
  <w:style w:type="table" w:styleId="TableGrid1">
    <w:name w:val="Table Grid 1"/>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style>
  <w:style w:type="table" w:styleId="TableGrid2">
    <w:name w:val="Table Grid 2"/>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insideH w:color="000000" w:space="0" w:sz="6" w:val="single"/>
        <w:insideV w:color="000000" w:space="0" w:sz="6" w:val="single"/>
      </w:tblBorders>
    </w:tblPr>
  </w:style>
  <w:style w:type="table" w:styleId="TableGrid3">
    <w:name w:val="Table Grid 3"/>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00" w:space="0" w:sz="6" w:val="single"/>
        <w:left w:color="000000" w:space="0" w:sz="12" w:val="single"/>
        <w:bottom w:color="000000" w:space="0" w:sz="6" w:val="single"/>
        <w:right w:color="000000" w:space="0" w:sz="12" w:val="single"/>
        <w:insideV w:color="000000" w:space="0" w:sz="6" w:val="single"/>
      </w:tblBorders>
    </w:tblPr>
  </w:style>
  <w:style w:type="table" w:styleId="TableGrid4">
    <w:name w:val="Table Grid 4"/>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left w:color="000000" w:space="0" w:sz="12" w:val="single"/>
        <w:right w:color="000000" w:space="0" w:sz="12" w:val="single"/>
        <w:insideH w:color="000000" w:space="0" w:sz="6" w:val="single"/>
        <w:insideV w:color="000000" w:space="0" w:sz="6" w:val="single"/>
      </w:tblBorders>
    </w:tblPr>
  </w:style>
  <w:style w:type="table" w:styleId="TableGrid5">
    <w:name w:val="Table Grid 5"/>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style>
  <w:style w:type="table" w:styleId="TableGrid6">
    <w:name w:val="Table Grid 6"/>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00" w:space="0" w:sz="12" w:val="single"/>
        <w:left w:color="000000" w:space="0" w:sz="12" w:val="single"/>
        <w:bottom w:color="000000" w:space="0" w:sz="12" w:val="single"/>
        <w:right w:color="000000" w:space="0" w:sz="12" w:val="single"/>
        <w:insideV w:color="000000" w:space="0" w:sz="6" w:val="single"/>
      </w:tblBorders>
    </w:tblPr>
  </w:style>
  <w:style w:type="table" w:styleId="TableGrid7">
    <w:name w:val="Table Grid 7"/>
    <w:basedOn w:val="TableNormal"/>
    <w:pPr>
      <w:suppressAutoHyphens w:val="1"/>
      <w:overflowPunct w:val="0"/>
      <w:autoSpaceDE w:val="0"/>
      <w:autoSpaceDN w:val="0"/>
      <w:adjustRightInd w:val="0"/>
      <w:ind w:left="-1" w:leftChars="-1" w:hangingChars="1"/>
      <w:textDirection w:val="btLr"/>
      <w:textAlignment w:val="baseline"/>
      <w:outlineLvl w:val="0"/>
    </w:pPr>
    <w:rPr>
      <w:b w:val="1"/>
      <w:bCs w:val="1"/>
      <w:position w:val="-1"/>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style>
  <w:style w:type="table" w:styleId="TableGrid8">
    <w:name w:val="Table Grid 8"/>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tblPr>
  </w:style>
  <w:style w:type="table" w:styleId="TableList1">
    <w:name w:val="Table List 1"/>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StyleRowBandSize w:val="1"/>
      <w:tblBorders>
        <w:top w:color="008080" w:space="0" w:sz="12" w:val="single"/>
        <w:left w:color="008080" w:space="0" w:sz="6" w:val="single"/>
        <w:bottom w:color="008080" w:space="0" w:sz="12" w:val="single"/>
        <w:right w:color="008080" w:space="0" w:sz="6" w:val="single"/>
      </w:tblBorders>
    </w:tblPr>
  </w:style>
  <w:style w:type="table" w:styleId="TableList2">
    <w:name w:val="Table List 2"/>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StyleRowBandSize w:val="2"/>
      <w:tblBorders>
        <w:bottom w:color="808080" w:space="0" w:sz="12" w:val="single"/>
      </w:tblBorders>
    </w:tblPr>
  </w:style>
  <w:style w:type="table" w:styleId="TableList3">
    <w:name w:val="Table List 3"/>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00" w:space="0" w:sz="12" w:val="single"/>
        <w:bottom w:color="000000" w:space="0" w:sz="12" w:val="single"/>
        <w:insideH w:color="000000" w:space="0" w:sz="6" w:val="single"/>
      </w:tblBorders>
    </w:tblPr>
  </w:style>
  <w:style w:type="table" w:styleId="TableList4">
    <w:name w:val="Table List 4"/>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00" w:space="0" w:sz="12" w:val="single"/>
        <w:left w:color="000000" w:space="0" w:sz="12" w:val="single"/>
        <w:bottom w:color="000000" w:space="0" w:sz="12" w:val="single"/>
        <w:right w:color="000000" w:space="0" w:sz="12" w:val="single"/>
        <w:insideH w:color="000000" w:space="0" w:sz="6" w:val="single"/>
      </w:tblBorders>
    </w:tblPr>
  </w:style>
  <w:style w:type="table" w:styleId="TableList5">
    <w:name w:val="Table List 5"/>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00" w:space="0" w:sz="6" w:val="single"/>
        <w:left w:color="000000" w:space="0" w:sz="6" w:val="single"/>
        <w:bottom w:color="000000" w:space="0" w:sz="6" w:val="single"/>
        <w:right w:color="000000" w:space="0" w:sz="6" w:val="single"/>
        <w:insideH w:color="000000" w:space="0" w:sz="6" w:val="single"/>
      </w:tblBorders>
    </w:tblPr>
  </w:style>
  <w:style w:type="table" w:styleId="TableList6">
    <w:name w:val="Table List 6"/>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StyleRowBandSize w:val="1"/>
      <w:tblBorders>
        <w:top w:color="000000" w:space="0" w:sz="6" w:val="single"/>
        <w:left w:color="000000" w:space="0" w:sz="6" w:val="single"/>
        <w:bottom w:color="000000" w:space="0" w:sz="6" w:val="single"/>
        <w:right w:color="000000" w:space="0" w:sz="6" w:val="single"/>
      </w:tblBorders>
    </w:tblPr>
  </w:style>
  <w:style w:type="table" w:styleId="TableList7">
    <w:name w:val="Table List 7"/>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StyleRowBandSize w:val="1"/>
      <w:tblBorders>
        <w:top w:color="008000" w:space="0" w:sz="12" w:val="single"/>
        <w:left w:color="008000" w:space="0" w:sz="6" w:val="single"/>
        <w:bottom w:color="008000" w:space="0" w:sz="12" w:val="single"/>
        <w:right w:color="008000" w:space="0" w:sz="6" w:val="single"/>
        <w:insideH w:color="000000" w:space="0" w:sz="6" w:val="single"/>
      </w:tblBorders>
    </w:tblPr>
  </w:style>
  <w:style w:type="table" w:styleId="TableList8">
    <w:name w:val="Table List 8"/>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StyleRowBandSize w:val="1"/>
      <w:tblBorders>
        <w:top w:color="000000" w:space="0" w:sz="6" w:val="single"/>
        <w:left w:color="000000" w:space="0" w:sz="6" w:val="single"/>
        <w:bottom w:color="000000" w:space="0" w:sz="6" w:val="single"/>
        <w:right w:color="000000" w:space="0" w:sz="6" w:val="single"/>
        <w:insideV w:color="000000" w:space="0" w:sz="6" w:val="single"/>
      </w:tblBorders>
    </w:tbl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table" w:styleId="TableProfessional">
    <w:name w:val="Table Professional"/>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style>
  <w:style w:type="table" w:styleId="TableSimple1">
    <w:name w:val="Table Simple 1"/>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8000" w:space="0" w:sz="12" w:val="single"/>
        <w:bottom w:color="008000" w:space="0" w:sz="12" w:val="single"/>
      </w:tblBorders>
    </w:tblPr>
  </w:style>
  <w:style w:type="table" w:styleId="TableSimple2">
    <w:name w:val="Table Simple 2"/>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style>
  <w:style w:type="table" w:styleId="TableSimple3">
    <w:name w:val="Table Simple 3"/>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000000" w:space="0" w:sz="12" w:val="single"/>
        <w:left w:color="000000" w:space="0" w:sz="12" w:val="single"/>
        <w:bottom w:color="000000" w:space="0" w:sz="12" w:val="single"/>
        <w:right w:color="000000" w:space="0" w:sz="12" w:val="single"/>
      </w:tblBorders>
    </w:tblPr>
  </w:style>
  <w:style w:type="table" w:styleId="TableSubtle1">
    <w:name w:val="Table Subtle 1"/>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StyleRowBandSize w:val="1"/>
    </w:tblPr>
  </w:style>
  <w:style w:type="table" w:styleId="TableSubtle2">
    <w:name w:val="Table Subtle 2"/>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left w:color="000000" w:space="0" w:sz="6" w:val="single"/>
        <w:right w:color="000000" w:space="0" w:sz="6" w:val="single"/>
      </w:tblBorders>
    </w:tblPr>
  </w:style>
  <w:style w:type="table" w:styleId="TableTheme">
    <w:name w:val="Table Theme"/>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Web1">
    <w:name w:val="Table Web 1"/>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style>
  <w:style w:type="table" w:styleId="TableWeb2">
    <w:name w:val="Table Web 2"/>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CellSpacing w:w="20.0" w:type="dxa"/>
      <w:tblBorders>
        <w:top w:color="auto" w:space="0" w:sz="6" w:val="inset"/>
        <w:left w:color="auto" w:space="0" w:sz="6" w:val="inset"/>
        <w:bottom w:color="auto" w:space="0" w:sz="6" w:val="inset"/>
        <w:right w:color="auto" w:space="0" w:sz="6" w:val="inset"/>
        <w:insideH w:color="auto" w:space="0" w:sz="6" w:val="inset"/>
        <w:insideV w:color="auto" w:space="0" w:sz="6" w:val="inset"/>
      </w:tblBorders>
    </w:tblPr>
    <w:trPr>
      <w:tblCellSpacing w:w="20.0" w:type="dxa"/>
    </w:trPr>
  </w:style>
  <w:style w:type="table" w:styleId="TableWeb3">
    <w:name w:val="Table Web 3"/>
    <w:basedOn w:val="TableNormal"/>
    <w:pPr>
      <w:suppressAutoHyphens w:val="1"/>
      <w:overflowPunct w:val="0"/>
      <w:autoSpaceDE w:val="0"/>
      <w:autoSpaceDN w:val="0"/>
      <w:adjustRightInd w:val="0"/>
      <w:ind w:left="-1" w:leftChars="-1" w:hangingChars="1"/>
      <w:textDirection w:val="btLr"/>
      <w:textAlignment w:val="baseline"/>
      <w:outlineLvl w:val="0"/>
    </w:pPr>
    <w:rPr>
      <w:position w:val="-1"/>
    </w:rPr>
    <w:tblPr>
      <w:tblCellSpacing w:w="20.0" w:type="dxa"/>
      <w:tblBorders>
        <w:top w:color="auto" w:space="0" w:sz="24" w:val="outset"/>
        <w:left w:color="auto" w:space="0" w:sz="24" w:val="outset"/>
        <w:bottom w:color="auto" w:space="0" w:sz="24" w:val="outset"/>
        <w:right w:color="auto" w:space="0" w:sz="24" w:val="outset"/>
        <w:insideH w:color="auto" w:space="0" w:sz="6" w:val="outset"/>
        <w:insideV w:color="auto" w:space="0" w:sz="6" w:val="outset"/>
      </w:tblBorders>
    </w:tblPr>
    <w:trPr>
      <w:tblCellSpacing w:w="20.0" w:type="dxa"/>
    </w:trPr>
  </w:style>
  <w:style w:type="paragraph" w:styleId="TOCHeading">
    <w:name w:val="TOC Heading"/>
    <w:basedOn w:val="Heading1"/>
    <w:next w:val="Normal"/>
    <w:qFormat w:val="1"/>
    <w:pPr>
      <w:keepNext w:val="1"/>
      <w:overflowPunct w:val="0"/>
      <w:autoSpaceDE w:val="0"/>
      <w:autoSpaceDN w:val="0"/>
      <w:spacing w:after="60" w:before="240"/>
      <w:ind w:left="-1" w:leftChars="-1" w:hangingChars="1"/>
      <w:textAlignment w:val="baseline"/>
      <w:outlineLvl w:val="9"/>
    </w:pPr>
    <w:rPr>
      <w:rFonts w:ascii="Cambria" w:hAnsi="Cambria"/>
      <w:b w:val="1"/>
      <w:bCs w:val="1"/>
      <w:kern w:val="32"/>
      <w:sz w:val="32"/>
      <w:szCs w:val="32"/>
    </w:rPr>
  </w:style>
  <w:style w:type="character" w:styleId="Heading1Char" w:customStyle="1">
    <w:name w:val="Heading 1 Char"/>
    <w:rPr>
      <w:w w:val="100"/>
      <w:position w:val="-1"/>
      <w:sz w:val="22"/>
      <w:effect w:val="none"/>
      <w:vertAlign w:val="baseline"/>
      <w:cs w:val="0"/>
      <w:em w:val="none"/>
      <w:lang w:eastAsia="zh-CN"/>
    </w:rPr>
  </w:style>
  <w:style w:type="character" w:styleId="Heading2Char" w:customStyle="1">
    <w:name w:val="Heading 2 Char"/>
    <w:rPr>
      <w:rFonts w:ascii="Calibri" w:eastAsia="STZhongsong" w:hAnsi="Calibri"/>
      <w:w w:val="100"/>
      <w:position w:val="-1"/>
      <w:sz w:val="22"/>
      <w:effect w:val="none"/>
      <w:vertAlign w:val="baseline"/>
      <w:cs w:val="0"/>
      <w:em w:val="none"/>
      <w:lang w:eastAsia="zh-CN"/>
    </w:rPr>
  </w:style>
  <w:style w:type="character" w:styleId="Heading3Char" w:customStyle="1">
    <w:name w:val="Heading 3 Char"/>
    <w:rPr>
      <w:w w:val="100"/>
      <w:position w:val="-1"/>
      <w:sz w:val="22"/>
      <w:effect w:val="none"/>
      <w:vertAlign w:val="baseline"/>
      <w:cs w:val="0"/>
      <w:em w:val="none"/>
      <w:lang w:eastAsia="zh-CN"/>
    </w:rPr>
  </w:style>
  <w:style w:type="character" w:styleId="Heading4Char" w:customStyle="1">
    <w:name w:val="Heading 4 Char"/>
    <w:rPr>
      <w:w w:val="100"/>
      <w:position w:val="-1"/>
      <w:sz w:val="22"/>
      <w:effect w:val="none"/>
      <w:vertAlign w:val="baseline"/>
      <w:cs w:val="0"/>
      <w:em w:val="none"/>
      <w:lang w:eastAsia="zh-CN"/>
    </w:rPr>
  </w:style>
  <w:style w:type="character" w:styleId="Heading5Char" w:customStyle="1">
    <w:name w:val="Heading 5 Char"/>
    <w:rPr>
      <w:w w:val="100"/>
      <w:position w:val="-1"/>
      <w:sz w:val="22"/>
      <w:effect w:val="none"/>
      <w:vertAlign w:val="baseline"/>
      <w:cs w:val="0"/>
      <w:em w:val="none"/>
      <w:lang w:eastAsia="zh-CN"/>
    </w:rPr>
  </w:style>
  <w:style w:type="character" w:styleId="MarginTextChar" w:customStyle="1">
    <w:name w:val="Margin Text Char"/>
    <w:rPr>
      <w:rFonts w:ascii="Calibri" w:eastAsia="STZhongsong" w:hAnsi="Calibri"/>
      <w:w w:val="100"/>
      <w:position w:val="-1"/>
      <w:sz w:val="22"/>
      <w:effect w:val="none"/>
      <w:vertAlign w:val="baseline"/>
      <w:cs w:val="0"/>
      <w:em w:val="none"/>
      <w:lang w:eastAsia="zh-CN"/>
    </w:rPr>
  </w:style>
  <w:style w:type="character" w:styleId="BodyTextIndent2Char" w:customStyle="1">
    <w:name w:val="Body Text Indent 2 Char"/>
    <w:rPr>
      <w:w w:val="100"/>
      <w:position w:val="-1"/>
      <w:sz w:val="22"/>
      <w:effect w:val="none"/>
      <w:vertAlign w:val="baseline"/>
      <w:cs w:val="0"/>
      <w:em w:val="none"/>
      <w:lang w:eastAsia="zh-CN"/>
    </w:rPr>
  </w:style>
  <w:style w:type="paragraph" w:styleId="PartDes" w:customStyle="1">
    <w:name w:val="PartDes"/>
    <w:basedOn w:val="Normal"/>
    <w:pPr>
      <w:spacing w:after="120" w:before="120" w:line="240" w:lineRule="auto"/>
      <w:jc w:val="center"/>
    </w:pPr>
    <w:rPr>
      <w:rFonts w:ascii="Trebuchet MS" w:eastAsia="Trebuchet MS" w:hAnsi="Trebuchet MS"/>
      <w:b w:val="1"/>
      <w:bCs w:val="1"/>
    </w:rPr>
  </w:style>
  <w:style w:type="paragraph" w:styleId="TableNormal10" w:customStyle="1">
    <w:name w:val="Table Normal1"/>
    <w:basedOn w:val="Normal"/>
    <w:pPr>
      <w:spacing w:after="120" w:before="120" w:line="240" w:lineRule="auto"/>
      <w:ind w:left="34"/>
      <w:jc w:val="left"/>
    </w:pPr>
    <w:rPr>
      <w:rFonts w:ascii="Trebuchet MS" w:eastAsia="Trebuchet MS" w:hAnsi="Trebuchet MS"/>
    </w:rPr>
  </w:style>
  <w:style w:type="paragraph" w:styleId="Heading2-NotBoldNotUnderlined" w:customStyle="1">
    <w:name w:val="Heading 2 - Not Bold Not Underlined"/>
    <w:basedOn w:val="Heading2"/>
    <w:pPr>
      <w:spacing w:after="200"/>
      <w:ind w:left="1582" w:leftChars="-1" w:hanging="720" w:hangingChars="1"/>
    </w:pPr>
    <w:rPr>
      <w:rFonts w:ascii="Arial" w:cs="Arial" w:hAnsi="Arial"/>
      <w:sz w:val="20"/>
    </w:rPr>
  </w:style>
  <w:style w:type="paragraph" w:styleId="Body2" w:customStyle="1">
    <w:name w:val="Body2"/>
    <w:basedOn w:val="Normal"/>
    <w:pPr>
      <w:ind w:left="709"/>
    </w:pPr>
    <w:rPr>
      <w:sz w:val="24"/>
      <w:szCs w:val="24"/>
    </w:rPr>
  </w:style>
  <w:style w:type="paragraph" w:styleId="GPSL1CLAUSEHEADING" w:customStyle="1">
    <w:name w:val="GPS L1 CLAUSE HEADING"/>
    <w:basedOn w:val="Normal"/>
    <w:next w:val="Normal"/>
    <w:pPr>
      <w:tabs>
        <w:tab w:val="left" w:pos="142"/>
      </w:tabs>
      <w:spacing w:before="120" w:line="240" w:lineRule="auto"/>
      <w:outlineLvl w:val="1"/>
    </w:pPr>
    <w:rPr>
      <w:rFonts w:ascii="Calibri" w:cs="Arial" w:eastAsia="STZhongsong" w:hAnsi="Calibri"/>
      <w:b w:val="1"/>
      <w:caps w:val="1"/>
      <w:lang w:eastAsia="zh-CN"/>
    </w:rPr>
  </w:style>
  <w:style w:type="paragraph" w:styleId="GPSL3numberedclause" w:customStyle="1">
    <w:name w:val="GPS L3 numbered clause"/>
    <w:basedOn w:val="Normal"/>
    <w:pPr>
      <w:tabs>
        <w:tab w:val="left" w:pos="1985"/>
      </w:tabs>
      <w:spacing w:after="120" w:before="120" w:line="240" w:lineRule="auto"/>
    </w:pPr>
    <w:rPr>
      <w:rFonts w:ascii="Calibri" w:cs="Arial" w:hAnsi="Calibri"/>
      <w:lang w:eastAsia="zh-CN"/>
    </w:rPr>
  </w:style>
  <w:style w:type="paragraph" w:styleId="GPSL4numberedclause" w:customStyle="1">
    <w:name w:val="GPS L4 numbered clause"/>
    <w:basedOn w:val="GPSL3numberedclause"/>
    <w:pPr>
      <w:tabs>
        <w:tab w:val="left" w:pos="2552"/>
      </w:tabs>
    </w:pPr>
  </w:style>
  <w:style w:type="paragraph" w:styleId="GPSL5numberedclause" w:customStyle="1">
    <w:name w:val="GPS L5 numbered clause"/>
    <w:basedOn w:val="GPSL4numberedclause"/>
    <w:pPr>
      <w:tabs>
        <w:tab w:val="left" w:pos="3119"/>
      </w:tabs>
    </w:pPr>
  </w:style>
  <w:style w:type="paragraph" w:styleId="GPSL2NumberedBoldHeading" w:customStyle="1">
    <w:name w:val="GPS L2 Numbered Bold Heading"/>
    <w:basedOn w:val="Normal"/>
    <w:pPr>
      <w:tabs>
        <w:tab w:val="left" w:pos="1134"/>
      </w:tabs>
      <w:spacing w:after="120" w:before="120" w:line="240" w:lineRule="auto"/>
    </w:pPr>
    <w:rPr>
      <w:rFonts w:ascii="Calibri" w:cs="Arial" w:hAnsi="Calibri"/>
      <w:b w:val="1"/>
      <w:lang w:eastAsia="zh-CN"/>
    </w:rPr>
  </w:style>
  <w:style w:type="paragraph" w:styleId="GPSL6numbered" w:customStyle="1">
    <w:name w:val="GPS L6 numbered"/>
    <w:basedOn w:val="GPSL5numberedclause"/>
    <w:pPr>
      <w:tabs>
        <w:tab w:val="left" w:pos="3686"/>
      </w:tabs>
    </w:pPr>
  </w:style>
  <w:style w:type="character" w:styleId="GPSL3numberedclauseChar" w:customStyle="1">
    <w:name w:val="GPS L3 numbered clause Char"/>
    <w:rPr>
      <w:rFonts w:ascii="Calibri" w:cs="Arial" w:hAnsi="Calibri"/>
      <w:w w:val="100"/>
      <w:position w:val="-1"/>
      <w:sz w:val="22"/>
      <w:szCs w:val="22"/>
      <w:effect w:val="none"/>
      <w:vertAlign w:val="baseline"/>
      <w:cs w:val="0"/>
      <w:em w:val="none"/>
      <w:lang w:eastAsia="zh-CN"/>
    </w:rPr>
  </w:style>
  <w:style w:type="paragraph" w:styleId="GPSL1SCHEDULEHeading" w:customStyle="1">
    <w:name w:val="GPS L1 SCHEDULE Heading"/>
    <w:basedOn w:val="GPSL1CLAUSEHEADING"/>
    <w:pPr>
      <w:keepNext w:val="1"/>
      <w:tabs>
        <w:tab w:val="clear" w:pos="142"/>
      </w:tabs>
      <w:outlineLvl w:val="9"/>
    </w:pPr>
  </w:style>
  <w:style w:type="paragraph" w:styleId="GPSL2Numbered" w:customStyle="1">
    <w:name w:val="GPS L2 Numbered"/>
    <w:basedOn w:val="GPSL2NumberedBoldHeading"/>
    <w:pPr>
      <w:tabs>
        <w:tab w:val="clear" w:pos="1134"/>
      </w:tabs>
    </w:pPr>
    <w:rPr>
      <w:b w:val="0"/>
    </w:rPr>
  </w:style>
  <w:style w:type="character" w:styleId="GPSL2NumberedChar" w:customStyle="1">
    <w:name w:val="GPS L2 Numbered Char"/>
    <w:rPr>
      <w:rFonts w:ascii="Calibri" w:cs="Arial" w:hAnsi="Calibri"/>
      <w:w w:val="100"/>
      <w:position w:val="-1"/>
      <w:sz w:val="22"/>
      <w:szCs w:val="22"/>
      <w:effect w:val="none"/>
      <w:vertAlign w:val="baseline"/>
      <w:cs w:val="0"/>
      <w:em w:val="none"/>
      <w:lang w:eastAsia="zh-CN"/>
    </w:rPr>
  </w:style>
  <w:style w:type="character" w:styleId="GPSL1SCHEDULEHeadingChar" w:customStyle="1">
    <w:name w:val="GPS L1 SCHEDULE Heading Char"/>
    <w:rPr>
      <w:rFonts w:ascii="Calibri" w:cs="Arial" w:eastAsia="STZhongsong" w:hAnsi="Calibri"/>
      <w:b w:val="1"/>
      <w:caps w:val="1"/>
      <w:w w:val="100"/>
      <w:position w:val="-1"/>
      <w:sz w:val="22"/>
      <w:szCs w:val="22"/>
      <w:effect w:val="none"/>
      <w:vertAlign w:val="baseline"/>
      <w:cs w:val="0"/>
      <w:em w:val="none"/>
      <w:lang w:eastAsia="zh-CN"/>
    </w:rPr>
  </w:style>
  <w:style w:type="character" w:styleId="FooterChar" w:customStyle="1">
    <w:name w:val="Footer Char"/>
    <w:rPr>
      <w:w w:val="100"/>
      <w:position w:val="-1"/>
      <w:sz w:val="22"/>
      <w:effect w:val="none"/>
      <w:vertAlign w:val="baseline"/>
      <w:cs w:val="0"/>
      <w:em w:val="none"/>
      <w:lang w:eastAsia="en-US"/>
    </w:rPr>
  </w:style>
  <w:style w:type="paragraph" w:styleId="GPsDefinition" w:customStyle="1">
    <w:name w:val="GPs Definition"/>
    <w:basedOn w:val="Normal"/>
    <w:pPr>
      <w:tabs>
        <w:tab w:val="left" w:pos="-9"/>
        <w:tab w:val="num" w:pos="720"/>
      </w:tabs>
      <w:spacing w:after="120" w:line="240" w:lineRule="auto"/>
    </w:pPr>
    <w:rPr>
      <w:rFonts w:ascii="Arial" w:cs="Arial" w:hAnsi="Arial"/>
    </w:rPr>
  </w:style>
  <w:style w:type="paragraph" w:styleId="GPSDefinitionL2" w:customStyle="1">
    <w:name w:val="GPS Definition L2"/>
    <w:basedOn w:val="GPsDefinition"/>
    <w:pPr>
      <w:tabs>
        <w:tab w:val="clear" w:pos="-9"/>
        <w:tab w:val="clear" w:pos="720"/>
        <w:tab w:val="left" w:pos="144"/>
        <w:tab w:val="num" w:pos="1440"/>
      </w:tabs>
      <w:ind w:hanging="545"/>
    </w:pPr>
  </w:style>
  <w:style w:type="paragraph" w:styleId="GPSDefinitionL3" w:customStyle="1">
    <w:name w:val="GPS Definition L3"/>
    <w:basedOn w:val="GPSDefinitionL2"/>
    <w:pPr>
      <w:tabs>
        <w:tab w:val="clear" w:pos="1440"/>
        <w:tab w:val="num" w:pos="2160"/>
      </w:tabs>
    </w:pPr>
  </w:style>
  <w:style w:type="paragraph" w:styleId="GPSDefinitionL4" w:customStyle="1">
    <w:name w:val="GPS Definition L4"/>
    <w:basedOn w:val="GPSDefinitionL3"/>
    <w:pPr>
      <w:tabs>
        <w:tab w:val="clear" w:pos="2160"/>
        <w:tab w:val="num" w:pos="2880"/>
      </w:tabs>
    </w:pPr>
  </w:style>
  <w:style w:type="paragraph" w:styleId="GPSDefinitionTerm" w:customStyle="1">
    <w:name w:val="GPS Definition Term"/>
    <w:basedOn w:val="Normal"/>
    <w:pPr>
      <w:spacing w:after="120" w:line="240" w:lineRule="auto"/>
      <w:ind w:left="-108"/>
      <w:jc w:val="left"/>
    </w:pPr>
    <w:rPr>
      <w:rFonts w:ascii="Arial" w:cs="Arial" w:hAnsi="Arial"/>
      <w:b w:val="1"/>
    </w:rPr>
  </w:style>
  <w:style w:type="character" w:styleId="HeaderChar" w:customStyle="1">
    <w:name w:val="Header Char"/>
    <w:rPr>
      <w:w w:val="100"/>
      <w:position w:val="-1"/>
      <w:sz w:val="22"/>
      <w:effect w:val="none"/>
      <w:vertAlign w:val="baseline"/>
      <w:cs w:val="0"/>
      <w:em w:val="none"/>
      <w:lang w:eastAsia="en-US"/>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rPr>
      <w:rFonts w:ascii="Cambria" w:cs="Cambria" w:eastAsia="Cambria" w:hAnsi="Cambria"/>
      <w:b w:val="1"/>
      <w:color w:val="ffffff"/>
    </w:rPr>
    <w:tblPr>
      <w:tblStyleRowBandSize w:val="1"/>
      <w:tblStyleColBandSize w:val="1"/>
    </w:tblPr>
  </w:style>
  <w:style w:type="table" w:styleId="a3" w:customStyle="1">
    <w:basedOn w:val="TableNormal"/>
    <w:rPr>
      <w:rFonts w:ascii="Cambria" w:cs="Cambria" w:eastAsia="Cambria" w:hAnsi="Cambria"/>
      <w:b w:val="1"/>
      <w:color w:val="ffffff"/>
    </w:rPr>
    <w:tblPr>
      <w:tblStyleRowBandSize w:val="1"/>
      <w:tblStyleColBandSize w:val="1"/>
    </w:tblPr>
  </w:style>
  <w:style w:type="table" w:styleId="a4" w:customStyle="1">
    <w:basedOn w:val="TableNormal"/>
    <w:rPr>
      <w:rFonts w:ascii="Cambria" w:cs="Cambria" w:eastAsia="Cambria" w:hAnsi="Cambria"/>
      <w:b w:val="1"/>
      <w:color w:val="ffffff"/>
    </w:rPr>
    <w:tblPr>
      <w:tblStyleRowBandSize w:val="1"/>
      <w:tblStyleColBandSize w:val="1"/>
    </w:tblPr>
  </w:style>
  <w:style w:type="table" w:styleId="a5" w:customStyle="1">
    <w:basedOn w:val="TableNormal"/>
    <w:rPr>
      <w:rFonts w:ascii="Cambria" w:cs="Cambria" w:eastAsia="Cambria" w:hAnsi="Cambria"/>
      <w:b w:val="1"/>
      <w:color w:val="ffffff"/>
    </w:rPr>
    <w:tblPr>
      <w:tblStyleRowBandSize w:val="1"/>
      <w:tblStyleColBandSize w:val="1"/>
    </w:tblPr>
  </w:style>
  <w:style w:type="table" w:styleId="a6" w:customStyle="1">
    <w:basedOn w:val="TableNormal"/>
    <w:rPr>
      <w:rFonts w:ascii="Cambria" w:cs="Cambria" w:eastAsia="Cambria" w:hAnsi="Cambria"/>
      <w:b w:val="1"/>
      <w:color w:val="ffffff"/>
    </w:rPr>
    <w:tblPr>
      <w:tblStyleRowBandSize w:val="1"/>
      <w:tblStyleColBandSize w:val="1"/>
    </w:tblPr>
  </w:style>
  <w:style w:type="table" w:styleId="a7" w:customStyle="1">
    <w:basedOn w:val="TableNormal"/>
    <w:rPr>
      <w:rFonts w:ascii="Cambria" w:cs="Cambria" w:eastAsia="Cambria" w:hAnsi="Cambria"/>
      <w:b w:val="1"/>
      <w:color w:val="ffffff"/>
    </w:rPr>
    <w:tblPr>
      <w:tblStyleRowBandSize w:val="1"/>
      <w:tblStyleColBandSize w:val="1"/>
    </w:tblPr>
  </w:style>
  <w:style w:type="table" w:styleId="a8" w:customStyle="1">
    <w:basedOn w:val="TableNormal"/>
    <w:rPr>
      <w:rFonts w:ascii="Cambria" w:cs="Cambria" w:eastAsia="Cambria" w:hAnsi="Cambria"/>
      <w:b w:val="1"/>
      <w:color w:val="ffffff"/>
    </w:rPr>
    <w:tblPr>
      <w:tblStyleRowBandSize w:val="1"/>
      <w:tblStyleColBandSize w:val="1"/>
    </w:tblPr>
  </w:style>
  <w:style w:type="table" w:styleId="a9" w:customStyle="1">
    <w:basedOn w:val="TableNormal"/>
    <w:rPr>
      <w:rFonts w:ascii="Cambria" w:cs="Cambria" w:eastAsia="Cambria" w:hAnsi="Cambria"/>
      <w:b w:val="1"/>
      <w:color w:val="ffffff"/>
    </w:rPr>
    <w:tblPr>
      <w:tblStyleRowBandSize w:val="1"/>
      <w:tblStyleColBandSize w:val="1"/>
    </w:tblPr>
  </w:style>
  <w:style w:type="paragraph" w:styleId="Revision">
    <w:name w:val="Revision"/>
    <w:hidden w:val="1"/>
    <w:uiPriority w:val="99"/>
    <w:semiHidden w:val="1"/>
    <w:rsid w:val="001273C6"/>
    <w:pPr>
      <w:spacing w:after="0" w:line="240" w:lineRule="auto"/>
      <w:ind w:firstLine="0"/>
      <w:jc w:val="left"/>
    </w:pPr>
    <w:rPr>
      <w:position w:val="-1"/>
      <w:lang w:eastAsia="en-US"/>
    </w:rPr>
  </w:style>
  <w:style w:type="table" w:styleId="aa" w:customStyle="1">
    <w:basedOn w:val="TableNormal"/>
    <w:rPr>
      <w:rFonts w:ascii="Cambria" w:cs="Cambria" w:eastAsia="Cambria" w:hAnsi="Cambria"/>
      <w:b w:val="1"/>
      <w:color w:val="ffffff"/>
    </w:rPr>
    <w:tblPr>
      <w:tblStyleRowBandSize w:val="1"/>
      <w:tblStyleColBandSize w:val="1"/>
    </w:tblPr>
  </w:style>
  <w:style w:type="table" w:styleId="ab" w:customStyle="1">
    <w:basedOn w:val="TableNormal"/>
    <w:rPr>
      <w:rFonts w:ascii="Cambria" w:cs="Cambria" w:eastAsia="Cambria" w:hAnsi="Cambria"/>
      <w:b w:val="1"/>
      <w:color w:val="ffffff"/>
    </w:rPr>
    <w:tblPr>
      <w:tblStyleRowBandSize w:val="1"/>
      <w:tblStyleColBandSize w:val="1"/>
    </w:tblPr>
  </w:style>
  <w:style w:type="table" w:styleId="ac" w:customStyle="1">
    <w:basedOn w:val="TableNormal"/>
    <w:rPr>
      <w:rFonts w:ascii="Cambria" w:cs="Cambria" w:eastAsia="Cambria" w:hAnsi="Cambria"/>
      <w:b w:val="1"/>
      <w:color w:val="ffffff"/>
    </w:rPr>
    <w:tblPr>
      <w:tblStyleRowBandSize w:val="1"/>
      <w:tblStyleColBandSize w:val="1"/>
    </w:tblPr>
  </w:style>
  <w:style w:type="table" w:styleId="ad" w:customStyle="1">
    <w:basedOn w:val="TableNormal"/>
    <w:rPr>
      <w:rFonts w:ascii="Cambria" w:cs="Cambria" w:eastAsia="Cambria" w:hAnsi="Cambria"/>
      <w:b w:val="1"/>
      <w:color w:val="ffffff"/>
    </w:rPr>
    <w:tblPr>
      <w:tblStyleRowBandSize w:val="1"/>
      <w:tblStyleColBandSize w:val="1"/>
    </w:tblPr>
  </w:style>
  <w:style w:type="table" w:styleId="ae" w:customStyle="1">
    <w:basedOn w:val="TableNormal"/>
    <w:rPr>
      <w:rFonts w:ascii="Cambria" w:cs="Cambria" w:eastAsia="Cambria" w:hAnsi="Cambria"/>
      <w:b w:val="1"/>
      <w:color w:val="ffffff"/>
    </w:rPr>
    <w:tblPr>
      <w:tblStyleRowBandSize w:val="1"/>
      <w:tblStyleColBandSize w:val="1"/>
    </w:tblPr>
  </w:style>
  <w:style w:type="table" w:styleId="af" w:customStyle="1">
    <w:basedOn w:val="TableNormal"/>
    <w:rPr>
      <w:rFonts w:ascii="Cambria" w:cs="Cambria" w:eastAsia="Cambria" w:hAnsi="Cambria"/>
      <w:b w:val="1"/>
      <w:color w:val="ffffff"/>
    </w:rPr>
    <w:tblPr>
      <w:tblStyleRowBandSize w:val="1"/>
      <w:tblStyleColBandSize w:val="1"/>
    </w:tblPr>
  </w:style>
  <w:style w:type="table" w:styleId="af0" w:customStyle="1">
    <w:basedOn w:val="TableNormal"/>
    <w:rPr>
      <w:rFonts w:ascii="Cambria" w:cs="Cambria" w:eastAsia="Cambria" w:hAnsi="Cambria"/>
      <w:b w:val="1"/>
      <w:color w:val="ffffff"/>
    </w:rPr>
    <w:tblPr>
      <w:tblStyleRowBandSize w:val="1"/>
      <w:tblStyleColBandSize w:val="1"/>
    </w:tblPr>
  </w:style>
  <w:style w:type="table" w:styleId="af1" w:customStyle="1">
    <w:basedOn w:val="TableNormal"/>
    <w:rPr>
      <w:rFonts w:ascii="Cambria" w:cs="Cambria" w:eastAsia="Cambria" w:hAnsi="Cambria"/>
      <w:b w:val="1"/>
      <w:color w:val="ffffff"/>
    </w:rPr>
    <w:tblPr>
      <w:tblStyleRowBandSize w:val="1"/>
      <w:tblStyleColBandSize w:val="1"/>
    </w:tblPr>
  </w:style>
  <w:style w:type="table" w:styleId="af2" w:customStyle="1">
    <w:basedOn w:val="TableNormal"/>
    <w:rPr>
      <w:rFonts w:ascii="Cambria" w:cs="Cambria" w:eastAsia="Cambria" w:hAnsi="Cambria"/>
      <w:b w:val="1"/>
      <w:color w:val="ffffff"/>
    </w:rPr>
    <w:tblPr>
      <w:tblStyleRowBandSize w:val="1"/>
      <w:tblStyleColBandSize w:val="1"/>
    </w:tblPr>
  </w:style>
  <w:style w:type="table" w:styleId="af3" w:customStyle="1">
    <w:basedOn w:val="TableNormal"/>
    <w:rPr>
      <w:rFonts w:ascii="Cambria" w:cs="Cambria" w:eastAsia="Cambria" w:hAnsi="Cambria"/>
      <w:b w:val="1"/>
      <w:color w:val="ffffff"/>
    </w:rPr>
    <w:tblPr>
      <w:tblStyleRowBandSize w:val="1"/>
      <w:tblStyleColBandSize w:val="1"/>
    </w:tblPr>
  </w:style>
  <w:style w:type="table" w:styleId="af4" w:customStyle="1">
    <w:basedOn w:val="TableNormal"/>
    <w:rPr>
      <w:rFonts w:ascii="Cambria" w:cs="Cambria" w:eastAsia="Cambria" w:hAnsi="Cambria"/>
      <w:b w:val="1"/>
      <w:color w:val="ffffff"/>
    </w:rPr>
    <w:tblPr>
      <w:tblStyleRowBandSize w:val="1"/>
      <w:tblStyleColBandSize w:val="1"/>
    </w:tblPr>
  </w:style>
  <w:style w:type="table" w:styleId="af5" w:customStyle="1">
    <w:basedOn w:val="TableNormal"/>
    <w:rPr>
      <w:rFonts w:ascii="Cambria" w:cs="Cambria" w:eastAsia="Cambria" w:hAnsi="Cambria"/>
      <w:b w:val="1"/>
      <w:color w:val="ffffff"/>
    </w:rPr>
    <w:tblPr>
      <w:tblStyleRowBandSize w:val="1"/>
      <w:tblStyleColBandSize w:val="1"/>
    </w:tblPr>
  </w:style>
  <w:style w:type="table" w:styleId="af6" w:customStyle="1">
    <w:basedOn w:val="TableNormal"/>
    <w:rPr>
      <w:rFonts w:ascii="Cambria" w:cs="Cambria" w:eastAsia="Cambria" w:hAnsi="Cambria"/>
      <w:b w:val="1"/>
      <w:color w:val="ffffff"/>
    </w:rPr>
    <w:tblPr>
      <w:tblStyleRowBandSize w:val="1"/>
      <w:tblStyleColBandSize w:val="1"/>
    </w:tblPr>
  </w:style>
  <w:style w:type="paragraph" w:styleId="Subtitle">
    <w:name w:val="Subtitle"/>
    <w:basedOn w:val="Normal"/>
    <w:next w:val="Normal"/>
    <w:pPr>
      <w:spacing w:after="60" w:lineRule="auto"/>
      <w:jc w:val="center"/>
    </w:pPr>
    <w:rPr>
      <w:rFonts w:ascii="Cambria" w:cs="Cambria" w:eastAsia="Cambria" w:hAnsi="Cambria"/>
      <w:sz w:val="24"/>
      <w:szCs w:val="24"/>
    </w:rPr>
  </w:style>
  <w:style w:type="table" w:styleId="Table1">
    <w:basedOn w:val="TableNormal"/>
    <w:rPr>
      <w:rFonts w:ascii="Cambria" w:cs="Cambria" w:eastAsia="Cambria" w:hAnsi="Cambria"/>
      <w:b w:val="1"/>
      <w:color w:val="ffffff"/>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image" Target="media/image1.jp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Y7Fg8E61hhnhGsUTcwCIFDL51Q==">CgMxLjAyCWguMXk4MTB0dzIIaC5namRneHMyCWguMzBqMHpsbDIJaC4yZXQ5MnAwMghoLnR5amN3dDIJaC4zZHk2dmttMgloLjF0M2g1c2YyCWguNGQzNG9nODIJaC4yczhleW8xMgloLjE3ZHA4dnUyCWguMWtzdjR1djIJaC4yanhzeHFoMgloLjQ0c2luaW8yDWguajYwdzFyeHA0NTIyCWguMjZpbjFyZzIIaC5sbnhiejkyDmgudzVpaXdyaGx5YXlxMgloLjM1bmt1bjIyCWguM2oycXFtMzIOaC44ZXpmYmFhMGh6MnU4AHIhMW9XZDFPYlJWUUtLWXM0aTFYRE56MlBiWjFqWXViX3l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2025-09-12T17:20:00Z</dcterms:created>
  <dc:creator>Robert Bodell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Template">
    <vt:lpwstr>uk-blank</vt:lpwstr>
  </property>
  <property fmtid="{D5CDD505-2E9C-101B-9397-08002B2CF9AE}" pid="3" name="Plato Template Version">
    <vt:lpwstr>1.1</vt:lpwstr>
  </property>
  <property fmtid="{D5CDD505-2E9C-101B-9397-08002B2CF9AE}" pid="4" name="Plato Language">
    <vt:lpwstr>en_GB</vt:lpwstr>
  </property>
  <property fmtid="{D5CDD505-2E9C-101B-9397-08002B2CF9AE}" pid="5" name="Plato Office">
    <vt:lpwstr>LIVEPL</vt:lpwstr>
  </property>
  <property fmtid="{D5CDD505-2E9C-101B-9397-08002B2CF9AE}" pid="6" name="Plato Jurisdiction">
    <vt:lpwstr>ENW</vt:lpwstr>
  </property>
  <property fmtid="{D5CDD505-2E9C-101B-9397-08002B2CF9AE}" pid="7" name="gCurrentVersion">
    <vt:lpwstr>17 November 2017 D1V5</vt:lpwstr>
  </property>
</Properties>
</file>