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44555" w14:textId="77777777" w:rsidR="001A1D1F" w:rsidRDefault="001A1D1F">
      <w:pPr>
        <w:widowControl w:val="0"/>
        <w:pBdr>
          <w:top w:val="nil"/>
          <w:left w:val="nil"/>
          <w:bottom w:val="nil"/>
          <w:right w:val="nil"/>
          <w:between w:val="nil"/>
        </w:pBdr>
        <w:spacing w:after="0"/>
      </w:pPr>
    </w:p>
    <w:p w14:paraId="4C449343" w14:textId="77777777" w:rsidR="001A1D1F" w:rsidRDefault="001A1D1F">
      <w:pPr>
        <w:widowControl w:val="0"/>
        <w:pBdr>
          <w:top w:val="nil"/>
          <w:left w:val="nil"/>
          <w:bottom w:val="nil"/>
          <w:right w:val="nil"/>
          <w:between w:val="nil"/>
        </w:pBdr>
        <w:spacing w:after="0"/>
      </w:pPr>
    </w:p>
    <w:p w14:paraId="7DD252D1" w14:textId="77777777" w:rsidR="001A1D1F" w:rsidRDefault="001A1D1F">
      <w:pPr>
        <w:widowControl w:val="0"/>
        <w:pBdr>
          <w:top w:val="nil"/>
          <w:left w:val="nil"/>
          <w:bottom w:val="nil"/>
          <w:right w:val="nil"/>
          <w:between w:val="nil"/>
        </w:pBdr>
        <w:spacing w:after="0"/>
      </w:pPr>
    </w:p>
    <w:p w14:paraId="08C02832" w14:textId="77777777" w:rsidR="001A1D1F" w:rsidRDefault="00000000">
      <w:pPr>
        <w:spacing w:before="120" w:after="120"/>
        <w:rPr>
          <w:b/>
          <w:bCs/>
          <w:sz w:val="36"/>
          <w:szCs w:val="36"/>
        </w:rPr>
      </w:pPr>
      <w:r>
        <w:rPr>
          <w:b/>
          <w:bCs/>
          <w:sz w:val="36"/>
          <w:szCs w:val="36"/>
        </w:rPr>
        <w:t>Framework Schedule 4 (Framework Management)</w:t>
      </w:r>
    </w:p>
    <w:p w14:paraId="4ED2BAD7" w14:textId="77777777" w:rsidR="001A1D1F" w:rsidRDefault="001A1D1F">
      <w:pPr>
        <w:pBdr>
          <w:top w:val="nil"/>
          <w:left w:val="nil"/>
          <w:bottom w:val="nil"/>
          <w:right w:val="nil"/>
          <w:between w:val="nil"/>
        </w:pBdr>
        <w:spacing w:before="120" w:after="120"/>
        <w:rPr>
          <w:b/>
          <w:bCs/>
        </w:rPr>
      </w:pPr>
    </w:p>
    <w:p w14:paraId="0556982F" w14:textId="77777777" w:rsidR="001A1D1F" w:rsidRDefault="00000000">
      <w:pPr>
        <w:numPr>
          <w:ilvl w:val="0"/>
          <w:numId w:val="1"/>
        </w:numPr>
        <w:pBdr>
          <w:top w:val="nil"/>
          <w:left w:val="nil"/>
          <w:bottom w:val="nil"/>
          <w:right w:val="nil"/>
          <w:between w:val="nil"/>
        </w:pBdr>
        <w:tabs>
          <w:tab w:val="left" w:pos="175"/>
        </w:tabs>
        <w:spacing w:after="120" w:line="240" w:lineRule="auto"/>
        <w:jc w:val="both"/>
      </w:pPr>
      <w:r>
        <w:rPr>
          <w:b/>
          <w:bCs/>
          <w:color w:val="000000"/>
        </w:rPr>
        <w:t>Definitions</w:t>
      </w:r>
    </w:p>
    <w:p w14:paraId="661900E3" w14:textId="77777777" w:rsidR="001A1D1F" w:rsidRDefault="00000000">
      <w:pPr>
        <w:keepNext/>
        <w:numPr>
          <w:ilvl w:val="1"/>
          <w:numId w:val="1"/>
        </w:numPr>
        <w:pBdr>
          <w:top w:val="nil"/>
          <w:left w:val="nil"/>
          <w:bottom w:val="nil"/>
          <w:right w:val="nil"/>
          <w:between w:val="nil"/>
        </w:pBdr>
        <w:spacing w:before="120" w:after="120"/>
        <w:ind w:left="1134" w:hanging="708"/>
      </w:pPr>
      <w:r>
        <w:rPr>
          <w:color w:val="000000"/>
        </w:rPr>
        <w:t xml:space="preserve">In this Schedule, the following words shall have the following meanings and they shall supplement Joint Schedule 1 </w:t>
      </w:r>
      <w:r>
        <w:rPr>
          <w:i/>
          <w:iCs/>
          <w:color w:val="000000"/>
        </w:rPr>
        <w:t>(Definitions)</w:t>
      </w:r>
      <w:r>
        <w:rPr>
          <w:color w:val="000000"/>
        </w:rPr>
        <w:t>:</w:t>
      </w:r>
    </w:p>
    <w:tbl>
      <w:tblPr>
        <w:tblStyle w:val="a1"/>
        <w:tblW w:w="8314" w:type="dxa"/>
        <w:tblInd w:w="1134" w:type="dxa"/>
        <w:tblLayout w:type="fixed"/>
        <w:tblLook w:val="0400" w:firstRow="0" w:lastRow="0" w:firstColumn="0" w:lastColumn="0" w:noHBand="0" w:noVBand="1"/>
      </w:tblPr>
      <w:tblGrid>
        <w:gridCol w:w="2928"/>
        <w:gridCol w:w="5386"/>
      </w:tblGrid>
      <w:tr w:rsidR="001A1D1F" w14:paraId="6EA27055" w14:textId="77777777">
        <w:tc>
          <w:tcPr>
            <w:tcW w:w="2928" w:type="dxa"/>
          </w:tcPr>
          <w:p w14:paraId="6843FF0C" w14:textId="77777777" w:rsidR="001A1D1F" w:rsidRDefault="00000000">
            <w:pPr>
              <w:pBdr>
                <w:top w:val="nil"/>
                <w:left w:val="nil"/>
                <w:bottom w:val="nil"/>
                <w:right w:val="nil"/>
                <w:between w:val="nil"/>
              </w:pBdr>
              <w:spacing w:before="120" w:after="120"/>
              <w:ind w:left="-114"/>
              <w:rPr>
                <w:b/>
                <w:bCs/>
                <w:color w:val="000000"/>
              </w:rPr>
            </w:pPr>
            <w:bookmarkStart w:id="0" w:name="_heading=h.7nkrllodmnj" w:colFirst="0" w:colLast="0"/>
            <w:bookmarkEnd w:id="0"/>
            <w:r>
              <w:rPr>
                <w:b/>
                <w:bCs/>
                <w:color w:val="000000"/>
              </w:rPr>
              <w:t>"Supplier Framework Manager"</w:t>
            </w:r>
          </w:p>
        </w:tc>
        <w:tc>
          <w:tcPr>
            <w:tcW w:w="5386" w:type="dxa"/>
          </w:tcPr>
          <w:p w14:paraId="139C4F7F" w14:textId="77777777" w:rsidR="001A1D1F" w:rsidRDefault="00000000">
            <w:pPr>
              <w:pBdr>
                <w:top w:val="nil"/>
                <w:left w:val="nil"/>
                <w:bottom w:val="nil"/>
                <w:right w:val="nil"/>
                <w:between w:val="nil"/>
              </w:pBdr>
              <w:spacing w:before="120" w:after="120"/>
              <w:ind w:left="-114"/>
              <w:rPr>
                <w:color w:val="000000"/>
              </w:rPr>
            </w:pPr>
            <w:r>
              <w:rPr>
                <w:color w:val="000000"/>
              </w:rPr>
              <w:t>has the meaning given to it in Paragraph 3.1 of this Schedule; and</w:t>
            </w:r>
          </w:p>
        </w:tc>
      </w:tr>
      <w:tr w:rsidR="001A1D1F" w14:paraId="39092134" w14:textId="77777777">
        <w:tc>
          <w:tcPr>
            <w:tcW w:w="2928" w:type="dxa"/>
          </w:tcPr>
          <w:p w14:paraId="68BC6BBB" w14:textId="77777777" w:rsidR="001A1D1F" w:rsidRDefault="00000000">
            <w:pPr>
              <w:pBdr>
                <w:top w:val="nil"/>
                <w:left w:val="nil"/>
                <w:bottom w:val="nil"/>
                <w:right w:val="nil"/>
                <w:between w:val="nil"/>
              </w:pBdr>
              <w:spacing w:before="120" w:after="120"/>
              <w:ind w:left="-114"/>
              <w:rPr>
                <w:b/>
                <w:bCs/>
                <w:color w:val="000000"/>
              </w:rPr>
            </w:pPr>
            <w:r>
              <w:rPr>
                <w:b/>
                <w:bCs/>
                <w:color w:val="000000"/>
              </w:rPr>
              <w:t>"Supplier Review Meetings"</w:t>
            </w:r>
          </w:p>
        </w:tc>
        <w:tc>
          <w:tcPr>
            <w:tcW w:w="5386" w:type="dxa"/>
          </w:tcPr>
          <w:p w14:paraId="1F7DD2B5" w14:textId="77777777" w:rsidR="001A1D1F" w:rsidRDefault="00000000">
            <w:pPr>
              <w:pBdr>
                <w:top w:val="nil"/>
                <w:left w:val="nil"/>
                <w:bottom w:val="nil"/>
                <w:right w:val="nil"/>
                <w:between w:val="nil"/>
              </w:pBdr>
              <w:spacing w:before="120" w:after="120"/>
              <w:ind w:left="-114"/>
              <w:rPr>
                <w:color w:val="000000"/>
              </w:rPr>
            </w:pPr>
            <w:r>
              <w:rPr>
                <w:color w:val="000000"/>
              </w:rPr>
              <w:t>has the meaning given to it in Paragraph 3.9 of this Schedule.</w:t>
            </w:r>
          </w:p>
        </w:tc>
      </w:tr>
    </w:tbl>
    <w:p w14:paraId="2E4B8B41" w14:textId="77777777" w:rsidR="001A1D1F" w:rsidRDefault="00000000">
      <w:pPr>
        <w:keepNext/>
        <w:numPr>
          <w:ilvl w:val="0"/>
          <w:numId w:val="1"/>
        </w:numPr>
        <w:pBdr>
          <w:top w:val="nil"/>
          <w:left w:val="nil"/>
          <w:bottom w:val="nil"/>
          <w:right w:val="nil"/>
          <w:between w:val="nil"/>
        </w:pBdr>
        <w:spacing w:before="120" w:after="120"/>
      </w:pPr>
      <w:r>
        <w:rPr>
          <w:b/>
          <w:bCs/>
          <w:color w:val="000000"/>
        </w:rPr>
        <w:t xml:space="preserve">How </w:t>
      </w:r>
      <w:r>
        <w:rPr>
          <w:b/>
          <w:bCs/>
        </w:rPr>
        <w:t>GCA</w:t>
      </w:r>
      <w:r>
        <w:rPr>
          <w:b/>
          <w:bCs/>
          <w:color w:val="000000"/>
        </w:rPr>
        <w:t xml:space="preserve"> and the Supplier will work together</w:t>
      </w:r>
    </w:p>
    <w:p w14:paraId="2329FB68"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The successful delivery of this Contract will rely on the ability of the Supplier and </w:t>
      </w:r>
      <w:r>
        <w:t>GCA</w:t>
      </w:r>
      <w:r>
        <w:rPr>
          <w:color w:val="000000"/>
        </w:rPr>
        <w:t xml:space="preserve"> to develop a strategic relationship immediately following the conclusion of this Contract and maintaining this relationship throughout the Framework Contract Period. </w:t>
      </w:r>
    </w:p>
    <w:p w14:paraId="1C9E8080"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To achieve this strategic relationship, there will be a requirement to adopt proactive framework management activities which will be informed by quality Management Information, and the sharing of information between the Supplier and </w:t>
      </w:r>
      <w:r>
        <w:t>GCA</w:t>
      </w:r>
      <w:r>
        <w:rPr>
          <w:color w:val="000000"/>
        </w:rPr>
        <w:t>.</w:t>
      </w:r>
    </w:p>
    <w:p w14:paraId="07B47F6D"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This Schedule outlines the general structures and management activities that the Parties shall follow during the Framework Contract Period.</w:t>
      </w:r>
    </w:p>
    <w:p w14:paraId="328932AB" w14:textId="77777777" w:rsidR="001A1D1F" w:rsidRDefault="00000000">
      <w:pPr>
        <w:keepNext/>
        <w:numPr>
          <w:ilvl w:val="0"/>
          <w:numId w:val="1"/>
        </w:numPr>
        <w:pBdr>
          <w:top w:val="nil"/>
          <w:left w:val="nil"/>
          <w:bottom w:val="nil"/>
          <w:right w:val="nil"/>
          <w:between w:val="nil"/>
        </w:pBdr>
        <w:spacing w:before="120" w:after="120"/>
        <w:ind w:left="426" w:hanging="426"/>
      </w:pPr>
      <w:r>
        <w:rPr>
          <w:b/>
          <w:bCs/>
          <w:color w:val="000000"/>
        </w:rPr>
        <w:t>Framework Management</w:t>
      </w:r>
    </w:p>
    <w:p w14:paraId="54699B31" w14:textId="77777777" w:rsidR="001A1D1F" w:rsidRDefault="00000000">
      <w:pPr>
        <w:keepNext/>
        <w:pBdr>
          <w:top w:val="nil"/>
          <w:left w:val="nil"/>
          <w:bottom w:val="nil"/>
          <w:right w:val="nil"/>
          <w:between w:val="nil"/>
        </w:pBdr>
        <w:spacing w:before="120" w:after="120"/>
        <w:ind w:left="426"/>
        <w:rPr>
          <w:b/>
          <w:bCs/>
          <w:color w:val="000000"/>
        </w:rPr>
      </w:pPr>
      <w:r>
        <w:rPr>
          <w:b/>
          <w:bCs/>
          <w:color w:val="000000"/>
        </w:rPr>
        <w:t>Framework Management Structure</w:t>
      </w:r>
    </w:p>
    <w:p w14:paraId="7273952B" w14:textId="77777777" w:rsidR="001A1D1F" w:rsidRDefault="00000000">
      <w:pPr>
        <w:numPr>
          <w:ilvl w:val="1"/>
          <w:numId w:val="1"/>
        </w:numPr>
        <w:pBdr>
          <w:top w:val="nil"/>
          <w:left w:val="nil"/>
          <w:bottom w:val="nil"/>
          <w:right w:val="nil"/>
          <w:between w:val="nil"/>
        </w:pBdr>
        <w:spacing w:before="120" w:after="120"/>
        <w:ind w:left="1134" w:hanging="708"/>
      </w:pPr>
      <w:bookmarkStart w:id="1" w:name="_heading=h.gjdgxs" w:colFirst="0" w:colLast="0"/>
      <w:bookmarkEnd w:id="1"/>
      <w:r>
        <w:rPr>
          <w:color w:val="000000"/>
        </w:rPr>
        <w:t>The Supplier shall provide a suitably qualified nominated contact (the "</w:t>
      </w:r>
      <w:r>
        <w:rPr>
          <w:b/>
          <w:bCs/>
          <w:color w:val="000000"/>
        </w:rPr>
        <w:t>Supplier Framework Manager</w:t>
      </w:r>
      <w:r>
        <w:rPr>
          <w:color w:val="000000"/>
        </w:rPr>
        <w:t xml:space="preserve">") who will take overall responsibility for delivering the Goods and/or Services required within this Contract, as well as a suitably qualified deputy to act in their absence. </w:t>
      </w:r>
    </w:p>
    <w:p w14:paraId="572E81D0"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The Supplier shall put in place a structure to manage this Contract in</w:t>
      </w:r>
      <w:r>
        <w:rPr>
          <w:b/>
          <w:bCs/>
          <w:color w:val="000000"/>
        </w:rPr>
        <w:t xml:space="preserve"> </w:t>
      </w:r>
      <w:r>
        <w:rPr>
          <w:color w:val="000000"/>
        </w:rPr>
        <w:t xml:space="preserve">accordance with Framework Schedule 1 </w:t>
      </w:r>
      <w:r>
        <w:rPr>
          <w:i/>
          <w:iCs/>
          <w:color w:val="000000"/>
        </w:rPr>
        <w:t>(Specification)</w:t>
      </w:r>
      <w:r>
        <w:rPr>
          <w:color w:val="000000"/>
        </w:rPr>
        <w:t xml:space="preserve"> and the Framework Performance Measures. </w:t>
      </w:r>
    </w:p>
    <w:p w14:paraId="2E36F7AF"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A governance structure will be agreed between the Parties as soon as reasonably practicable following the Framework Start Date.</w:t>
      </w:r>
    </w:p>
    <w:p w14:paraId="0DC8B65D" w14:textId="77777777" w:rsidR="001A1D1F" w:rsidRDefault="00000000">
      <w:pPr>
        <w:numPr>
          <w:ilvl w:val="1"/>
          <w:numId w:val="1"/>
        </w:numPr>
        <w:pBdr>
          <w:top w:val="nil"/>
          <w:left w:val="nil"/>
          <w:bottom w:val="nil"/>
          <w:right w:val="nil"/>
          <w:between w:val="nil"/>
        </w:pBdr>
        <w:spacing w:before="120" w:after="120"/>
        <w:ind w:left="1134" w:hanging="708"/>
      </w:pPr>
      <w:bookmarkStart w:id="2" w:name="_heading=h.30j0zll" w:colFirst="0" w:colLast="0"/>
      <w:bookmarkEnd w:id="2"/>
      <w:r>
        <w:rPr>
          <w:color w:val="000000"/>
        </w:rPr>
        <w:lastRenderedPageBreak/>
        <w:t xml:space="preserve">Following discussions between the Parties following the Framework Start Date, where requested by </w:t>
      </w:r>
      <w:r>
        <w:t>GCA</w:t>
      </w:r>
      <w:r>
        <w:rPr>
          <w:color w:val="000000"/>
        </w:rPr>
        <w:t xml:space="preserve"> the Supplier shall produce and issue to </w:t>
      </w:r>
      <w:r>
        <w:t>GCA</w:t>
      </w:r>
      <w:r>
        <w:rPr>
          <w:color w:val="000000"/>
        </w:rPr>
        <w:t xml:space="preserve"> a draft supplier action plan (the </w:t>
      </w:r>
      <w:r>
        <w:rPr>
          <w:b/>
          <w:bCs/>
          <w:color w:val="000000"/>
        </w:rPr>
        <w:t>"Supplier Action Plan"</w:t>
      </w:r>
      <w:r>
        <w:rPr>
          <w:color w:val="000000"/>
        </w:rPr>
        <w:t xml:space="preserve">). </w:t>
      </w:r>
      <w:r>
        <w:t>GCA</w:t>
      </w:r>
      <w:r>
        <w:rPr>
          <w:color w:val="000000"/>
        </w:rPr>
        <w:t xml:space="preserve"> shall not unreasonably withhold or delay its agreement to the draft Supplier Action Plan. The Supplier Action Plan shall be agreed between the Parties and come into effect within two weeks from receipt by the Supplier of the draft Supplier Action Plan. </w:t>
      </w:r>
    </w:p>
    <w:p w14:paraId="6808D3B1"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The Supplier Action Plan shall be maintained and updated on an ongoing basis by </w:t>
      </w:r>
      <w:r>
        <w:t>GCA</w:t>
      </w:r>
      <w:r>
        <w:rPr>
          <w:color w:val="000000"/>
        </w:rPr>
        <w:t xml:space="preserve">. Any changes to the Supplier Action Plan shall be notified by </w:t>
      </w:r>
      <w:r>
        <w:t>GCA</w:t>
      </w:r>
      <w:r>
        <w:rPr>
          <w:color w:val="000000"/>
        </w:rPr>
        <w:t xml:space="preserve"> to the Supplier. The Supplier shall not unreasonably withhold its agreement to any changes to the Supplier Action Plan. Any such changes shall, unless </w:t>
      </w:r>
      <w:r>
        <w:t>GCA</w:t>
      </w:r>
      <w:r>
        <w:rPr>
          <w:color w:val="000000"/>
        </w:rPr>
        <w:t xml:space="preserve"> otherwise approves in writing, be agreed between the Parties and come into</w:t>
      </w:r>
      <w:r>
        <w:rPr>
          <w:b/>
          <w:bCs/>
          <w:color w:val="000000"/>
        </w:rPr>
        <w:t xml:space="preserve"> </w:t>
      </w:r>
      <w:r>
        <w:rPr>
          <w:color w:val="000000"/>
        </w:rPr>
        <w:t xml:space="preserve">effect within two weeks from receipt by the Supplier of </w:t>
      </w:r>
      <w:r>
        <w:t>GCA</w:t>
      </w:r>
      <w:r>
        <w:rPr>
          <w:color w:val="000000"/>
        </w:rPr>
        <w:t>’s notification.</w:t>
      </w:r>
    </w:p>
    <w:p w14:paraId="35AE1933"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The Supplier agrees to comply with its obligations in the Supplier Action Plan as updated from time to time.</w:t>
      </w:r>
    </w:p>
    <w:p w14:paraId="73098294"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The Supplier shall comply with all requests from </w:t>
      </w:r>
      <w:r>
        <w:t>GCA</w:t>
      </w:r>
      <w:r>
        <w:rPr>
          <w:color w:val="000000"/>
        </w:rPr>
        <w:t xml:space="preserve"> in regard to compliance requirements as required including:</w:t>
      </w:r>
    </w:p>
    <w:p w14:paraId="4EE36BCA" w14:textId="77777777" w:rsidR="001A1D1F" w:rsidRDefault="00000000">
      <w:pPr>
        <w:numPr>
          <w:ilvl w:val="2"/>
          <w:numId w:val="1"/>
        </w:numPr>
        <w:pBdr>
          <w:top w:val="nil"/>
          <w:left w:val="nil"/>
          <w:bottom w:val="nil"/>
          <w:right w:val="nil"/>
          <w:between w:val="nil"/>
        </w:pBdr>
        <w:spacing w:before="120" w:after="120"/>
        <w:ind w:left="1985" w:hanging="851"/>
      </w:pPr>
      <w:r>
        <w:rPr>
          <w:color w:val="000000"/>
        </w:rPr>
        <w:t>Dun and Bradstreet risk failure score monitoring;</w:t>
      </w:r>
    </w:p>
    <w:p w14:paraId="05AB0053" w14:textId="77777777" w:rsidR="001A1D1F" w:rsidRDefault="00000000">
      <w:pPr>
        <w:numPr>
          <w:ilvl w:val="2"/>
          <w:numId w:val="1"/>
        </w:numPr>
        <w:pBdr>
          <w:top w:val="nil"/>
          <w:left w:val="nil"/>
          <w:bottom w:val="nil"/>
          <w:right w:val="nil"/>
          <w:between w:val="nil"/>
        </w:pBdr>
        <w:spacing w:before="120" w:after="120"/>
        <w:ind w:left="1985" w:hanging="851"/>
      </w:pPr>
      <w:r>
        <w:rPr>
          <w:color w:val="000000"/>
        </w:rPr>
        <w:t>regular evidence that the Required Insurances and Additional Insurances have been renewed and maintained;</w:t>
      </w:r>
    </w:p>
    <w:p w14:paraId="0C381EC3" w14:textId="77777777" w:rsidR="001A1D1F" w:rsidRDefault="00000000">
      <w:pPr>
        <w:numPr>
          <w:ilvl w:val="2"/>
          <w:numId w:val="1"/>
        </w:numPr>
        <w:pBdr>
          <w:top w:val="nil"/>
          <w:left w:val="nil"/>
          <w:bottom w:val="nil"/>
          <w:right w:val="nil"/>
          <w:between w:val="nil"/>
        </w:pBdr>
        <w:spacing w:before="120" w:after="120"/>
        <w:ind w:left="1985" w:hanging="851"/>
      </w:pPr>
      <w:r>
        <w:rPr>
          <w:color w:val="000000"/>
        </w:rPr>
        <w:t>invoice payment performance; and</w:t>
      </w:r>
    </w:p>
    <w:p w14:paraId="6000D191" w14:textId="77777777" w:rsidR="001A1D1F" w:rsidRDefault="00000000">
      <w:pPr>
        <w:numPr>
          <w:ilvl w:val="2"/>
          <w:numId w:val="1"/>
        </w:numPr>
        <w:pBdr>
          <w:top w:val="nil"/>
          <w:left w:val="nil"/>
          <w:bottom w:val="nil"/>
          <w:right w:val="nil"/>
          <w:between w:val="nil"/>
        </w:pBdr>
        <w:spacing w:before="120" w:after="120"/>
        <w:ind w:left="1985" w:hanging="851"/>
      </w:pPr>
      <w:r>
        <w:rPr>
          <w:color w:val="000000"/>
        </w:rPr>
        <w:t>verification of required accreditations &amp; certifications.</w:t>
      </w:r>
    </w:p>
    <w:p w14:paraId="1A748065" w14:textId="77777777" w:rsidR="001A1D1F" w:rsidRDefault="00000000">
      <w:pPr>
        <w:numPr>
          <w:ilvl w:val="1"/>
          <w:numId w:val="1"/>
        </w:numPr>
        <w:pBdr>
          <w:top w:val="nil"/>
          <w:left w:val="nil"/>
          <w:bottom w:val="nil"/>
          <w:right w:val="nil"/>
          <w:between w:val="nil"/>
        </w:pBdr>
        <w:spacing w:before="120" w:after="120"/>
        <w:ind w:left="1134" w:hanging="708"/>
      </w:pPr>
      <w:bookmarkStart w:id="3" w:name="_heading=h.1fob9te" w:colFirst="0" w:colLast="0"/>
      <w:bookmarkEnd w:id="3"/>
      <w:r>
        <w:rPr>
          <w:color w:val="000000"/>
        </w:rPr>
        <w:t xml:space="preserve">Suppliers should participate in Competitive Selection Processes when identified as part of the final bidder list. Failure to bid on further competitions without an acceptable reason may result in the Supplier being suspended from the Framework, in accordance with Clause 13.6 </w:t>
      </w:r>
      <w:r>
        <w:rPr>
          <w:i/>
          <w:iCs/>
          <w:color w:val="000000"/>
        </w:rPr>
        <w:t xml:space="preserve">(Partially ending and suspending the contract) </w:t>
      </w:r>
      <w:r>
        <w:rPr>
          <w:color w:val="000000"/>
        </w:rPr>
        <w:t xml:space="preserve">of the General Terms, for a period as decided by </w:t>
      </w:r>
      <w:r>
        <w:t>GCA</w:t>
      </w:r>
      <w:r>
        <w:rPr>
          <w:color w:val="000000"/>
        </w:rPr>
        <w:t>.  Suppliers shall provide informat</w:t>
      </w:r>
      <w:r>
        <w:t>ion in respect of this on request by GCA.</w:t>
      </w:r>
    </w:p>
    <w:p w14:paraId="026E5892" w14:textId="77777777" w:rsidR="001A1D1F" w:rsidRDefault="00000000">
      <w:pPr>
        <w:keepNext/>
        <w:pBdr>
          <w:top w:val="nil"/>
          <w:left w:val="nil"/>
          <w:bottom w:val="nil"/>
          <w:right w:val="nil"/>
          <w:between w:val="nil"/>
        </w:pBdr>
        <w:spacing w:before="120" w:after="120"/>
        <w:ind w:left="720" w:hanging="294"/>
        <w:rPr>
          <w:b/>
          <w:bCs/>
          <w:color w:val="000000"/>
        </w:rPr>
      </w:pPr>
      <w:bookmarkStart w:id="4" w:name="_heading=h.3znysh7" w:colFirst="0" w:colLast="0"/>
      <w:bookmarkEnd w:id="4"/>
      <w:r>
        <w:rPr>
          <w:b/>
          <w:bCs/>
          <w:color w:val="000000"/>
        </w:rPr>
        <w:t>Supplier Review Meetings</w:t>
      </w:r>
    </w:p>
    <w:p w14:paraId="5E487D27" w14:textId="77777777" w:rsidR="001A1D1F" w:rsidRDefault="00000000">
      <w:pPr>
        <w:numPr>
          <w:ilvl w:val="1"/>
          <w:numId w:val="1"/>
        </w:numPr>
        <w:pBdr>
          <w:top w:val="nil"/>
          <w:left w:val="nil"/>
          <w:bottom w:val="nil"/>
          <w:right w:val="nil"/>
          <w:between w:val="nil"/>
        </w:pBdr>
        <w:spacing w:before="120" w:after="120"/>
        <w:ind w:left="1134" w:hanging="708"/>
      </w:pPr>
      <w:bookmarkStart w:id="5" w:name="_heading=h.2et92p0" w:colFirst="0" w:colLast="0"/>
      <w:bookmarkEnd w:id="5"/>
      <w:r>
        <w:rPr>
          <w:color w:val="000000"/>
        </w:rPr>
        <w:t>Regular performance review meetings will take place at a location to be agreed throughout the Framework Contract Period</w:t>
      </w:r>
      <w:r>
        <w:rPr>
          <w:b/>
          <w:bCs/>
          <w:color w:val="000000"/>
        </w:rPr>
        <w:t xml:space="preserve"> ("Supplier Review Meetings")</w:t>
      </w:r>
      <w:r>
        <w:rPr>
          <w:color w:val="000000"/>
        </w:rPr>
        <w:t xml:space="preserve"> at such times and frequencies as </w:t>
      </w:r>
      <w:r>
        <w:t>GCA</w:t>
      </w:r>
      <w:r>
        <w:rPr>
          <w:color w:val="000000"/>
        </w:rPr>
        <w:t xml:space="preserve"> determine from time to time (which are anticipated to be no more than once per Month)</w:t>
      </w:r>
      <w:r>
        <w:rPr>
          <w:b/>
          <w:bCs/>
          <w:color w:val="000000"/>
        </w:rPr>
        <w:t xml:space="preserve">. </w:t>
      </w:r>
      <w:r>
        <w:rPr>
          <w:color w:val="000000"/>
        </w:rPr>
        <w:t>The Parties shall be flexible about the timings of these meetings.</w:t>
      </w:r>
    </w:p>
    <w:p w14:paraId="1DF63024"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The Supplier Review Meetings will review the Supplier’s performance under this Contract and, where applicable, the Supplier’s adherence to the </w:t>
      </w:r>
      <w:r>
        <w:rPr>
          <w:color w:val="000000"/>
        </w:rPr>
        <w:lastRenderedPageBreak/>
        <w:t xml:space="preserve">Supplier Action Plan. The agenda for each Supplier Review Meeting shall be set by </w:t>
      </w:r>
      <w:r>
        <w:t>GCA</w:t>
      </w:r>
      <w:r>
        <w:rPr>
          <w:color w:val="000000"/>
        </w:rPr>
        <w:t xml:space="preserve"> and sent to the Supplier in advance.</w:t>
      </w:r>
    </w:p>
    <w:p w14:paraId="08A19FEF" w14:textId="77777777" w:rsidR="001A1D1F" w:rsidRDefault="00000000">
      <w:pPr>
        <w:numPr>
          <w:ilvl w:val="1"/>
          <w:numId w:val="1"/>
        </w:numPr>
        <w:pBdr>
          <w:top w:val="nil"/>
          <w:left w:val="nil"/>
          <w:bottom w:val="nil"/>
          <w:right w:val="nil"/>
          <w:between w:val="nil"/>
        </w:pBdr>
        <w:spacing w:before="120" w:after="120"/>
        <w:ind w:left="1134" w:hanging="708"/>
      </w:pPr>
      <w:r>
        <w:t>GCA</w:t>
      </w:r>
      <w:r>
        <w:rPr>
          <w:color w:val="000000"/>
        </w:rPr>
        <w:t xml:space="preserve"> may ask the Supplier to discuss any instances known to the Supplier where any Other Contracting Authority decided not to use this Framework Contract for their order.</w:t>
      </w:r>
    </w:p>
    <w:p w14:paraId="3B8158E9"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The Supplier Review Meetings shall be attended, as a minimum, by </w:t>
      </w:r>
      <w:r>
        <w:t>GCA</w:t>
      </w:r>
      <w:r>
        <w:rPr>
          <w:color w:val="000000"/>
        </w:rPr>
        <w:t xml:space="preserve"> Representative(s) and the Supplier Framework Manager.</w:t>
      </w:r>
    </w:p>
    <w:p w14:paraId="6C3CA840" w14:textId="77777777" w:rsidR="001A1D1F" w:rsidRDefault="00000000">
      <w:pPr>
        <w:keepNext/>
        <w:numPr>
          <w:ilvl w:val="0"/>
          <w:numId w:val="1"/>
        </w:numPr>
        <w:pBdr>
          <w:top w:val="nil"/>
          <w:left w:val="nil"/>
          <w:bottom w:val="nil"/>
          <w:right w:val="nil"/>
          <w:between w:val="nil"/>
        </w:pBdr>
        <w:spacing w:before="120" w:after="120"/>
        <w:ind w:left="426" w:hanging="426"/>
      </w:pPr>
      <w:r>
        <w:rPr>
          <w:b/>
          <w:bCs/>
          <w:color w:val="000000"/>
        </w:rPr>
        <w:t>How the Supplier’s Performance will be measured</w:t>
      </w:r>
    </w:p>
    <w:p w14:paraId="6E0F95A2" w14:textId="77777777" w:rsidR="001A1D1F" w:rsidRDefault="00000000">
      <w:pPr>
        <w:keepNext/>
        <w:numPr>
          <w:ilvl w:val="1"/>
          <w:numId w:val="1"/>
        </w:numPr>
        <w:pBdr>
          <w:top w:val="nil"/>
          <w:left w:val="nil"/>
          <w:bottom w:val="nil"/>
          <w:right w:val="nil"/>
          <w:between w:val="nil"/>
        </w:pBdr>
        <w:spacing w:before="120" w:after="120"/>
        <w:ind w:left="1134" w:hanging="708"/>
      </w:pPr>
      <w:r>
        <w:rPr>
          <w:color w:val="000000"/>
        </w:rPr>
        <w:t>The Supplier’s performance will be measured by the following Framework Performance Measures (“FPM”):</w:t>
      </w:r>
    </w:p>
    <w:p w14:paraId="66EC67C1" w14:textId="77777777" w:rsidR="001A1D1F" w:rsidRDefault="001A1D1F">
      <w:pPr>
        <w:pBdr>
          <w:top w:val="nil"/>
          <w:left w:val="nil"/>
          <w:bottom w:val="nil"/>
          <w:right w:val="nil"/>
          <w:between w:val="nil"/>
        </w:pBdr>
        <w:tabs>
          <w:tab w:val="left" w:pos="175"/>
        </w:tabs>
        <w:spacing w:after="120" w:line="240" w:lineRule="auto"/>
        <w:ind w:left="720" w:hanging="720"/>
        <w:jc w:val="both"/>
        <w:rPr>
          <w:color w:val="000000"/>
        </w:rPr>
      </w:pPr>
    </w:p>
    <w:tbl>
      <w:tblPr>
        <w:tblStyle w:val="a2"/>
        <w:tblW w:w="9006" w:type="dxa"/>
        <w:tblInd w:w="0" w:type="dxa"/>
        <w:tblLayout w:type="fixed"/>
        <w:tblLook w:val="0400" w:firstRow="0" w:lastRow="0" w:firstColumn="0" w:lastColumn="0" w:noHBand="0" w:noVBand="1"/>
      </w:tblPr>
      <w:tblGrid>
        <w:gridCol w:w="4002"/>
        <w:gridCol w:w="2030"/>
        <w:gridCol w:w="2974"/>
      </w:tblGrid>
      <w:tr w:rsidR="001A1D1F" w14:paraId="06BBD6DC" w14:textId="77777777">
        <w:trPr>
          <w:trHeight w:val="975"/>
        </w:trPr>
        <w:tc>
          <w:tcPr>
            <w:tcW w:w="4002" w:type="dxa"/>
            <w:tcBorders>
              <w:top w:val="single" w:sz="8" w:space="0" w:color="000000"/>
              <w:left w:val="single" w:sz="8" w:space="0" w:color="000000"/>
              <w:bottom w:val="single" w:sz="8" w:space="0" w:color="000000"/>
              <w:right w:val="single" w:sz="8" w:space="0" w:color="000000"/>
            </w:tcBorders>
            <w:shd w:val="clear" w:color="auto" w:fill="D9D9D9"/>
            <w:tcMar>
              <w:top w:w="0" w:type="dxa"/>
              <w:left w:w="115" w:type="dxa"/>
              <w:bottom w:w="0" w:type="dxa"/>
              <w:right w:w="115" w:type="dxa"/>
            </w:tcMar>
          </w:tcPr>
          <w:p w14:paraId="1655335A" w14:textId="77777777" w:rsidR="001A1D1F" w:rsidRDefault="00000000">
            <w:pPr>
              <w:spacing w:before="240" w:after="240" w:line="240" w:lineRule="auto"/>
              <w:ind w:left="600"/>
              <w:rPr>
                <w:rFonts w:ascii="Times New Roman" w:eastAsia="Times New Roman" w:hAnsi="Times New Roman" w:cs="Times New Roman"/>
              </w:rPr>
            </w:pPr>
            <w:r>
              <w:rPr>
                <w:b/>
                <w:bCs/>
                <w:color w:val="000000"/>
              </w:rPr>
              <w:t>Framework Performance Measure (FPM)</w:t>
            </w:r>
          </w:p>
        </w:tc>
        <w:tc>
          <w:tcPr>
            <w:tcW w:w="2030" w:type="dxa"/>
            <w:tcBorders>
              <w:top w:val="single" w:sz="8" w:space="0" w:color="000000"/>
              <w:left w:val="single" w:sz="8" w:space="0" w:color="000000"/>
              <w:bottom w:val="single" w:sz="8" w:space="0" w:color="000000"/>
              <w:right w:val="single" w:sz="8" w:space="0" w:color="000000"/>
            </w:tcBorders>
            <w:shd w:val="clear" w:color="auto" w:fill="D9D9D9"/>
            <w:tcMar>
              <w:top w:w="0" w:type="dxa"/>
              <w:left w:w="115" w:type="dxa"/>
              <w:bottom w:w="0" w:type="dxa"/>
              <w:right w:w="115" w:type="dxa"/>
            </w:tcMar>
          </w:tcPr>
          <w:p w14:paraId="5D9FCE2C"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FPM Target</w:t>
            </w:r>
          </w:p>
        </w:tc>
        <w:tc>
          <w:tcPr>
            <w:tcW w:w="2974" w:type="dxa"/>
            <w:tcBorders>
              <w:top w:val="single" w:sz="8" w:space="0" w:color="000000"/>
              <w:left w:val="single" w:sz="8" w:space="0" w:color="000000"/>
              <w:bottom w:val="single" w:sz="8" w:space="0" w:color="000000"/>
              <w:right w:val="single" w:sz="8" w:space="0" w:color="000000"/>
            </w:tcBorders>
            <w:shd w:val="clear" w:color="auto" w:fill="D9D9D9"/>
            <w:tcMar>
              <w:top w:w="0" w:type="dxa"/>
              <w:left w:w="115" w:type="dxa"/>
              <w:bottom w:w="0" w:type="dxa"/>
              <w:right w:w="115" w:type="dxa"/>
            </w:tcMar>
          </w:tcPr>
          <w:p w14:paraId="56B55CF4" w14:textId="77777777" w:rsidR="001A1D1F" w:rsidRDefault="00000000">
            <w:pPr>
              <w:spacing w:before="240" w:after="240" w:line="240" w:lineRule="auto"/>
              <w:ind w:left="600"/>
              <w:rPr>
                <w:rFonts w:ascii="Times New Roman" w:eastAsia="Times New Roman" w:hAnsi="Times New Roman" w:cs="Times New Roman"/>
              </w:rPr>
            </w:pPr>
            <w:r>
              <w:rPr>
                <w:b/>
                <w:bCs/>
                <w:color w:val="000000"/>
              </w:rPr>
              <w:t>Measured by</w:t>
            </w:r>
          </w:p>
        </w:tc>
      </w:tr>
      <w:tr w:rsidR="001A1D1F" w14:paraId="60CDD3E6" w14:textId="77777777">
        <w:trPr>
          <w:trHeight w:val="735"/>
        </w:trPr>
        <w:tc>
          <w:tcPr>
            <w:tcW w:w="9006" w:type="dxa"/>
            <w:gridSpan w:val="3"/>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6F2E5DB5" w14:textId="77777777" w:rsidR="001A1D1F" w:rsidRDefault="00000000">
            <w:pPr>
              <w:spacing w:before="120" w:after="120" w:line="240" w:lineRule="auto"/>
              <w:jc w:val="center"/>
              <w:rPr>
                <w:rFonts w:ascii="Times New Roman" w:eastAsia="Times New Roman" w:hAnsi="Times New Roman" w:cs="Times New Roman"/>
              </w:rPr>
            </w:pPr>
            <w:r>
              <w:rPr>
                <w:b/>
                <w:bCs/>
                <w:color w:val="000000"/>
              </w:rPr>
              <w:t>1.  FRAMEWORK MANAGEMENT</w:t>
            </w:r>
          </w:p>
        </w:tc>
      </w:tr>
      <w:tr w:rsidR="001A1D1F" w14:paraId="52564B6F" w14:textId="77777777">
        <w:trPr>
          <w:trHeight w:val="1678"/>
        </w:trPr>
        <w:tc>
          <w:tcPr>
            <w:tcW w:w="400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5347152A" w14:textId="77777777" w:rsidR="001A1D1F" w:rsidRDefault="00000000">
            <w:pPr>
              <w:spacing w:before="120" w:after="120" w:line="240" w:lineRule="auto"/>
              <w:rPr>
                <w:rFonts w:ascii="Times New Roman" w:eastAsia="Times New Roman" w:hAnsi="Times New Roman" w:cs="Times New Roman"/>
              </w:rPr>
            </w:pPr>
            <w:r>
              <w:rPr>
                <w:color w:val="000000"/>
              </w:rPr>
              <w:t xml:space="preserve">1.1 The Supplier shall </w:t>
            </w:r>
            <w:proofErr w:type="gramStart"/>
            <w:r>
              <w:rPr>
                <w:color w:val="000000"/>
              </w:rPr>
              <w:t>ensure  accurate</w:t>
            </w:r>
            <w:proofErr w:type="gramEnd"/>
            <w:r>
              <w:rPr>
                <w:color w:val="000000"/>
              </w:rPr>
              <w:t xml:space="preserve"> MI returns are returned to </w:t>
            </w:r>
            <w:r>
              <w:t>GCA</w:t>
            </w:r>
            <w:r>
              <w:rPr>
                <w:color w:val="000000"/>
              </w:rPr>
              <w:t xml:space="preserve"> by the 5th Working Day of each Month.</w:t>
            </w:r>
          </w:p>
        </w:tc>
        <w:tc>
          <w:tcPr>
            <w:tcW w:w="20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6903DAB3"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100%</w:t>
            </w:r>
          </w:p>
        </w:tc>
        <w:tc>
          <w:tcPr>
            <w:tcW w:w="297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53E9FB30" w14:textId="77777777" w:rsidR="001A1D1F" w:rsidRDefault="00000000">
            <w:pPr>
              <w:spacing w:before="240" w:after="240" w:line="240" w:lineRule="auto"/>
              <w:rPr>
                <w:rFonts w:ascii="Times New Roman" w:eastAsia="Times New Roman" w:hAnsi="Times New Roman" w:cs="Times New Roman"/>
              </w:rPr>
            </w:pPr>
            <w:r>
              <w:rPr>
                <w:color w:val="000000"/>
              </w:rPr>
              <w:t>Confirmation of receipt and time of receipt by the Authority (as evidenced within the Authority’s data warehouse (MISO) system).</w:t>
            </w:r>
          </w:p>
        </w:tc>
      </w:tr>
      <w:tr w:rsidR="001A1D1F" w14:paraId="0C6D1B2B" w14:textId="77777777">
        <w:trPr>
          <w:trHeight w:val="1695"/>
        </w:trPr>
        <w:tc>
          <w:tcPr>
            <w:tcW w:w="400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5398C9D9" w14:textId="77777777" w:rsidR="001A1D1F" w:rsidRDefault="00000000">
            <w:pPr>
              <w:spacing w:before="240" w:after="240" w:line="240" w:lineRule="auto"/>
              <w:rPr>
                <w:rFonts w:ascii="Times New Roman" w:eastAsia="Times New Roman" w:hAnsi="Times New Roman" w:cs="Times New Roman"/>
              </w:rPr>
            </w:pPr>
            <w:r>
              <w:rPr>
                <w:color w:val="000000"/>
              </w:rPr>
              <w:t xml:space="preserve">1.2 The Supplier shall pay all undisputed </w:t>
            </w:r>
            <w:r>
              <w:t>GCA</w:t>
            </w:r>
            <w:r>
              <w:rPr>
                <w:color w:val="000000"/>
              </w:rPr>
              <w:t xml:space="preserve"> invoices within 30 calendar days of issue.</w:t>
            </w:r>
          </w:p>
        </w:tc>
        <w:tc>
          <w:tcPr>
            <w:tcW w:w="20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27847295"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100%</w:t>
            </w:r>
          </w:p>
        </w:tc>
        <w:tc>
          <w:tcPr>
            <w:tcW w:w="297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1F2C956C" w14:textId="77777777" w:rsidR="001A1D1F" w:rsidRDefault="00000000">
            <w:pPr>
              <w:spacing w:before="240" w:after="240" w:line="240" w:lineRule="auto"/>
              <w:rPr>
                <w:rFonts w:ascii="Times New Roman" w:eastAsia="Times New Roman" w:hAnsi="Times New Roman" w:cs="Times New Roman"/>
              </w:rPr>
            </w:pPr>
            <w:r>
              <w:rPr>
                <w:color w:val="000000"/>
              </w:rPr>
              <w:t>Confirmation of receipt and time of receipt by the Authority. </w:t>
            </w:r>
          </w:p>
        </w:tc>
      </w:tr>
      <w:tr w:rsidR="001A1D1F" w14:paraId="1E39E2C8" w14:textId="77777777">
        <w:trPr>
          <w:trHeight w:val="1815"/>
        </w:trPr>
        <w:tc>
          <w:tcPr>
            <w:tcW w:w="400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50B7E64F" w14:textId="77777777" w:rsidR="001A1D1F" w:rsidRDefault="00000000">
            <w:pPr>
              <w:spacing w:before="240" w:after="240" w:line="240" w:lineRule="auto"/>
              <w:rPr>
                <w:rFonts w:ascii="Times New Roman" w:eastAsia="Times New Roman" w:hAnsi="Times New Roman" w:cs="Times New Roman"/>
              </w:rPr>
            </w:pPr>
            <w:r>
              <w:rPr>
                <w:color w:val="000000"/>
              </w:rPr>
              <w:t>1.3 The Supplier shall issue a self-audit certificate to the Authority in accordance with the Framework Agreement.</w:t>
            </w:r>
          </w:p>
        </w:tc>
        <w:tc>
          <w:tcPr>
            <w:tcW w:w="20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3A0B4C8D"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100%</w:t>
            </w:r>
          </w:p>
        </w:tc>
        <w:tc>
          <w:tcPr>
            <w:tcW w:w="297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5E848D9F" w14:textId="77777777" w:rsidR="001A1D1F" w:rsidRDefault="00000000">
            <w:pPr>
              <w:spacing w:before="240" w:after="240" w:line="240" w:lineRule="auto"/>
              <w:rPr>
                <w:rFonts w:ascii="Times New Roman" w:eastAsia="Times New Roman" w:hAnsi="Times New Roman" w:cs="Times New Roman"/>
              </w:rPr>
            </w:pPr>
            <w:r>
              <w:rPr>
                <w:color w:val="000000"/>
              </w:rPr>
              <w:t>Confirmation of receipt and time of receipt by the Authority.</w:t>
            </w:r>
          </w:p>
        </w:tc>
      </w:tr>
      <w:tr w:rsidR="001A1D1F" w14:paraId="5796A09B" w14:textId="77777777">
        <w:trPr>
          <w:trHeight w:val="1710"/>
        </w:trPr>
        <w:tc>
          <w:tcPr>
            <w:tcW w:w="400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2DBDDA37" w14:textId="77777777" w:rsidR="001A1D1F" w:rsidRDefault="00000000">
            <w:pPr>
              <w:spacing w:before="240" w:after="240" w:line="240" w:lineRule="auto"/>
              <w:rPr>
                <w:rFonts w:ascii="Times New Roman" w:eastAsia="Times New Roman" w:hAnsi="Times New Roman" w:cs="Times New Roman"/>
              </w:rPr>
            </w:pPr>
            <w:r>
              <w:rPr>
                <w:color w:val="000000"/>
              </w:rPr>
              <w:t>1.4 The Supplier shall ensure all actions identified in an audit report are delivered by the dates set out in the audit report.</w:t>
            </w:r>
          </w:p>
        </w:tc>
        <w:tc>
          <w:tcPr>
            <w:tcW w:w="20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6769355D"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100%</w:t>
            </w:r>
          </w:p>
        </w:tc>
        <w:tc>
          <w:tcPr>
            <w:tcW w:w="297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4A311244" w14:textId="77777777" w:rsidR="001A1D1F" w:rsidRDefault="00000000">
            <w:pPr>
              <w:spacing w:before="240" w:after="240" w:line="240" w:lineRule="auto"/>
              <w:rPr>
                <w:rFonts w:ascii="Times New Roman" w:eastAsia="Times New Roman" w:hAnsi="Times New Roman" w:cs="Times New Roman"/>
              </w:rPr>
            </w:pPr>
            <w:r>
              <w:rPr>
                <w:color w:val="000000"/>
              </w:rPr>
              <w:t xml:space="preserve">Confirmation by the Authority of completion of the actions by the dates </w:t>
            </w:r>
            <w:r>
              <w:rPr>
                <w:color w:val="000000"/>
              </w:rPr>
              <w:lastRenderedPageBreak/>
              <w:t>identified in the audit report.</w:t>
            </w:r>
          </w:p>
        </w:tc>
      </w:tr>
      <w:tr w:rsidR="001A1D1F" w14:paraId="420EF396" w14:textId="77777777">
        <w:trPr>
          <w:trHeight w:val="1965"/>
        </w:trPr>
        <w:tc>
          <w:tcPr>
            <w:tcW w:w="400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489C3559" w14:textId="77777777" w:rsidR="001A1D1F" w:rsidRDefault="00000000">
            <w:pPr>
              <w:spacing w:before="240" w:after="240" w:line="240" w:lineRule="auto"/>
              <w:rPr>
                <w:rFonts w:ascii="Times New Roman" w:eastAsia="Times New Roman" w:hAnsi="Times New Roman" w:cs="Times New Roman"/>
              </w:rPr>
            </w:pPr>
            <w:r>
              <w:rPr>
                <w:color w:val="000000"/>
              </w:rPr>
              <w:lastRenderedPageBreak/>
              <w:t>1.5 The Supplier shall make payments to all sub-contractors in line with the agreed payment terms.</w:t>
            </w:r>
          </w:p>
        </w:tc>
        <w:tc>
          <w:tcPr>
            <w:tcW w:w="20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2BB76569"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 xml:space="preserve">As </w:t>
            </w:r>
            <w:proofErr w:type="gramStart"/>
            <w:r>
              <w:rPr>
                <w:b/>
                <w:bCs/>
                <w:color w:val="000000"/>
              </w:rPr>
              <w:t>requested</w:t>
            </w:r>
            <w:proofErr w:type="gramEnd"/>
            <w:r>
              <w:rPr>
                <w:color w:val="000000"/>
              </w:rPr>
              <w:t>     </w:t>
            </w:r>
          </w:p>
        </w:tc>
        <w:tc>
          <w:tcPr>
            <w:tcW w:w="297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35BA2AF6" w14:textId="77777777" w:rsidR="001A1D1F" w:rsidRDefault="00000000">
            <w:pPr>
              <w:spacing w:before="240" w:after="240" w:line="240" w:lineRule="auto"/>
              <w:rPr>
                <w:rFonts w:ascii="Times New Roman" w:eastAsia="Times New Roman" w:hAnsi="Times New Roman" w:cs="Times New Roman"/>
              </w:rPr>
            </w:pPr>
            <w:r>
              <w:rPr>
                <w:color w:val="000000"/>
              </w:rPr>
              <w:t>Evidence provided in the      performance report submitted to the Authority.</w:t>
            </w:r>
          </w:p>
        </w:tc>
      </w:tr>
      <w:tr w:rsidR="001A1D1F" w14:paraId="254BFD17" w14:textId="77777777">
        <w:trPr>
          <w:trHeight w:val="1470"/>
        </w:trPr>
        <w:tc>
          <w:tcPr>
            <w:tcW w:w="400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52A3A1A0" w14:textId="77777777" w:rsidR="001A1D1F" w:rsidRDefault="00000000">
            <w:pPr>
              <w:spacing w:before="120" w:after="120" w:line="240" w:lineRule="auto"/>
              <w:rPr>
                <w:rFonts w:ascii="Times New Roman" w:eastAsia="Times New Roman" w:hAnsi="Times New Roman" w:cs="Times New Roman"/>
              </w:rPr>
            </w:pPr>
            <w:proofErr w:type="gramStart"/>
            <w:r>
              <w:rPr>
                <w:color w:val="000000"/>
              </w:rPr>
              <w:t>1.6  The</w:t>
            </w:r>
            <w:proofErr w:type="gramEnd"/>
            <w:r>
              <w:rPr>
                <w:color w:val="000000"/>
                <w:sz w:val="20"/>
                <w:szCs w:val="20"/>
              </w:rPr>
              <w:t xml:space="preserve">  </w:t>
            </w:r>
            <w:r>
              <w:rPr>
                <w:color w:val="000000"/>
              </w:rPr>
              <w:t xml:space="preserve">Supplier shall provide to </w:t>
            </w:r>
            <w:r>
              <w:t>GCA</w:t>
            </w:r>
            <w:r>
              <w:rPr>
                <w:color w:val="000000"/>
              </w:rPr>
              <w:t xml:space="preserve"> evidence that the Required Insurances, Additional Insurances. and accreditations have been renewed and maintained;</w:t>
            </w:r>
          </w:p>
          <w:p w14:paraId="6A7C52AF" w14:textId="77777777" w:rsidR="001A1D1F" w:rsidRDefault="001A1D1F">
            <w:pPr>
              <w:spacing w:after="0" w:line="240" w:lineRule="auto"/>
              <w:rPr>
                <w:rFonts w:ascii="Times New Roman" w:eastAsia="Times New Roman" w:hAnsi="Times New Roman" w:cs="Times New Roman"/>
              </w:rPr>
            </w:pPr>
          </w:p>
        </w:tc>
        <w:tc>
          <w:tcPr>
            <w:tcW w:w="20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3E7D026E"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Ongoing</w:t>
            </w:r>
          </w:p>
        </w:tc>
        <w:tc>
          <w:tcPr>
            <w:tcW w:w="297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5CD2FD4B" w14:textId="77777777" w:rsidR="001A1D1F" w:rsidRDefault="00000000">
            <w:pPr>
              <w:spacing w:before="240" w:after="240" w:line="240" w:lineRule="auto"/>
              <w:rPr>
                <w:rFonts w:ascii="Times New Roman" w:eastAsia="Times New Roman" w:hAnsi="Times New Roman" w:cs="Times New Roman"/>
              </w:rPr>
            </w:pPr>
            <w:r>
              <w:rPr>
                <w:color w:val="000000"/>
              </w:rPr>
              <w:t xml:space="preserve">Confirmation of receipt and time of receipt by </w:t>
            </w:r>
            <w:r>
              <w:t>GCA</w:t>
            </w:r>
            <w:r>
              <w:rPr>
                <w:color w:val="000000"/>
              </w:rPr>
              <w:t>.</w:t>
            </w:r>
          </w:p>
        </w:tc>
      </w:tr>
      <w:tr w:rsidR="001A1D1F" w14:paraId="7DFA5084" w14:textId="77777777">
        <w:trPr>
          <w:trHeight w:val="975"/>
        </w:trPr>
        <w:tc>
          <w:tcPr>
            <w:tcW w:w="9006" w:type="dxa"/>
            <w:gridSpan w:val="3"/>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6F3922D6"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2.  OPERATIONAL EFFICIENCY / DEMAND MANAGEMENT SAVINGS</w:t>
            </w:r>
          </w:p>
        </w:tc>
      </w:tr>
      <w:tr w:rsidR="001A1D1F" w14:paraId="5A139E4F" w14:textId="77777777">
        <w:trPr>
          <w:trHeight w:val="1260"/>
        </w:trPr>
        <w:tc>
          <w:tcPr>
            <w:tcW w:w="400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06EFE3FF" w14:textId="77777777" w:rsidR="001A1D1F" w:rsidRDefault="00000000">
            <w:pPr>
              <w:spacing w:before="240" w:after="240" w:line="240" w:lineRule="auto"/>
              <w:rPr>
                <w:rFonts w:ascii="Times New Roman" w:eastAsia="Times New Roman" w:hAnsi="Times New Roman" w:cs="Times New Roman"/>
              </w:rPr>
            </w:pPr>
            <w:r>
              <w:rPr>
                <w:color w:val="000000"/>
              </w:rPr>
              <w:t>2.1 The Supplier shall develop and deliver</w:t>
            </w:r>
            <w:r>
              <w:rPr>
                <w:color w:val="000000"/>
                <w:sz w:val="20"/>
                <w:szCs w:val="20"/>
              </w:rPr>
              <w:t xml:space="preserve"> </w:t>
            </w:r>
            <w:r>
              <w:rPr>
                <w:color w:val="000000"/>
              </w:rPr>
              <w:t>a Supplier Action Plan.     </w:t>
            </w:r>
          </w:p>
        </w:tc>
        <w:tc>
          <w:tcPr>
            <w:tcW w:w="20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3C0A73D8"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 xml:space="preserve">As </w:t>
            </w:r>
            <w:proofErr w:type="gramStart"/>
            <w:r>
              <w:rPr>
                <w:b/>
                <w:bCs/>
                <w:color w:val="000000"/>
              </w:rPr>
              <w:t>requested</w:t>
            </w:r>
            <w:proofErr w:type="gramEnd"/>
            <w:r>
              <w:rPr>
                <w:color w:val="000000"/>
              </w:rPr>
              <w:t>     </w:t>
            </w:r>
          </w:p>
        </w:tc>
        <w:tc>
          <w:tcPr>
            <w:tcW w:w="297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780B06DF" w14:textId="77777777" w:rsidR="001A1D1F" w:rsidRDefault="00000000">
            <w:pPr>
              <w:spacing w:before="240" w:after="240" w:line="240" w:lineRule="auto"/>
              <w:rPr>
                <w:rFonts w:ascii="Times New Roman" w:eastAsia="Times New Roman" w:hAnsi="Times New Roman" w:cs="Times New Roman"/>
              </w:rPr>
            </w:pPr>
            <w:r>
              <w:rPr>
                <w:color w:val="000000"/>
              </w:rPr>
              <w:t>Confirmation by the Authority.     </w:t>
            </w:r>
          </w:p>
        </w:tc>
      </w:tr>
      <w:tr w:rsidR="001A1D1F" w14:paraId="3515747F" w14:textId="77777777">
        <w:trPr>
          <w:trHeight w:val="975"/>
        </w:trPr>
        <w:tc>
          <w:tcPr>
            <w:tcW w:w="9006" w:type="dxa"/>
            <w:gridSpan w:val="3"/>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3DAD1BEF"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3.</w:t>
            </w:r>
            <w:r>
              <w:rPr>
                <w:color w:val="000000"/>
              </w:rPr>
              <w:t xml:space="preserve">  </w:t>
            </w:r>
            <w:r>
              <w:rPr>
                <w:b/>
                <w:bCs/>
                <w:color w:val="000000"/>
              </w:rPr>
              <w:t>CUSTOMER SATISFACTION</w:t>
            </w:r>
          </w:p>
        </w:tc>
      </w:tr>
      <w:tr w:rsidR="001A1D1F" w14:paraId="4BB5FC07" w14:textId="77777777">
        <w:trPr>
          <w:trHeight w:val="975"/>
        </w:trPr>
        <w:tc>
          <w:tcPr>
            <w:tcW w:w="40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22E95B" w14:textId="77777777" w:rsidR="001A1D1F" w:rsidRDefault="00000000">
            <w:pPr>
              <w:spacing w:before="240" w:after="240" w:line="240" w:lineRule="auto"/>
              <w:rPr>
                <w:rFonts w:ascii="Times New Roman" w:eastAsia="Times New Roman" w:hAnsi="Times New Roman" w:cs="Times New Roman"/>
              </w:rPr>
            </w:pPr>
            <w:r>
              <w:rPr>
                <w:color w:val="000000"/>
              </w:rPr>
              <w:t xml:space="preserve">3.1 The Supplier shall provide Services/Deliverables under Call-Off Contracts to the satisfaction of </w:t>
            </w:r>
            <w:proofErr w:type="gramStart"/>
            <w:r>
              <w:rPr>
                <w:color w:val="000000"/>
              </w:rPr>
              <w:t>Buyers’</w:t>
            </w:r>
            <w:proofErr w:type="gramEnd"/>
            <w:r>
              <w:rPr>
                <w:color w:val="000000"/>
              </w:rPr>
              <w:t xml:space="preserve"> as confirmed by customer feedback.     </w:t>
            </w:r>
          </w:p>
        </w:tc>
        <w:tc>
          <w:tcPr>
            <w:tcW w:w="2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5F0AE5"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Ongoing     </w:t>
            </w:r>
          </w:p>
        </w:tc>
        <w:tc>
          <w:tcPr>
            <w:tcW w:w="29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31CDEF" w14:textId="77777777" w:rsidR="001A1D1F" w:rsidRDefault="00000000">
            <w:pPr>
              <w:spacing w:before="240" w:after="240" w:line="240" w:lineRule="auto"/>
              <w:rPr>
                <w:rFonts w:ascii="Times New Roman" w:eastAsia="Times New Roman" w:hAnsi="Times New Roman" w:cs="Times New Roman"/>
              </w:rPr>
            </w:pPr>
            <w:r>
              <w:rPr>
                <w:color w:val="000000"/>
              </w:rPr>
              <w:t>Supplier’s performance against customer satisfaction      for Call-Off Contracts awarded under the Framework. </w:t>
            </w:r>
          </w:p>
        </w:tc>
      </w:tr>
      <w:tr w:rsidR="001A1D1F" w14:paraId="4E805631" w14:textId="77777777">
        <w:trPr>
          <w:trHeight w:val="780"/>
        </w:trPr>
        <w:tc>
          <w:tcPr>
            <w:tcW w:w="9006" w:type="dxa"/>
            <w:gridSpan w:val="3"/>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1F9266D9" w14:textId="77777777" w:rsidR="001A1D1F" w:rsidRDefault="00000000">
            <w:pPr>
              <w:spacing w:before="240" w:after="0" w:line="240" w:lineRule="auto"/>
              <w:jc w:val="center"/>
              <w:rPr>
                <w:rFonts w:ascii="Times New Roman" w:eastAsia="Times New Roman" w:hAnsi="Times New Roman" w:cs="Times New Roman"/>
              </w:rPr>
            </w:pPr>
            <w:r>
              <w:rPr>
                <w:b/>
                <w:bCs/>
                <w:color w:val="000000"/>
              </w:rPr>
              <w:t>4.</w:t>
            </w:r>
            <w:r>
              <w:rPr>
                <w:color w:val="000000"/>
              </w:rPr>
              <w:t xml:space="preserve">  </w:t>
            </w:r>
            <w:r>
              <w:rPr>
                <w:b/>
                <w:bCs/>
                <w:color w:val="000000"/>
              </w:rPr>
              <w:t>COLLABORATIVE APPROACH TO RELATIONSHIP MANAGEMENT AND NEW BUSINESS</w:t>
            </w:r>
          </w:p>
        </w:tc>
      </w:tr>
      <w:tr w:rsidR="001A1D1F" w14:paraId="3ABB4187" w14:textId="77777777">
        <w:trPr>
          <w:trHeight w:val="2925"/>
        </w:trPr>
        <w:tc>
          <w:tcPr>
            <w:tcW w:w="400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2C777AF5" w14:textId="77777777" w:rsidR="001A1D1F" w:rsidRDefault="001A1D1F">
            <w:pPr>
              <w:spacing w:before="240" w:after="0" w:line="240" w:lineRule="auto"/>
              <w:rPr>
                <w:rFonts w:ascii="Times New Roman" w:eastAsia="Times New Roman" w:hAnsi="Times New Roman" w:cs="Times New Roman"/>
              </w:rPr>
            </w:pPr>
          </w:p>
          <w:p w14:paraId="7EB4C4B8" w14:textId="77777777" w:rsidR="001A1D1F" w:rsidRDefault="00000000">
            <w:pPr>
              <w:spacing w:before="240" w:after="0" w:line="240" w:lineRule="auto"/>
              <w:rPr>
                <w:rFonts w:ascii="Times New Roman" w:eastAsia="Times New Roman" w:hAnsi="Times New Roman" w:cs="Times New Roman"/>
              </w:rPr>
            </w:pPr>
            <w:r>
              <w:rPr>
                <w:color w:val="000000"/>
              </w:rPr>
              <w:t xml:space="preserve">4.1 The Supplier shall provide the Buyer and </w:t>
            </w:r>
            <w:r>
              <w:t>GCA</w:t>
            </w:r>
            <w:r>
              <w:rPr>
                <w:color w:val="000000"/>
              </w:rPr>
              <w:t xml:space="preserve"> with rationale behind any decision to not bid for any Call-Off Procedure that they are invited to. This will include feedback for the Buyer to consider around their approach to service delivery, and the Call-Off Procedure.</w:t>
            </w:r>
          </w:p>
        </w:tc>
        <w:tc>
          <w:tcPr>
            <w:tcW w:w="20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77EBBE20" w14:textId="77777777" w:rsidR="001A1D1F" w:rsidRDefault="00000000">
            <w:pPr>
              <w:spacing w:before="240" w:after="0" w:line="240" w:lineRule="auto"/>
              <w:jc w:val="center"/>
              <w:rPr>
                <w:rFonts w:ascii="Times New Roman" w:eastAsia="Times New Roman" w:hAnsi="Times New Roman" w:cs="Times New Roman"/>
              </w:rPr>
            </w:pPr>
            <w:r>
              <w:rPr>
                <w:b/>
                <w:bCs/>
                <w:color w:val="000000"/>
              </w:rPr>
              <w:t> </w:t>
            </w:r>
          </w:p>
          <w:p w14:paraId="29E9D86C" w14:textId="77777777" w:rsidR="001A1D1F" w:rsidRDefault="00000000">
            <w:pPr>
              <w:spacing w:before="240" w:after="0" w:line="240" w:lineRule="auto"/>
              <w:jc w:val="center"/>
              <w:rPr>
                <w:rFonts w:ascii="Times New Roman" w:eastAsia="Times New Roman" w:hAnsi="Times New Roman" w:cs="Times New Roman"/>
              </w:rPr>
            </w:pPr>
            <w:r>
              <w:rPr>
                <w:b/>
                <w:bCs/>
                <w:color w:val="000000"/>
              </w:rPr>
              <w:t> </w:t>
            </w:r>
          </w:p>
          <w:p w14:paraId="0B207863" w14:textId="77777777" w:rsidR="001A1D1F" w:rsidRDefault="00000000">
            <w:pPr>
              <w:spacing w:before="240" w:after="0" w:line="240" w:lineRule="auto"/>
              <w:jc w:val="center"/>
              <w:rPr>
                <w:rFonts w:ascii="Times New Roman" w:eastAsia="Times New Roman" w:hAnsi="Times New Roman" w:cs="Times New Roman"/>
              </w:rPr>
            </w:pPr>
            <w:r>
              <w:rPr>
                <w:b/>
                <w:bCs/>
                <w:color w:val="000000"/>
              </w:rPr>
              <w:t>Monthly</w:t>
            </w:r>
          </w:p>
        </w:tc>
        <w:tc>
          <w:tcPr>
            <w:tcW w:w="297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77B71693" w14:textId="77777777" w:rsidR="001A1D1F" w:rsidRDefault="00000000">
            <w:pPr>
              <w:spacing w:before="240" w:after="0" w:line="240" w:lineRule="auto"/>
              <w:rPr>
                <w:rFonts w:ascii="Times New Roman" w:eastAsia="Times New Roman" w:hAnsi="Times New Roman" w:cs="Times New Roman"/>
              </w:rPr>
            </w:pPr>
            <w:r>
              <w:rPr>
                <w:color w:val="000000"/>
              </w:rPr>
              <w:t> </w:t>
            </w:r>
          </w:p>
          <w:p w14:paraId="45E9F07A" w14:textId="77777777" w:rsidR="001A1D1F" w:rsidRDefault="00000000">
            <w:pPr>
              <w:spacing w:before="240" w:after="0" w:line="240" w:lineRule="auto"/>
              <w:rPr>
                <w:rFonts w:ascii="Times New Roman" w:eastAsia="Times New Roman" w:hAnsi="Times New Roman" w:cs="Times New Roman"/>
              </w:rPr>
            </w:pPr>
            <w:r>
              <w:rPr>
                <w:color w:val="000000"/>
              </w:rPr>
              <w:t>Confirmation by the Authority of the Suppliers performance against engagement activities.</w:t>
            </w:r>
          </w:p>
        </w:tc>
      </w:tr>
      <w:tr w:rsidR="001A1D1F" w14:paraId="454D1BBB" w14:textId="77777777">
        <w:trPr>
          <w:trHeight w:val="2925"/>
        </w:trPr>
        <w:tc>
          <w:tcPr>
            <w:tcW w:w="400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3CCD9D47" w14:textId="77777777" w:rsidR="001A1D1F" w:rsidRDefault="00000000">
            <w:pPr>
              <w:spacing w:before="240" w:after="0" w:line="240" w:lineRule="auto"/>
              <w:rPr>
                <w:rFonts w:ascii="Times New Roman" w:eastAsia="Times New Roman" w:hAnsi="Times New Roman" w:cs="Times New Roman"/>
              </w:rPr>
            </w:pPr>
            <w:r>
              <w:rPr>
                <w:color w:val="000000"/>
              </w:rPr>
              <w:t xml:space="preserve">4.2 The Supplier shall provide </w:t>
            </w:r>
            <w:r>
              <w:t>GCA</w:t>
            </w:r>
            <w:r>
              <w:rPr>
                <w:color w:val="000000"/>
              </w:rPr>
              <w:t xml:space="preserve"> with case study examples for all appropriate Call-Off contracts delivered or other marketing collateral that may support new business development and/or sharing of industry best practice.</w:t>
            </w:r>
          </w:p>
          <w:p w14:paraId="37178057" w14:textId="77777777" w:rsidR="001A1D1F" w:rsidRDefault="00000000">
            <w:pPr>
              <w:spacing w:before="240" w:after="0" w:line="240" w:lineRule="auto"/>
              <w:rPr>
                <w:rFonts w:ascii="Times New Roman" w:eastAsia="Times New Roman" w:hAnsi="Times New Roman" w:cs="Times New Roman"/>
              </w:rPr>
            </w:pPr>
            <w:r>
              <w:rPr>
                <w:color w:val="000000"/>
              </w:rPr>
              <w:t> </w:t>
            </w:r>
          </w:p>
        </w:tc>
        <w:tc>
          <w:tcPr>
            <w:tcW w:w="20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1BA35164" w14:textId="77777777" w:rsidR="001A1D1F" w:rsidRDefault="00000000">
            <w:pPr>
              <w:spacing w:before="240" w:after="0" w:line="240" w:lineRule="auto"/>
              <w:jc w:val="center"/>
              <w:rPr>
                <w:rFonts w:ascii="Times New Roman" w:eastAsia="Times New Roman" w:hAnsi="Times New Roman" w:cs="Times New Roman"/>
              </w:rPr>
            </w:pPr>
            <w:r>
              <w:rPr>
                <w:b/>
                <w:bCs/>
                <w:color w:val="000000"/>
              </w:rPr>
              <w:t xml:space="preserve"> Annually </w:t>
            </w:r>
            <w:r>
              <w:rPr>
                <w:color w:val="000000"/>
              </w:rPr>
              <w:t>(where appropriate with Contracting Authority approval)</w:t>
            </w:r>
          </w:p>
        </w:tc>
        <w:tc>
          <w:tcPr>
            <w:tcW w:w="297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63761D40" w14:textId="77777777" w:rsidR="001A1D1F" w:rsidRDefault="00000000">
            <w:pPr>
              <w:spacing w:before="240" w:after="0" w:line="240" w:lineRule="auto"/>
              <w:rPr>
                <w:rFonts w:ascii="Times New Roman" w:eastAsia="Times New Roman" w:hAnsi="Times New Roman" w:cs="Times New Roman"/>
              </w:rPr>
            </w:pPr>
            <w:r>
              <w:rPr>
                <w:color w:val="000000"/>
              </w:rPr>
              <w:t xml:space="preserve"> Confirmation by the Authority of the Suppliers performance against case study and marketing materials.</w:t>
            </w:r>
          </w:p>
        </w:tc>
      </w:tr>
      <w:tr w:rsidR="001A1D1F" w14:paraId="07909CD8" w14:textId="77777777">
        <w:trPr>
          <w:trHeight w:val="975"/>
        </w:trPr>
        <w:tc>
          <w:tcPr>
            <w:tcW w:w="9006" w:type="dxa"/>
            <w:gridSpan w:val="3"/>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3A2DBBF6"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5. CONTRACT GOVERNANCE</w:t>
            </w:r>
          </w:p>
        </w:tc>
      </w:tr>
      <w:tr w:rsidR="001A1D1F" w14:paraId="1CE229D8" w14:textId="77777777">
        <w:trPr>
          <w:trHeight w:val="2385"/>
        </w:trPr>
        <w:tc>
          <w:tcPr>
            <w:tcW w:w="4002"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51DDC117" w14:textId="77777777" w:rsidR="001A1D1F" w:rsidRDefault="00000000">
            <w:pPr>
              <w:spacing w:before="240" w:after="240" w:line="240" w:lineRule="auto"/>
              <w:rPr>
                <w:rFonts w:ascii="Times New Roman" w:eastAsia="Times New Roman" w:hAnsi="Times New Roman" w:cs="Times New Roman"/>
              </w:rPr>
            </w:pPr>
            <w:r>
              <w:rPr>
                <w:color w:val="000000"/>
              </w:rPr>
              <w:t>5.1 The Supplier shall attend all contract governance meetings where invited. The Supplier Framework Manager or suitable deputy, must be in attendance.</w:t>
            </w:r>
          </w:p>
        </w:tc>
        <w:tc>
          <w:tcPr>
            <w:tcW w:w="20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43457928"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100%</w:t>
            </w:r>
          </w:p>
        </w:tc>
        <w:tc>
          <w:tcPr>
            <w:tcW w:w="2974"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5B45B94A" w14:textId="77777777" w:rsidR="001A1D1F" w:rsidRDefault="00000000">
            <w:pPr>
              <w:spacing w:before="240" w:after="240" w:line="240" w:lineRule="auto"/>
              <w:rPr>
                <w:rFonts w:ascii="Times New Roman" w:eastAsia="Times New Roman" w:hAnsi="Times New Roman" w:cs="Times New Roman"/>
              </w:rPr>
            </w:pPr>
            <w:r>
              <w:rPr>
                <w:color w:val="000000"/>
              </w:rPr>
              <w:t>Confirmation by the Authority of the supplier performance for contract governance.</w:t>
            </w:r>
          </w:p>
        </w:tc>
      </w:tr>
      <w:tr w:rsidR="001A1D1F" w14:paraId="6C65801D" w14:textId="77777777">
        <w:trPr>
          <w:trHeight w:val="780"/>
        </w:trPr>
        <w:tc>
          <w:tcPr>
            <w:tcW w:w="9006" w:type="dxa"/>
            <w:gridSpan w:val="3"/>
            <w:tcBorders>
              <w:top w:val="single" w:sz="8"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6C14C4"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6. SOCIAL VALUE </w:t>
            </w:r>
          </w:p>
        </w:tc>
      </w:tr>
      <w:tr w:rsidR="001A1D1F" w14:paraId="234BD38F" w14:textId="77777777">
        <w:trPr>
          <w:trHeight w:val="1155"/>
        </w:trPr>
        <w:tc>
          <w:tcPr>
            <w:tcW w:w="4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F0BB5E" w14:textId="77777777" w:rsidR="001A1D1F" w:rsidRDefault="00000000">
            <w:pPr>
              <w:spacing w:before="240" w:after="240" w:line="240" w:lineRule="auto"/>
              <w:rPr>
                <w:rFonts w:ascii="Times New Roman" w:eastAsia="Times New Roman" w:hAnsi="Times New Roman" w:cs="Times New Roman"/>
              </w:rPr>
            </w:pPr>
            <w:r>
              <w:rPr>
                <w:color w:val="000000"/>
              </w:rPr>
              <w:t>6.1 The Supplier shall submit accurate Social Value Reporting Metrics.</w:t>
            </w:r>
          </w:p>
          <w:p w14:paraId="0A50CF1B" w14:textId="77777777" w:rsidR="001A1D1F" w:rsidRDefault="001A1D1F">
            <w:pPr>
              <w:spacing w:after="0" w:line="240" w:lineRule="auto"/>
              <w:rPr>
                <w:rFonts w:ascii="Times New Roman" w:eastAsia="Times New Roman" w:hAnsi="Times New Roman" w:cs="Times New Roman"/>
              </w:rPr>
            </w:pPr>
          </w:p>
        </w:tc>
        <w:tc>
          <w:tcPr>
            <w:tcW w:w="20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25FCFF"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Annually</w:t>
            </w:r>
          </w:p>
        </w:tc>
        <w:tc>
          <w:tcPr>
            <w:tcW w:w="29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67B9B3" w14:textId="77777777" w:rsidR="001A1D1F" w:rsidRDefault="00000000">
            <w:pPr>
              <w:spacing w:before="240" w:after="240" w:line="240" w:lineRule="auto"/>
              <w:rPr>
                <w:rFonts w:ascii="Times New Roman" w:eastAsia="Times New Roman" w:hAnsi="Times New Roman" w:cs="Times New Roman"/>
              </w:rPr>
            </w:pPr>
            <w:r>
              <w:rPr>
                <w:color w:val="000000"/>
              </w:rPr>
              <w:t xml:space="preserve">Confirmation of receipt and time of receipt by </w:t>
            </w:r>
            <w:r>
              <w:t>GCA</w:t>
            </w:r>
            <w:r>
              <w:rPr>
                <w:color w:val="000000"/>
              </w:rPr>
              <w:t>.</w:t>
            </w:r>
          </w:p>
        </w:tc>
      </w:tr>
      <w:tr w:rsidR="001A1D1F" w14:paraId="01E75777" w14:textId="77777777">
        <w:trPr>
          <w:trHeight w:val="1215"/>
        </w:trPr>
        <w:tc>
          <w:tcPr>
            <w:tcW w:w="4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FFCC06" w14:textId="77777777" w:rsidR="001A1D1F" w:rsidRDefault="00000000">
            <w:pPr>
              <w:spacing w:before="240" w:after="240" w:line="240" w:lineRule="auto"/>
              <w:rPr>
                <w:rFonts w:ascii="Times New Roman" w:eastAsia="Times New Roman" w:hAnsi="Times New Roman" w:cs="Times New Roman"/>
              </w:rPr>
            </w:pPr>
            <w:r>
              <w:rPr>
                <w:color w:val="000000"/>
              </w:rPr>
              <w:t>6.2 The Supplier shall provide an annual Social Value delivery statement</w:t>
            </w:r>
          </w:p>
        </w:tc>
        <w:tc>
          <w:tcPr>
            <w:tcW w:w="20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42C910"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Annually</w:t>
            </w:r>
          </w:p>
        </w:tc>
        <w:tc>
          <w:tcPr>
            <w:tcW w:w="29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283E35" w14:textId="77777777" w:rsidR="001A1D1F" w:rsidRDefault="00000000">
            <w:pPr>
              <w:spacing w:before="240" w:after="240" w:line="240" w:lineRule="auto"/>
              <w:rPr>
                <w:rFonts w:ascii="Times New Roman" w:eastAsia="Times New Roman" w:hAnsi="Times New Roman" w:cs="Times New Roman"/>
              </w:rPr>
            </w:pPr>
            <w:r>
              <w:rPr>
                <w:color w:val="000000"/>
              </w:rPr>
              <w:t xml:space="preserve">Confirmation of receipt and time of receipt by </w:t>
            </w:r>
            <w:r>
              <w:t>GCA</w:t>
            </w:r>
            <w:r>
              <w:rPr>
                <w:color w:val="000000"/>
              </w:rPr>
              <w:t>.</w:t>
            </w:r>
          </w:p>
        </w:tc>
      </w:tr>
      <w:tr w:rsidR="001A1D1F" w14:paraId="7EC4DBB3" w14:textId="77777777">
        <w:trPr>
          <w:trHeight w:val="1390"/>
        </w:trPr>
        <w:tc>
          <w:tcPr>
            <w:tcW w:w="4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132C66" w14:textId="77777777" w:rsidR="001A1D1F" w:rsidRDefault="00000000">
            <w:pPr>
              <w:spacing w:before="80" w:after="80" w:line="240" w:lineRule="auto"/>
              <w:rPr>
                <w:rFonts w:ascii="Times New Roman" w:eastAsia="Times New Roman" w:hAnsi="Times New Roman" w:cs="Times New Roman"/>
              </w:rPr>
            </w:pPr>
            <w:r>
              <w:rPr>
                <w:color w:val="000000"/>
              </w:rPr>
              <w:lastRenderedPageBreak/>
              <w:t>6.3 The Supplier shall submit a Carbon Reduction Plan (CRP) annually for the lifetime of the framework. </w:t>
            </w:r>
          </w:p>
          <w:p w14:paraId="319B196D" w14:textId="77777777" w:rsidR="001A1D1F" w:rsidRDefault="001A1D1F">
            <w:pPr>
              <w:spacing w:after="240" w:line="240" w:lineRule="auto"/>
              <w:rPr>
                <w:rFonts w:ascii="Times New Roman" w:eastAsia="Times New Roman" w:hAnsi="Times New Roman" w:cs="Times New Roman"/>
              </w:rPr>
            </w:pPr>
          </w:p>
        </w:tc>
        <w:tc>
          <w:tcPr>
            <w:tcW w:w="20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2B494F"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Annually </w:t>
            </w:r>
          </w:p>
        </w:tc>
        <w:tc>
          <w:tcPr>
            <w:tcW w:w="29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A825F4" w14:textId="77777777" w:rsidR="001A1D1F" w:rsidRDefault="00000000">
            <w:pPr>
              <w:spacing w:before="240" w:after="240" w:line="240" w:lineRule="auto"/>
              <w:rPr>
                <w:rFonts w:ascii="Times New Roman" w:eastAsia="Times New Roman" w:hAnsi="Times New Roman" w:cs="Times New Roman"/>
              </w:rPr>
            </w:pPr>
            <w:r>
              <w:rPr>
                <w:color w:val="000000"/>
              </w:rPr>
              <w:t>Confirmation of receipt and time of receipt of a CRP by the Authority</w:t>
            </w:r>
          </w:p>
        </w:tc>
      </w:tr>
      <w:tr w:rsidR="001A1D1F" w14:paraId="0FE292CD" w14:textId="77777777">
        <w:trPr>
          <w:trHeight w:val="2385"/>
        </w:trPr>
        <w:tc>
          <w:tcPr>
            <w:tcW w:w="4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2D6EF7" w14:textId="77777777" w:rsidR="001A1D1F" w:rsidRDefault="00000000">
            <w:pPr>
              <w:spacing w:before="80" w:after="80" w:line="240" w:lineRule="auto"/>
              <w:rPr>
                <w:rFonts w:ascii="Times New Roman" w:eastAsia="Times New Roman" w:hAnsi="Times New Roman" w:cs="Times New Roman"/>
              </w:rPr>
            </w:pPr>
            <w:r>
              <w:rPr>
                <w:color w:val="000000"/>
              </w:rPr>
              <w:t>6.4 The Supplier shall complete a Modern Slavery Assessment Tool upon request and act on recommendations.</w:t>
            </w:r>
          </w:p>
          <w:p w14:paraId="2706ED32" w14:textId="77777777" w:rsidR="001A1D1F" w:rsidRDefault="001A1D1F">
            <w:pPr>
              <w:spacing w:after="0" w:line="240" w:lineRule="auto"/>
              <w:rPr>
                <w:rFonts w:ascii="Times New Roman" w:eastAsia="Times New Roman" w:hAnsi="Times New Roman" w:cs="Times New Roman"/>
              </w:rPr>
            </w:pPr>
          </w:p>
        </w:tc>
        <w:tc>
          <w:tcPr>
            <w:tcW w:w="20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C66D7B"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Within 60 days of request</w:t>
            </w:r>
          </w:p>
        </w:tc>
        <w:tc>
          <w:tcPr>
            <w:tcW w:w="29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62EB1E" w14:textId="77777777" w:rsidR="001A1D1F" w:rsidRDefault="00000000">
            <w:pPr>
              <w:spacing w:before="240" w:after="240" w:line="240" w:lineRule="auto"/>
              <w:rPr>
                <w:rFonts w:ascii="Times New Roman" w:eastAsia="Times New Roman" w:hAnsi="Times New Roman" w:cs="Times New Roman"/>
              </w:rPr>
            </w:pPr>
            <w:r>
              <w:rPr>
                <w:color w:val="000000"/>
              </w:rPr>
              <w:t xml:space="preserve">Confirmation of receipt and time of receipt by </w:t>
            </w:r>
            <w:r>
              <w:t>GCA</w:t>
            </w:r>
            <w:r>
              <w:rPr>
                <w:color w:val="000000"/>
              </w:rPr>
              <w:t>.</w:t>
            </w:r>
          </w:p>
        </w:tc>
      </w:tr>
      <w:tr w:rsidR="001A1D1F" w14:paraId="2910BE12" w14:textId="77777777">
        <w:trPr>
          <w:trHeight w:val="2385"/>
        </w:trPr>
        <w:tc>
          <w:tcPr>
            <w:tcW w:w="400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267F18" w14:textId="77777777" w:rsidR="001A1D1F" w:rsidRDefault="00000000">
            <w:pPr>
              <w:spacing w:before="80" w:after="80" w:line="240" w:lineRule="auto"/>
              <w:rPr>
                <w:rFonts w:ascii="Times New Roman" w:eastAsia="Times New Roman" w:hAnsi="Times New Roman" w:cs="Times New Roman"/>
              </w:rPr>
            </w:pPr>
            <w:r>
              <w:rPr>
                <w:color w:val="000000"/>
              </w:rPr>
              <w:t>6.5</w:t>
            </w:r>
            <w:r>
              <w:rPr>
                <w:color w:val="1F1F1F"/>
                <w:highlight w:val="white"/>
              </w:rPr>
              <w:t>. The Supplier shall complete and submit to GCA the SME/VCSE Supply Chain Visibility Collection template at Annex 1, annually for the lifetime of the Framework.</w:t>
            </w:r>
          </w:p>
          <w:p w14:paraId="19E66D2D" w14:textId="77777777" w:rsidR="001A1D1F" w:rsidRDefault="00000000">
            <w:pPr>
              <w:spacing w:before="80" w:after="80" w:line="240" w:lineRule="auto"/>
              <w:rPr>
                <w:rFonts w:ascii="Times New Roman" w:eastAsia="Times New Roman" w:hAnsi="Times New Roman" w:cs="Times New Roman"/>
              </w:rPr>
            </w:pPr>
            <w:r>
              <w:rPr>
                <w:color w:val="1F1F1F"/>
                <w:highlight w:val="white"/>
              </w:rPr>
              <w:t>GCA reserves the right to change the template from time to time (including the data required to be captured in the template and/or the format of the template) by issuing a replacement version, giving no less than one (1) Month’s’ notice.</w:t>
            </w:r>
          </w:p>
          <w:p w14:paraId="37F70655" w14:textId="77777777" w:rsidR="001A1D1F" w:rsidRDefault="001A1D1F">
            <w:pPr>
              <w:spacing w:after="0" w:line="240" w:lineRule="auto"/>
              <w:rPr>
                <w:rFonts w:ascii="Times New Roman" w:eastAsia="Times New Roman" w:hAnsi="Times New Roman" w:cs="Times New Roman"/>
              </w:rPr>
            </w:pPr>
          </w:p>
        </w:tc>
        <w:tc>
          <w:tcPr>
            <w:tcW w:w="203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BAB117" w14:textId="77777777" w:rsidR="001A1D1F" w:rsidRDefault="00000000">
            <w:pPr>
              <w:spacing w:before="240" w:after="240" w:line="240" w:lineRule="auto"/>
              <w:jc w:val="center"/>
              <w:rPr>
                <w:rFonts w:ascii="Times New Roman" w:eastAsia="Times New Roman" w:hAnsi="Times New Roman" w:cs="Times New Roman"/>
              </w:rPr>
            </w:pPr>
            <w:r>
              <w:rPr>
                <w:b/>
                <w:bCs/>
                <w:color w:val="000000"/>
              </w:rPr>
              <w:t>Annually</w:t>
            </w:r>
          </w:p>
        </w:tc>
        <w:tc>
          <w:tcPr>
            <w:tcW w:w="29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287A67" w14:textId="77777777" w:rsidR="001A1D1F" w:rsidRDefault="001A1D1F">
            <w:pPr>
              <w:spacing w:after="0" w:line="240" w:lineRule="auto"/>
              <w:rPr>
                <w:color w:val="000000"/>
              </w:rPr>
            </w:pPr>
          </w:p>
          <w:p w14:paraId="36EC79FD" w14:textId="77777777" w:rsidR="001A1D1F" w:rsidRDefault="00000000">
            <w:pPr>
              <w:spacing w:after="0" w:line="240" w:lineRule="auto"/>
              <w:rPr>
                <w:rFonts w:ascii="Times New Roman" w:eastAsia="Times New Roman" w:hAnsi="Times New Roman" w:cs="Times New Roman"/>
              </w:rPr>
            </w:pPr>
            <w:r>
              <w:rPr>
                <w:color w:val="000000"/>
              </w:rPr>
              <w:t xml:space="preserve">Confirmation of receipt and time of receipt by </w:t>
            </w:r>
            <w:r>
              <w:t>GCA</w:t>
            </w:r>
            <w:r>
              <w:rPr>
                <w:color w:val="000000"/>
              </w:rPr>
              <w:t>.</w:t>
            </w:r>
          </w:p>
        </w:tc>
      </w:tr>
    </w:tbl>
    <w:p w14:paraId="0258863E" w14:textId="77777777" w:rsidR="001A1D1F" w:rsidRDefault="001A1D1F">
      <w:pPr>
        <w:widowControl w:val="0"/>
        <w:spacing w:after="0"/>
        <w:rPr>
          <w:highlight w:val="yellow"/>
        </w:rPr>
      </w:pPr>
    </w:p>
    <w:p w14:paraId="1922B9DD"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The Supplier shall comply with the Framework Performance Measures and establish processes to monitor its performance against them and the Supplier’s achievement of FPMs shall be reviewed during the Supplier Review Meetings. </w:t>
      </w:r>
    </w:p>
    <w:p w14:paraId="644115BF" w14:textId="77777777" w:rsidR="001A1D1F" w:rsidRDefault="00000000">
      <w:pPr>
        <w:numPr>
          <w:ilvl w:val="1"/>
          <w:numId w:val="1"/>
        </w:numPr>
        <w:pBdr>
          <w:top w:val="nil"/>
          <w:left w:val="nil"/>
          <w:bottom w:val="nil"/>
          <w:right w:val="nil"/>
          <w:between w:val="nil"/>
        </w:pBdr>
        <w:spacing w:before="120" w:after="120"/>
        <w:ind w:left="1134" w:hanging="708"/>
      </w:pPr>
      <w:r>
        <w:t>GCA</w:t>
      </w:r>
      <w:r>
        <w:rPr>
          <w:color w:val="000000"/>
        </w:rPr>
        <w:t xml:space="preserve"> reserves the right to adjust, introduce new, or remove FPMs throughout the Framework Contract Period, however any significant changes to FPMs shall be agreed between </w:t>
      </w:r>
      <w:r>
        <w:t>GCA</w:t>
      </w:r>
      <w:r>
        <w:rPr>
          <w:color w:val="000000"/>
        </w:rPr>
        <w:t xml:space="preserve"> and the Supplier in accordance with the Variation Procedure.</w:t>
      </w:r>
    </w:p>
    <w:p w14:paraId="2FEC35A7" w14:textId="77777777" w:rsidR="001A1D1F" w:rsidRDefault="00000000">
      <w:pPr>
        <w:numPr>
          <w:ilvl w:val="1"/>
          <w:numId w:val="1"/>
        </w:numPr>
        <w:pBdr>
          <w:top w:val="nil"/>
          <w:left w:val="nil"/>
          <w:bottom w:val="nil"/>
          <w:right w:val="nil"/>
          <w:between w:val="nil"/>
        </w:pBdr>
        <w:spacing w:before="120" w:after="120"/>
        <w:ind w:left="1134" w:hanging="708"/>
      </w:pPr>
      <w:r>
        <w:t>GCA</w:t>
      </w:r>
      <w:r>
        <w:rPr>
          <w:color w:val="000000"/>
        </w:rPr>
        <w:t xml:space="preserve"> reserves the right to use and publish the performance of the Supplier against the FPMs without restriction.</w:t>
      </w:r>
    </w:p>
    <w:p w14:paraId="13D30569" w14:textId="77777777" w:rsidR="001A1D1F" w:rsidRDefault="001A1D1F">
      <w:pPr>
        <w:pBdr>
          <w:top w:val="nil"/>
          <w:left w:val="nil"/>
          <w:bottom w:val="nil"/>
          <w:right w:val="nil"/>
          <w:between w:val="nil"/>
        </w:pBdr>
        <w:spacing w:before="120" w:after="120"/>
        <w:ind w:left="1134"/>
        <w:rPr>
          <w:color w:val="000000"/>
        </w:rPr>
      </w:pPr>
    </w:p>
    <w:p w14:paraId="21835A66" w14:textId="77777777" w:rsidR="001A1D1F" w:rsidRDefault="001A1D1F">
      <w:pPr>
        <w:pBdr>
          <w:top w:val="nil"/>
          <w:left w:val="nil"/>
          <w:bottom w:val="nil"/>
          <w:right w:val="nil"/>
          <w:between w:val="nil"/>
        </w:pBdr>
        <w:spacing w:before="120" w:after="120"/>
        <w:ind w:left="1134"/>
        <w:rPr>
          <w:color w:val="000000"/>
        </w:rPr>
      </w:pPr>
    </w:p>
    <w:p w14:paraId="472FB8F2" w14:textId="77777777" w:rsidR="001A1D1F" w:rsidRDefault="001A1D1F">
      <w:pPr>
        <w:pBdr>
          <w:top w:val="nil"/>
          <w:left w:val="nil"/>
          <w:bottom w:val="nil"/>
          <w:right w:val="nil"/>
          <w:between w:val="nil"/>
        </w:pBdr>
        <w:spacing w:before="120" w:after="120"/>
        <w:ind w:left="1134"/>
        <w:rPr>
          <w:color w:val="000000"/>
        </w:rPr>
      </w:pPr>
    </w:p>
    <w:p w14:paraId="0CD6F71B" w14:textId="77777777" w:rsidR="001A1D1F" w:rsidRDefault="001A1D1F">
      <w:pPr>
        <w:pBdr>
          <w:top w:val="nil"/>
          <w:left w:val="nil"/>
          <w:bottom w:val="nil"/>
          <w:right w:val="nil"/>
          <w:between w:val="nil"/>
        </w:pBdr>
        <w:spacing w:before="120" w:after="120"/>
        <w:ind w:left="1134"/>
        <w:rPr>
          <w:color w:val="000000"/>
        </w:rPr>
      </w:pPr>
    </w:p>
    <w:p w14:paraId="2DD27C75" w14:textId="77777777" w:rsidR="001A1D1F" w:rsidRDefault="001A1D1F">
      <w:pPr>
        <w:pBdr>
          <w:top w:val="nil"/>
          <w:left w:val="nil"/>
          <w:bottom w:val="nil"/>
          <w:right w:val="nil"/>
          <w:between w:val="nil"/>
        </w:pBdr>
        <w:spacing w:before="120" w:after="120"/>
        <w:ind w:left="1134"/>
      </w:pPr>
    </w:p>
    <w:p w14:paraId="7EFD7070" w14:textId="77777777" w:rsidR="001A1D1F" w:rsidRDefault="00000000">
      <w:pPr>
        <w:keepLines/>
        <w:numPr>
          <w:ilvl w:val="0"/>
          <w:numId w:val="1"/>
        </w:numPr>
        <w:pBdr>
          <w:top w:val="nil"/>
          <w:left w:val="nil"/>
          <w:bottom w:val="nil"/>
          <w:right w:val="nil"/>
          <w:between w:val="nil"/>
        </w:pBdr>
        <w:spacing w:before="120" w:after="120"/>
        <w:ind w:left="426" w:hanging="426"/>
      </w:pPr>
      <w:r>
        <w:rPr>
          <w:b/>
          <w:bCs/>
          <w:color w:val="000000"/>
        </w:rPr>
        <w:t>What the Supplier must do to measure their performance</w:t>
      </w:r>
    </w:p>
    <w:p w14:paraId="5BCF7405" w14:textId="77777777" w:rsidR="001A1D1F" w:rsidRDefault="00000000">
      <w:pPr>
        <w:keepNext/>
        <w:keepLines/>
        <w:numPr>
          <w:ilvl w:val="1"/>
          <w:numId w:val="1"/>
        </w:numPr>
        <w:pBdr>
          <w:top w:val="nil"/>
          <w:left w:val="nil"/>
          <w:bottom w:val="nil"/>
          <w:right w:val="nil"/>
          <w:between w:val="nil"/>
        </w:pBdr>
        <w:spacing w:before="120" w:after="120"/>
        <w:ind w:left="1134" w:hanging="708"/>
      </w:pPr>
      <w:bookmarkStart w:id="6" w:name="_heading=h.tyjcwt" w:colFirst="0" w:colLast="0"/>
      <w:bookmarkEnd w:id="6"/>
      <w:r>
        <w:rPr>
          <w:color w:val="000000"/>
        </w:rPr>
        <w:t xml:space="preserve">The Supplier shall cooperate in good faith with </w:t>
      </w:r>
      <w:r>
        <w:t>GCA</w:t>
      </w:r>
      <w:r>
        <w:rPr>
          <w:color w:val="000000"/>
        </w:rPr>
        <w:t xml:space="preserve"> to develop efficiency tracking performance measures for this Contract. This shall include the following (but this list is not exhaustive and may be developed during the Framework Contract Period): </w:t>
      </w:r>
    </w:p>
    <w:p w14:paraId="40A2BD0E" w14:textId="77777777" w:rsidR="001A1D1F" w:rsidRDefault="00000000">
      <w:pPr>
        <w:numPr>
          <w:ilvl w:val="2"/>
          <w:numId w:val="1"/>
        </w:numPr>
        <w:pBdr>
          <w:top w:val="nil"/>
          <w:left w:val="nil"/>
          <w:bottom w:val="nil"/>
          <w:right w:val="nil"/>
          <w:between w:val="nil"/>
        </w:pBdr>
        <w:spacing w:before="120" w:after="120"/>
        <w:ind w:left="1985" w:hanging="851"/>
      </w:pPr>
      <w:r>
        <w:rPr>
          <w:color w:val="000000"/>
        </w:rPr>
        <w:t xml:space="preserve">tracking reductions in product volumes and product costs, in order to demonstrate that Buyers are consuming less and buying more smartly; </w:t>
      </w:r>
    </w:p>
    <w:p w14:paraId="3E3BA8BD" w14:textId="77777777" w:rsidR="001A1D1F" w:rsidRDefault="00000000">
      <w:pPr>
        <w:numPr>
          <w:ilvl w:val="2"/>
          <w:numId w:val="1"/>
        </w:numPr>
        <w:pBdr>
          <w:top w:val="nil"/>
          <w:left w:val="nil"/>
          <w:bottom w:val="nil"/>
          <w:right w:val="nil"/>
          <w:between w:val="nil"/>
        </w:pBdr>
        <w:spacing w:before="120" w:after="120"/>
        <w:ind w:left="1985" w:hanging="851"/>
      </w:pPr>
      <w:r>
        <w:rPr>
          <w:color w:val="000000"/>
        </w:rPr>
        <w:t>developing additional FPMs to ensure that this Contract supports the emerging target operating model across central government (particularly in line with centralised sourcing and category management, procurement delivery centres and payment processing systems and shared service centres).</w:t>
      </w:r>
    </w:p>
    <w:p w14:paraId="11C52EA8"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The metrics that are to be implemented to measure efficiency shall be developed and agreed between </w:t>
      </w:r>
      <w:r>
        <w:t>GCA</w:t>
      </w:r>
      <w:r>
        <w:rPr>
          <w:color w:val="000000"/>
        </w:rPr>
        <w:t xml:space="preserve"> and the Supplier. Such metrics shall be incorporated into the list of FPMs set out in this Schedule.</w:t>
      </w:r>
    </w:p>
    <w:p w14:paraId="549BAE42"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The ongoing progress and development of the efficiency tracking performance measures shall be reported through framework management activities as outlined in this Schedule.</w:t>
      </w:r>
    </w:p>
    <w:p w14:paraId="737901E6" w14:textId="77777777" w:rsidR="001A1D1F" w:rsidRDefault="00000000">
      <w:pPr>
        <w:keepNext/>
        <w:numPr>
          <w:ilvl w:val="0"/>
          <w:numId w:val="1"/>
        </w:numPr>
        <w:pBdr>
          <w:top w:val="nil"/>
          <w:left w:val="nil"/>
          <w:bottom w:val="nil"/>
          <w:right w:val="nil"/>
          <w:between w:val="nil"/>
        </w:pBdr>
        <w:spacing w:before="120" w:after="120"/>
        <w:ind w:left="426" w:hanging="426"/>
      </w:pPr>
      <w:r>
        <w:rPr>
          <w:b/>
          <w:bCs/>
          <w:color w:val="000000"/>
        </w:rPr>
        <w:t xml:space="preserve">What to do if </w:t>
      </w:r>
      <w:r>
        <w:rPr>
          <w:b/>
          <w:bCs/>
        </w:rPr>
        <w:t>GCA</w:t>
      </w:r>
      <w:r>
        <w:rPr>
          <w:b/>
          <w:bCs/>
          <w:color w:val="000000"/>
        </w:rPr>
        <w:t xml:space="preserve"> and the Supplier can’t agree about the performance </w:t>
      </w:r>
    </w:p>
    <w:p w14:paraId="044AD24A"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In the event that </w:t>
      </w:r>
      <w:r>
        <w:t>GCA</w:t>
      </w:r>
      <w:r>
        <w:rPr>
          <w:color w:val="000000"/>
        </w:rPr>
        <w:t xml:space="preserve"> and the Supplier are unable to agree the performance score for any FPM during a Supplier Review Meeting, the disputed score shall be recorded and the matter shall be referred to </w:t>
      </w:r>
      <w:r>
        <w:t>GCA</w:t>
      </w:r>
      <w:r>
        <w:rPr>
          <w:color w:val="000000"/>
        </w:rPr>
        <w:t xml:space="preserve"> Authorised Representative and the Supplier Authorised Representative in order to determine the best course of action to resolve the matter (which may involve organising an ad-hoc meeting to discuss the performance issue specifically).</w:t>
      </w:r>
    </w:p>
    <w:p w14:paraId="45720C91"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In cases where </w:t>
      </w:r>
      <w:r>
        <w:t>GCA</w:t>
      </w:r>
      <w:r>
        <w:rPr>
          <w:color w:val="000000"/>
        </w:rPr>
        <w:t xml:space="preserve"> Authorised Representative and the Supplier Authorised Representative fail to reach a solution within a reasonable period of time, the matter shall be referred to the Dispute Resolution Procedure.</w:t>
      </w:r>
    </w:p>
    <w:p w14:paraId="4358EC8B" w14:textId="77777777" w:rsidR="001A1D1F" w:rsidRDefault="00000000">
      <w:pPr>
        <w:keepNext/>
        <w:numPr>
          <w:ilvl w:val="0"/>
          <w:numId w:val="1"/>
        </w:numPr>
        <w:pBdr>
          <w:top w:val="nil"/>
          <w:left w:val="nil"/>
          <w:bottom w:val="nil"/>
          <w:right w:val="nil"/>
          <w:between w:val="nil"/>
        </w:pBdr>
        <w:spacing w:before="120" w:after="120"/>
        <w:ind w:left="426" w:hanging="426"/>
      </w:pPr>
      <w:bookmarkStart w:id="7" w:name="_heading=h.3dy6vkm" w:colFirst="0" w:colLast="0"/>
      <w:bookmarkEnd w:id="7"/>
      <w:r>
        <w:rPr>
          <w:b/>
          <w:bCs/>
          <w:color w:val="000000"/>
        </w:rPr>
        <w:t>Marketing</w:t>
      </w:r>
    </w:p>
    <w:p w14:paraId="4577707B"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The Supplier shall ensure that a person is appointed as Supplier Marketing Contact who shall be responsible for the marketing obligations of the Supplier in relation to this Contract. </w:t>
      </w:r>
    </w:p>
    <w:p w14:paraId="1222EC50" w14:textId="77777777" w:rsidR="001A1D1F" w:rsidRDefault="00000000">
      <w:pPr>
        <w:keepNext/>
        <w:pBdr>
          <w:top w:val="nil"/>
          <w:left w:val="nil"/>
          <w:bottom w:val="nil"/>
          <w:right w:val="nil"/>
          <w:between w:val="nil"/>
        </w:pBdr>
        <w:spacing w:before="120" w:after="120"/>
        <w:ind w:left="426" w:hanging="642"/>
        <w:rPr>
          <w:b/>
          <w:bCs/>
          <w:color w:val="000000"/>
        </w:rPr>
      </w:pPr>
      <w:r>
        <w:rPr>
          <w:b/>
          <w:bCs/>
          <w:color w:val="000000"/>
        </w:rPr>
        <w:lastRenderedPageBreak/>
        <w:tab/>
        <w:t xml:space="preserve">How the Supplier must contribute to </w:t>
      </w:r>
      <w:r>
        <w:rPr>
          <w:b/>
          <w:bCs/>
        </w:rPr>
        <w:t>GCA</w:t>
      </w:r>
      <w:r>
        <w:rPr>
          <w:b/>
          <w:bCs/>
          <w:color w:val="000000"/>
        </w:rPr>
        <w:t xml:space="preserve"> publications</w:t>
      </w:r>
    </w:p>
    <w:p w14:paraId="60D0736E" w14:textId="77777777" w:rsidR="001A1D1F" w:rsidRDefault="00000000">
      <w:pPr>
        <w:numPr>
          <w:ilvl w:val="1"/>
          <w:numId w:val="1"/>
        </w:numPr>
        <w:pBdr>
          <w:top w:val="nil"/>
          <w:left w:val="nil"/>
          <w:bottom w:val="nil"/>
          <w:right w:val="nil"/>
          <w:between w:val="nil"/>
        </w:pBdr>
        <w:spacing w:before="120" w:after="120"/>
        <w:ind w:left="1134" w:hanging="708"/>
      </w:pPr>
      <w:bookmarkStart w:id="8" w:name="_heading=h.1t3h5sf" w:colFirst="0" w:colLast="0"/>
      <w:bookmarkEnd w:id="8"/>
      <w:r>
        <w:rPr>
          <w:color w:val="000000"/>
        </w:rPr>
        <w:t xml:space="preserve">The Supplier shall supply current information relating to the Goods and/or Services it offers for inclusion in </w:t>
      </w:r>
      <w:r>
        <w:t>GCA</w:t>
      </w:r>
      <w:r>
        <w:rPr>
          <w:color w:val="000000"/>
        </w:rPr>
        <w:t xml:space="preserve"> marketing materials when required by </w:t>
      </w:r>
      <w:r>
        <w:t>GCA</w:t>
      </w:r>
      <w:r>
        <w:rPr>
          <w:color w:val="000000"/>
        </w:rPr>
        <w:t xml:space="preserve"> from time to time.</w:t>
      </w:r>
    </w:p>
    <w:p w14:paraId="37E92FE8" w14:textId="77777777" w:rsidR="001A1D1F" w:rsidRDefault="00000000">
      <w:pPr>
        <w:numPr>
          <w:ilvl w:val="1"/>
          <w:numId w:val="1"/>
        </w:numPr>
        <w:pBdr>
          <w:top w:val="nil"/>
          <w:left w:val="nil"/>
          <w:bottom w:val="nil"/>
          <w:right w:val="nil"/>
          <w:between w:val="nil"/>
        </w:pBdr>
        <w:spacing w:before="120" w:after="120"/>
        <w:ind w:left="1134" w:hanging="708"/>
      </w:pPr>
      <w:bookmarkStart w:id="9" w:name="_heading=h.4d34og8" w:colFirst="0" w:colLast="0"/>
      <w:bookmarkEnd w:id="9"/>
      <w:r>
        <w:rPr>
          <w:color w:val="000000"/>
        </w:rPr>
        <w:t xml:space="preserve">Such information shall be provided in such form and at such time as </w:t>
      </w:r>
      <w:r>
        <w:t>GCA</w:t>
      </w:r>
      <w:r>
        <w:rPr>
          <w:color w:val="000000"/>
        </w:rPr>
        <w:t xml:space="preserve"> may request.</w:t>
      </w:r>
    </w:p>
    <w:p w14:paraId="07DFB52C"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Failure to comply with the provisions of Paragraphs 7.2 and 7.3 may result in the Supplier's exclusion from the use of such marketing materials.</w:t>
      </w:r>
    </w:p>
    <w:p w14:paraId="2C35FCF4" w14:textId="77777777" w:rsidR="001A1D1F" w:rsidRDefault="00000000">
      <w:pPr>
        <w:keepNext/>
        <w:pBdr>
          <w:top w:val="nil"/>
          <w:left w:val="nil"/>
          <w:bottom w:val="nil"/>
          <w:right w:val="nil"/>
          <w:between w:val="nil"/>
        </w:pBdr>
        <w:spacing w:before="120" w:after="120"/>
        <w:ind w:left="426" w:hanging="642"/>
        <w:rPr>
          <w:b/>
          <w:bCs/>
          <w:color w:val="000000"/>
        </w:rPr>
      </w:pPr>
      <w:r>
        <w:rPr>
          <w:b/>
          <w:bCs/>
          <w:color w:val="000000"/>
        </w:rPr>
        <w:tab/>
        <w:t>What Suppliers can say in its own publications</w:t>
      </w:r>
    </w:p>
    <w:p w14:paraId="2E35D750"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All marketing materials produced by the Supplier in relation to this Framework shall at all times comply with the </w:t>
      </w:r>
      <w:r>
        <w:t>GCA</w:t>
      </w:r>
      <w:r>
        <w:rPr>
          <w:color w:val="000000"/>
        </w:rPr>
        <w:t xml:space="preserve"> branding guidance at </w:t>
      </w:r>
      <w:hyperlink r:id="rId8">
        <w:r>
          <w:rPr>
            <w:color w:val="0000FF"/>
            <w:u w:val="single"/>
          </w:rPr>
          <w:t>https://www.gov.uk/government/publications/crown-commercial-service-supplier-logo-and-brand-guidelines</w:t>
        </w:r>
      </w:hyperlink>
      <w:r>
        <w:rPr>
          <w:color w:val="000000"/>
        </w:rPr>
        <w:t>.</w:t>
      </w:r>
    </w:p>
    <w:p w14:paraId="6291D427"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The Supplier will periodically update and revise its marketing materials to ensure ongoing compliance.</w:t>
      </w:r>
    </w:p>
    <w:p w14:paraId="0F84CFEF"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The Supplier shall regularly review the content of any information which appears on its website and which relates to each Contract and ensure that such information is up to date at all times.</w:t>
      </w:r>
    </w:p>
    <w:p w14:paraId="7529CFA6" w14:textId="77777777" w:rsidR="001A1D1F" w:rsidRDefault="00000000">
      <w:pPr>
        <w:numPr>
          <w:ilvl w:val="1"/>
          <w:numId w:val="1"/>
        </w:numPr>
        <w:pBdr>
          <w:top w:val="nil"/>
          <w:left w:val="nil"/>
          <w:bottom w:val="nil"/>
          <w:right w:val="nil"/>
          <w:between w:val="nil"/>
        </w:pBdr>
        <w:spacing w:before="120" w:after="120"/>
        <w:ind w:left="1134" w:hanging="708"/>
      </w:pPr>
      <w:r>
        <w:rPr>
          <w:color w:val="000000"/>
        </w:rPr>
        <w:t xml:space="preserve">The Supplier shall obtain all appropriate approvals prior to publishing any content in relation to a Contract with that Party using any media, including on any electronic medium, and the Supplier will ensure that such content is regularly maintained and updated. In the event that the Supplier fails to maintain or update the content, </w:t>
      </w:r>
      <w:r>
        <w:t>GCA</w:t>
      </w:r>
      <w:r>
        <w:rPr>
          <w:color w:val="000000"/>
        </w:rPr>
        <w:t xml:space="preserve"> or the relevant Buyer may give the Supplier notice to rectify the failure and if the failure is not rectified to its reasonable satisfaction within one (1) Month of receipt of such notice, shall have the right to remove such content itself or require that the Supplier immediately arranges the removal of such content.</w:t>
      </w:r>
    </w:p>
    <w:p w14:paraId="60100C9D" w14:textId="77777777" w:rsidR="001A1D1F" w:rsidRDefault="00000000">
      <w:pPr>
        <w:keepNext/>
        <w:numPr>
          <w:ilvl w:val="0"/>
          <w:numId w:val="1"/>
        </w:numPr>
        <w:pBdr>
          <w:top w:val="nil"/>
          <w:left w:val="nil"/>
          <w:bottom w:val="nil"/>
          <w:right w:val="nil"/>
          <w:between w:val="nil"/>
        </w:pBdr>
        <w:spacing w:before="120" w:after="120"/>
        <w:ind w:left="426" w:hanging="426"/>
      </w:pPr>
      <w:r>
        <w:rPr>
          <w:b/>
          <w:bCs/>
          <w:color w:val="000000"/>
        </w:rPr>
        <w:t xml:space="preserve">Providing Information to </w:t>
      </w:r>
      <w:r>
        <w:rPr>
          <w:b/>
          <w:bCs/>
        </w:rPr>
        <w:t>GCA</w:t>
      </w:r>
      <w:r>
        <w:rPr>
          <w:b/>
          <w:bCs/>
          <w:color w:val="000000"/>
        </w:rPr>
        <w:t xml:space="preserve"> </w:t>
      </w:r>
    </w:p>
    <w:p w14:paraId="62C0BFDF" w14:textId="77777777" w:rsidR="001A1D1F" w:rsidRDefault="00000000">
      <w:pPr>
        <w:keepNext/>
        <w:numPr>
          <w:ilvl w:val="1"/>
          <w:numId w:val="1"/>
        </w:numPr>
        <w:pBdr>
          <w:top w:val="nil"/>
          <w:left w:val="nil"/>
          <w:bottom w:val="nil"/>
          <w:right w:val="nil"/>
          <w:between w:val="nil"/>
        </w:pBdr>
        <w:spacing w:before="120" w:after="120"/>
        <w:ind w:left="1134" w:hanging="708"/>
      </w:pPr>
      <w:r>
        <w:rPr>
          <w:color w:val="000000"/>
        </w:rPr>
        <w:t xml:space="preserve">The Supplier shall provide </w:t>
      </w:r>
      <w:r>
        <w:t>GCA</w:t>
      </w:r>
      <w:r>
        <w:rPr>
          <w:color w:val="000000"/>
        </w:rPr>
        <w:t xml:space="preserve"> with any documentation it requests in relation to certain processes which are operated under Call-Off Contracts. Such documentation shall be provided in relation to the operation of the following Schedules in each Call-Off Contract:</w:t>
      </w:r>
    </w:p>
    <w:p w14:paraId="178DA9E0" w14:textId="77777777" w:rsidR="001A1D1F" w:rsidRDefault="00000000">
      <w:pPr>
        <w:numPr>
          <w:ilvl w:val="2"/>
          <w:numId w:val="1"/>
        </w:numPr>
        <w:pBdr>
          <w:top w:val="nil"/>
          <w:left w:val="nil"/>
          <w:bottom w:val="nil"/>
          <w:right w:val="nil"/>
          <w:between w:val="nil"/>
        </w:pBdr>
        <w:spacing w:before="120" w:after="120"/>
        <w:ind w:left="1985" w:hanging="851"/>
        <w:jc w:val="both"/>
      </w:pPr>
      <w:r>
        <w:rPr>
          <w:color w:val="000000"/>
        </w:rPr>
        <w:t xml:space="preserve">Call-Off Schedule 3 </w:t>
      </w:r>
      <w:r>
        <w:rPr>
          <w:i/>
          <w:iCs/>
          <w:color w:val="000000"/>
        </w:rPr>
        <w:t>(Continuous Improvement)</w:t>
      </w:r>
      <w:r>
        <w:rPr>
          <w:color w:val="000000"/>
        </w:rPr>
        <w:t xml:space="preserve"> - the Supplier shall</w:t>
      </w:r>
      <w:r>
        <w:t xml:space="preserve">, if requested, provide GCA with </w:t>
      </w:r>
      <w:r>
        <w:rPr>
          <w:color w:val="000000"/>
        </w:rPr>
        <w:t xml:space="preserve">a copy of the continuous improvement plan referred to in paragraph 2.3 of Call-Off Schedule 3 </w:t>
      </w:r>
      <w:r>
        <w:rPr>
          <w:i/>
          <w:iCs/>
          <w:color w:val="000000"/>
        </w:rPr>
        <w:t>(Continuous Improvement)</w:t>
      </w:r>
      <w:r>
        <w:rPr>
          <w:color w:val="000000"/>
        </w:rPr>
        <w:t xml:space="preserve"> and report to </w:t>
      </w:r>
      <w:r>
        <w:t>GCA</w:t>
      </w:r>
      <w:r>
        <w:rPr>
          <w:color w:val="000000"/>
        </w:rPr>
        <w:t xml:space="preserve"> upon any successful implementation of the continuous improvement plan.</w:t>
      </w:r>
    </w:p>
    <w:p w14:paraId="30BAC460" w14:textId="77777777" w:rsidR="001A1D1F" w:rsidRDefault="00000000">
      <w:pPr>
        <w:numPr>
          <w:ilvl w:val="2"/>
          <w:numId w:val="1"/>
        </w:numPr>
        <w:pBdr>
          <w:top w:val="nil"/>
          <w:left w:val="nil"/>
          <w:bottom w:val="nil"/>
          <w:right w:val="nil"/>
          <w:between w:val="nil"/>
        </w:pBdr>
        <w:spacing w:before="120" w:after="120"/>
        <w:ind w:left="1134" w:firstLine="0"/>
      </w:pPr>
      <w:r>
        <w:rPr>
          <w:color w:val="000000"/>
        </w:rPr>
        <w:lastRenderedPageBreak/>
        <w:t xml:space="preserve">Call-Off Schedule 8 </w:t>
      </w:r>
      <w:r>
        <w:rPr>
          <w:i/>
          <w:iCs/>
          <w:color w:val="000000"/>
        </w:rPr>
        <w:t>(Business Continuity and Disaster Recovery)</w:t>
      </w:r>
      <w:r>
        <w:rPr>
          <w:color w:val="000000"/>
        </w:rPr>
        <w:t xml:space="preserve"> - the Supplier shall</w:t>
      </w:r>
      <w:r>
        <w:t xml:space="preserve"> notify GCA in the event of the invocation or potential invocation of any BCDR plan and the Supplier shall provide such support and information as GCA may reasonably require.</w:t>
      </w:r>
    </w:p>
    <w:p w14:paraId="080C7417" w14:textId="77777777" w:rsidR="001A1D1F" w:rsidRDefault="00000000">
      <w:pPr>
        <w:numPr>
          <w:ilvl w:val="2"/>
          <w:numId w:val="1"/>
        </w:numPr>
        <w:pBdr>
          <w:top w:val="nil"/>
          <w:left w:val="nil"/>
          <w:bottom w:val="nil"/>
          <w:right w:val="nil"/>
          <w:between w:val="nil"/>
        </w:pBdr>
        <w:spacing w:before="120" w:after="120"/>
        <w:ind w:left="1985" w:hanging="851"/>
      </w:pPr>
      <w:r>
        <w:rPr>
          <w:color w:val="000000"/>
        </w:rPr>
        <w:t>the applicable Security Schedule – the Supplier shall</w:t>
      </w:r>
      <w:r>
        <w:t xml:space="preserve"> notify GCA in the event of breach of any Security Management Plan and the Supplier shall provide such support as GCA may reasonably require.</w:t>
      </w:r>
    </w:p>
    <w:p w14:paraId="60CE4855" w14:textId="77777777" w:rsidR="001A1D1F" w:rsidRDefault="00000000">
      <w:pPr>
        <w:numPr>
          <w:ilvl w:val="2"/>
          <w:numId w:val="1"/>
        </w:numPr>
        <w:pBdr>
          <w:top w:val="nil"/>
          <w:left w:val="nil"/>
          <w:bottom w:val="nil"/>
          <w:right w:val="nil"/>
          <w:between w:val="nil"/>
        </w:pBdr>
        <w:spacing w:before="120" w:after="120"/>
        <w:ind w:left="1985" w:hanging="851"/>
      </w:pPr>
      <w:r>
        <w:rPr>
          <w:color w:val="000000"/>
        </w:rPr>
        <w:t xml:space="preserve">Call-Off Schedule 16 </w:t>
      </w:r>
      <w:r>
        <w:rPr>
          <w:i/>
          <w:iCs/>
          <w:color w:val="000000"/>
        </w:rPr>
        <w:t>(Benchmarking) –</w:t>
      </w:r>
      <w:r>
        <w:rPr>
          <w:color w:val="000000"/>
        </w:rPr>
        <w:t xml:space="preserve"> the Supplier:</w:t>
      </w:r>
    </w:p>
    <w:p w14:paraId="64B9C4A3" w14:textId="77777777" w:rsidR="001A1D1F" w:rsidRDefault="00000000">
      <w:pPr>
        <w:numPr>
          <w:ilvl w:val="3"/>
          <w:numId w:val="1"/>
        </w:numPr>
        <w:pBdr>
          <w:top w:val="nil"/>
          <w:left w:val="nil"/>
          <w:bottom w:val="nil"/>
          <w:right w:val="nil"/>
          <w:between w:val="nil"/>
        </w:pBdr>
        <w:spacing w:after="120"/>
        <w:jc w:val="both"/>
      </w:pPr>
      <w:r>
        <w:rPr>
          <w:color w:val="000000"/>
        </w:rPr>
        <w:t xml:space="preserve">shall notify </w:t>
      </w:r>
      <w:r>
        <w:t>GCA</w:t>
      </w:r>
      <w:r>
        <w:rPr>
          <w:color w:val="000000"/>
        </w:rPr>
        <w:t xml:space="preserve"> in the event that any bench marker is appointed in respect of any Call Off Contract and shall provide the results of any benchmarking event to </w:t>
      </w:r>
      <w:r>
        <w:t>GCA</w:t>
      </w:r>
      <w:r>
        <w:rPr>
          <w:color w:val="000000"/>
        </w:rPr>
        <w:t xml:space="preserve"> as soon as reasonably practicable; and</w:t>
      </w:r>
    </w:p>
    <w:p w14:paraId="45B9804C" w14:textId="77777777" w:rsidR="001A1D1F" w:rsidRDefault="00000000">
      <w:pPr>
        <w:numPr>
          <w:ilvl w:val="3"/>
          <w:numId w:val="1"/>
        </w:numPr>
        <w:pBdr>
          <w:top w:val="nil"/>
          <w:left w:val="nil"/>
          <w:bottom w:val="nil"/>
          <w:right w:val="nil"/>
          <w:between w:val="nil"/>
        </w:pBdr>
        <w:spacing w:after="120"/>
        <w:jc w:val="both"/>
      </w:pPr>
      <w:r>
        <w:rPr>
          <w:color w:val="000000"/>
        </w:rPr>
        <w:t xml:space="preserve">agrees that notwithstanding the remainder of Clause 18 </w:t>
      </w:r>
      <w:r>
        <w:rPr>
          <w:i/>
          <w:iCs/>
          <w:color w:val="000000"/>
        </w:rPr>
        <w:t>(What you must keep confidential)</w:t>
      </w:r>
      <w:r>
        <w:rPr>
          <w:color w:val="000000"/>
        </w:rPr>
        <w:t xml:space="preserve"> of the General Terms, </w:t>
      </w:r>
      <w:r>
        <w:t>GCA</w:t>
      </w:r>
      <w:r>
        <w:rPr>
          <w:color w:val="000000"/>
        </w:rPr>
        <w:t xml:space="preserve"> shall be entitled to publish the results of any benchmarking of the Framework Prices to Other Contracting Authorities (subject to the other party entering into reasonable confidentiality undertakings).</w:t>
      </w:r>
    </w:p>
    <w:p w14:paraId="787BD0B4" w14:textId="77777777" w:rsidR="001A1D1F" w:rsidRDefault="00000000">
      <w:pPr>
        <w:numPr>
          <w:ilvl w:val="1"/>
          <w:numId w:val="1"/>
        </w:numPr>
        <w:pBdr>
          <w:top w:val="nil"/>
          <w:left w:val="nil"/>
          <w:bottom w:val="nil"/>
          <w:right w:val="nil"/>
          <w:between w:val="nil"/>
        </w:pBdr>
        <w:spacing w:after="120"/>
        <w:jc w:val="both"/>
      </w:pPr>
      <w:r>
        <w:t xml:space="preserve">Where requested, </w:t>
      </w:r>
      <w:r>
        <w:rPr>
          <w:color w:val="000000"/>
        </w:rPr>
        <w:t xml:space="preserve">all relevant </w:t>
      </w:r>
      <w:r>
        <w:t>i</w:t>
      </w:r>
      <w:r>
        <w:rPr>
          <w:color w:val="000000"/>
        </w:rPr>
        <w:t xml:space="preserve">nformation and documentation held by the Supplier is to be provided by the Supplier to </w:t>
      </w:r>
      <w:r>
        <w:t>GCA</w:t>
      </w:r>
      <w:r>
        <w:rPr>
          <w:color w:val="000000"/>
        </w:rPr>
        <w:t xml:space="preserve"> upon the invocation of any of the processes pursuant to the above Schedules.</w:t>
      </w:r>
    </w:p>
    <w:p w14:paraId="41027536" w14:textId="77777777" w:rsidR="001A1D1F" w:rsidRDefault="00000000">
      <w:pPr>
        <w:keepNext/>
        <w:pBdr>
          <w:top w:val="nil"/>
          <w:left w:val="nil"/>
          <w:bottom w:val="nil"/>
          <w:right w:val="nil"/>
          <w:between w:val="nil"/>
        </w:pBdr>
        <w:spacing w:before="120" w:after="120"/>
        <w:ind w:left="426" w:hanging="642"/>
        <w:rPr>
          <w:b/>
          <w:bCs/>
          <w:color w:val="000000"/>
        </w:rPr>
      </w:pPr>
      <w:r>
        <w:rPr>
          <w:b/>
          <w:bCs/>
          <w:color w:val="000000"/>
        </w:rPr>
        <w:tab/>
        <w:t xml:space="preserve">How the Supplier must support </w:t>
      </w:r>
      <w:r>
        <w:rPr>
          <w:b/>
          <w:bCs/>
        </w:rPr>
        <w:t>GCA</w:t>
      </w:r>
      <w:r>
        <w:rPr>
          <w:b/>
          <w:bCs/>
          <w:color w:val="000000"/>
        </w:rPr>
        <w:t xml:space="preserve"> involvement </w:t>
      </w:r>
    </w:p>
    <w:p w14:paraId="16578125" w14:textId="77777777" w:rsidR="001A1D1F" w:rsidRDefault="00000000">
      <w:pPr>
        <w:keepNext/>
        <w:numPr>
          <w:ilvl w:val="1"/>
          <w:numId w:val="1"/>
        </w:numPr>
        <w:pBdr>
          <w:top w:val="nil"/>
          <w:left w:val="nil"/>
          <w:bottom w:val="nil"/>
          <w:right w:val="nil"/>
          <w:between w:val="nil"/>
        </w:pBdr>
        <w:spacing w:before="120" w:after="120"/>
        <w:ind w:left="1134" w:hanging="708"/>
      </w:pPr>
      <w:r>
        <w:rPr>
          <w:color w:val="000000"/>
        </w:rPr>
        <w:t xml:space="preserve">The Supplier shall co-operate as reasonably required by </w:t>
      </w:r>
      <w:r>
        <w:t>GCA</w:t>
      </w:r>
      <w:r>
        <w:rPr>
          <w:color w:val="000000"/>
        </w:rPr>
        <w:t xml:space="preserve"> in relation to the Contract </w:t>
      </w:r>
      <w:r>
        <w:t>s</w:t>
      </w:r>
      <w:r>
        <w:rPr>
          <w:color w:val="000000"/>
        </w:rPr>
        <w:t>chedules including:</w:t>
      </w:r>
    </w:p>
    <w:p w14:paraId="36022AD4" w14:textId="77777777" w:rsidR="001A1D1F" w:rsidRDefault="00000000">
      <w:pPr>
        <w:numPr>
          <w:ilvl w:val="2"/>
          <w:numId w:val="1"/>
        </w:numPr>
        <w:pBdr>
          <w:top w:val="nil"/>
          <w:left w:val="nil"/>
          <w:bottom w:val="nil"/>
          <w:right w:val="nil"/>
          <w:between w:val="nil"/>
        </w:pBdr>
        <w:spacing w:before="120" w:after="120"/>
        <w:ind w:left="1985" w:hanging="851"/>
      </w:pPr>
      <w:r>
        <w:rPr>
          <w:color w:val="000000"/>
        </w:rPr>
        <w:t>provision of information; and</w:t>
      </w:r>
    </w:p>
    <w:p w14:paraId="0C31DE50" w14:textId="77777777" w:rsidR="001A1D1F" w:rsidRDefault="00000000">
      <w:pPr>
        <w:numPr>
          <w:ilvl w:val="2"/>
          <w:numId w:val="1"/>
        </w:numPr>
        <w:pBdr>
          <w:top w:val="nil"/>
          <w:left w:val="nil"/>
          <w:bottom w:val="nil"/>
          <w:right w:val="nil"/>
          <w:between w:val="nil"/>
        </w:pBdr>
        <w:spacing w:before="120" w:after="120"/>
        <w:ind w:left="1985" w:hanging="851"/>
      </w:pPr>
      <w:r>
        <w:rPr>
          <w:color w:val="000000"/>
        </w:rPr>
        <w:t xml:space="preserve">such other matters as </w:t>
      </w:r>
      <w:r>
        <w:t>GCA</w:t>
      </w:r>
      <w:r>
        <w:rPr>
          <w:color w:val="000000"/>
        </w:rPr>
        <w:t xml:space="preserve"> may notify to the Supplier from time to time.</w:t>
      </w:r>
    </w:p>
    <w:p w14:paraId="702A47A0" w14:textId="77777777" w:rsidR="001A1D1F" w:rsidRDefault="00000000">
      <w:pPr>
        <w:numPr>
          <w:ilvl w:val="1"/>
          <w:numId w:val="1"/>
        </w:numPr>
        <w:pBdr>
          <w:top w:val="nil"/>
          <w:left w:val="nil"/>
          <w:bottom w:val="nil"/>
          <w:right w:val="nil"/>
          <w:between w:val="nil"/>
        </w:pBdr>
        <w:spacing w:after="120"/>
        <w:jc w:val="both"/>
      </w:pPr>
      <w:r>
        <w:rPr>
          <w:color w:val="000000"/>
        </w:rPr>
        <w:t xml:space="preserve">The Supplier shall provide to </w:t>
      </w:r>
      <w:r>
        <w:t>GCA</w:t>
      </w:r>
      <w:r>
        <w:rPr>
          <w:color w:val="000000"/>
        </w:rPr>
        <w:t xml:space="preserve"> within 30 days of the Call-Off Contract Award, the Pricing Matrix as per Annex 2 of Call Off Schedule 5 </w:t>
      </w:r>
      <w:r>
        <w:t>(</w:t>
      </w:r>
      <w:r>
        <w:rPr>
          <w:i/>
          <w:iCs/>
          <w:color w:val="000000"/>
        </w:rPr>
        <w:t>Pricing Details)</w:t>
      </w:r>
      <w:r>
        <w:rPr>
          <w:color w:val="000000"/>
        </w:rPr>
        <w:t xml:space="preserve">, applicable to that Call-Off Contract. </w:t>
      </w:r>
      <w:r>
        <w:t>GCA</w:t>
      </w:r>
      <w:r>
        <w:rPr>
          <w:color w:val="000000"/>
        </w:rPr>
        <w:t xml:space="preserve"> may also request at any time that the Supplier provide their current Charges across any and all Call-Off Contracts and this shall be provided by the Supplier to </w:t>
      </w:r>
      <w:r>
        <w:t>GCA</w:t>
      </w:r>
      <w:r>
        <w:rPr>
          <w:color w:val="000000"/>
        </w:rPr>
        <w:t xml:space="preserve"> within 30 days of a request.</w:t>
      </w:r>
    </w:p>
    <w:p w14:paraId="210AB78B" w14:textId="77777777" w:rsidR="001A1D1F" w:rsidRDefault="00000000">
      <w:pPr>
        <w:numPr>
          <w:ilvl w:val="1"/>
          <w:numId w:val="1"/>
        </w:numPr>
        <w:pBdr>
          <w:top w:val="nil"/>
          <w:left w:val="nil"/>
          <w:bottom w:val="nil"/>
          <w:right w:val="nil"/>
          <w:between w:val="nil"/>
        </w:pBdr>
        <w:spacing w:after="120"/>
        <w:jc w:val="both"/>
      </w:pPr>
      <w:r>
        <w:t>GCA</w:t>
      </w:r>
      <w:r>
        <w:rPr>
          <w:color w:val="000000"/>
        </w:rPr>
        <w:t xml:space="preserve"> shall be entitled to use the information provided by the Supplier anonymously including to enter this into a database with other Suppliers’ anonymous information to enable </w:t>
      </w:r>
      <w:r>
        <w:t>GCA</w:t>
      </w:r>
      <w:r>
        <w:rPr>
          <w:color w:val="000000"/>
        </w:rPr>
        <w:t xml:space="preserve"> to support Buyer in their delivery </w:t>
      </w:r>
      <w:r>
        <w:rPr>
          <w:color w:val="000000"/>
        </w:rPr>
        <w:lastRenderedPageBreak/>
        <w:t>model assessment, cost modelling, benchmarking and market intelligence.</w:t>
      </w:r>
    </w:p>
    <w:p w14:paraId="3330110F" w14:textId="77777777" w:rsidR="001A1D1F" w:rsidRDefault="00000000">
      <w:pPr>
        <w:numPr>
          <w:ilvl w:val="0"/>
          <w:numId w:val="1"/>
        </w:numPr>
        <w:pBdr>
          <w:top w:val="nil"/>
          <w:left w:val="nil"/>
          <w:bottom w:val="nil"/>
          <w:right w:val="nil"/>
          <w:between w:val="nil"/>
        </w:pBdr>
        <w:tabs>
          <w:tab w:val="left" w:pos="175"/>
        </w:tabs>
        <w:spacing w:after="120" w:line="240" w:lineRule="auto"/>
        <w:jc w:val="both"/>
      </w:pPr>
      <w:r>
        <w:rPr>
          <w:b/>
          <w:bCs/>
          <w:color w:val="000000"/>
        </w:rPr>
        <w:t>Review Of Geographical Regions and Additional Services</w:t>
      </w:r>
    </w:p>
    <w:p w14:paraId="560B43D1" w14:textId="77777777" w:rsidR="001A1D1F" w:rsidRDefault="00000000">
      <w:pPr>
        <w:numPr>
          <w:ilvl w:val="1"/>
          <w:numId w:val="1"/>
        </w:numPr>
        <w:pBdr>
          <w:top w:val="nil"/>
          <w:left w:val="nil"/>
          <w:bottom w:val="nil"/>
          <w:right w:val="nil"/>
          <w:between w:val="nil"/>
        </w:pBdr>
        <w:tabs>
          <w:tab w:val="left" w:pos="175"/>
        </w:tabs>
        <w:spacing w:after="120" w:line="240" w:lineRule="auto"/>
        <w:jc w:val="both"/>
      </w:pPr>
      <w:r>
        <w:rPr>
          <w:color w:val="000000"/>
        </w:rPr>
        <w:t xml:space="preserve">During the Framework Contract Period Suppliers may request to add/remove Geographical Regions and/or additional services in respect of service delivery. </w:t>
      </w:r>
      <w:r>
        <w:rPr>
          <w:noProof/>
        </w:rPr>
        <mc:AlternateContent>
          <mc:Choice Requires="wpg">
            <w:drawing>
              <wp:anchor distT="0" distB="0" distL="114300" distR="114300" simplePos="0" relativeHeight="251658240" behindDoc="0" locked="0" layoutInCell="1" hidden="0" allowOverlap="1" wp14:anchorId="103ADD6C" wp14:editId="3D4D3501">
                <wp:simplePos x="0" y="0"/>
                <wp:positionH relativeFrom="column">
                  <wp:posOffset>9538</wp:posOffset>
                </wp:positionH>
                <wp:positionV relativeFrom="paragraph">
                  <wp:posOffset>-9524</wp:posOffset>
                </wp:positionV>
                <wp:extent cx="38100" cy="31750"/>
                <wp:effectExtent l="0" t="0" r="0" b="0"/>
                <wp:wrapNone/>
                <wp:docPr id="11" name="Straight Arrow Connector 11"/>
                <wp:cNvGraphicFramePr/>
                <a:graphic xmlns:a="http://schemas.openxmlformats.org/drawingml/2006/main">
                  <a:graphicData uri="http://schemas.microsoft.com/office/word/2010/wordprocessingShape">
                    <wps:wsp>
                      <wps:cNvCnPr/>
                      <wps:spPr>
                        <a:xfrm>
                          <a:off x="5346000" y="3674908"/>
                          <a:ext cx="0" cy="210185"/>
                        </a:xfrm>
                        <a:prstGeom prst="straightConnector1">
                          <a:avLst/>
                        </a:prstGeom>
                        <a:solidFill>
                          <a:srgbClr val="FFFFFF"/>
                        </a:solidFill>
                        <a:ln w="19050" cap="flat" cmpd="sng">
                          <a:solidFill>
                            <a:srgbClr val="80808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9538</wp:posOffset>
                </wp:positionH>
                <wp:positionV relativeFrom="paragraph">
                  <wp:posOffset>-9524</wp:posOffset>
                </wp:positionV>
                <wp:extent cx="38100" cy="31750"/>
                <wp:effectExtent b="0" l="0" r="0" t="0"/>
                <wp:wrapNone/>
                <wp:docPr id="11"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38100" cy="31750"/>
                        </a:xfrm>
                        <a:prstGeom prst="rect"/>
                        <a:ln/>
                      </pic:spPr>
                    </pic:pic>
                  </a:graphicData>
                </a:graphic>
              </wp:anchor>
            </w:drawing>
          </mc:Fallback>
        </mc:AlternateContent>
      </w:r>
    </w:p>
    <w:p w14:paraId="09357AD3" w14:textId="77777777" w:rsidR="001A1D1F" w:rsidRDefault="00000000">
      <w:pPr>
        <w:numPr>
          <w:ilvl w:val="1"/>
          <w:numId w:val="1"/>
        </w:numPr>
        <w:pBdr>
          <w:top w:val="nil"/>
          <w:left w:val="nil"/>
          <w:bottom w:val="nil"/>
          <w:right w:val="nil"/>
          <w:between w:val="nil"/>
        </w:pBdr>
        <w:tabs>
          <w:tab w:val="left" w:pos="175"/>
        </w:tabs>
        <w:spacing w:after="120" w:line="240" w:lineRule="auto"/>
        <w:jc w:val="both"/>
      </w:pPr>
      <w:r>
        <w:rPr>
          <w:color w:val="000000"/>
        </w:rPr>
        <w:t xml:space="preserve">The Supplier shall provide 30 days’ written notice to the </w:t>
      </w:r>
      <w:r>
        <w:t>GCA</w:t>
      </w:r>
      <w:r>
        <w:rPr>
          <w:color w:val="000000"/>
        </w:rPr>
        <w:t xml:space="preserve"> Authorised Representative of any such request and this will be actioned in accordance with the Variation Procedure.</w:t>
      </w:r>
      <w:r>
        <w:rPr>
          <w:noProof/>
        </w:rPr>
        <mc:AlternateContent>
          <mc:Choice Requires="wpg">
            <w:drawing>
              <wp:anchor distT="0" distB="0" distL="114300" distR="114300" simplePos="0" relativeHeight="251659264" behindDoc="0" locked="0" layoutInCell="1" hidden="0" allowOverlap="1" wp14:anchorId="55F7351E" wp14:editId="07BDB670">
                <wp:simplePos x="0" y="0"/>
                <wp:positionH relativeFrom="column">
                  <wp:posOffset>9538</wp:posOffset>
                </wp:positionH>
                <wp:positionV relativeFrom="paragraph">
                  <wp:posOffset>-9524</wp:posOffset>
                </wp:positionV>
                <wp:extent cx="38100" cy="31750"/>
                <wp:effectExtent l="0" t="0" r="0" b="0"/>
                <wp:wrapNone/>
                <wp:docPr id="10" name="Straight Arrow Connector 10"/>
                <wp:cNvGraphicFramePr/>
                <a:graphic xmlns:a="http://schemas.openxmlformats.org/drawingml/2006/main">
                  <a:graphicData uri="http://schemas.microsoft.com/office/word/2010/wordprocessingShape">
                    <wps:wsp>
                      <wps:cNvCnPr/>
                      <wps:spPr>
                        <a:xfrm>
                          <a:off x="5346000" y="3254220"/>
                          <a:ext cx="0" cy="1051560"/>
                        </a:xfrm>
                        <a:prstGeom prst="straightConnector1">
                          <a:avLst/>
                        </a:prstGeom>
                        <a:solidFill>
                          <a:srgbClr val="FFFFFF"/>
                        </a:solidFill>
                        <a:ln w="19050" cap="flat" cmpd="sng">
                          <a:solidFill>
                            <a:srgbClr val="80808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9538</wp:posOffset>
                </wp:positionH>
                <wp:positionV relativeFrom="paragraph">
                  <wp:posOffset>-9524</wp:posOffset>
                </wp:positionV>
                <wp:extent cx="38100" cy="31750"/>
                <wp:effectExtent b="0" l="0" r="0" t="0"/>
                <wp:wrapNone/>
                <wp:docPr id="10"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38100" cy="31750"/>
                        </a:xfrm>
                        <a:prstGeom prst="rect"/>
                        <a:ln/>
                      </pic:spPr>
                    </pic:pic>
                  </a:graphicData>
                </a:graphic>
              </wp:anchor>
            </w:drawing>
          </mc:Fallback>
        </mc:AlternateContent>
      </w:r>
    </w:p>
    <w:p w14:paraId="63B5B895" w14:textId="77777777" w:rsidR="001A1D1F" w:rsidRDefault="00000000">
      <w:pPr>
        <w:numPr>
          <w:ilvl w:val="1"/>
          <w:numId w:val="1"/>
        </w:numPr>
        <w:pBdr>
          <w:top w:val="nil"/>
          <w:left w:val="nil"/>
          <w:bottom w:val="nil"/>
          <w:right w:val="nil"/>
          <w:between w:val="nil"/>
        </w:pBdr>
        <w:tabs>
          <w:tab w:val="left" w:pos="175"/>
        </w:tabs>
        <w:spacing w:after="120" w:line="240" w:lineRule="auto"/>
        <w:jc w:val="both"/>
      </w:pPr>
      <w:r>
        <w:rPr>
          <w:color w:val="000000"/>
        </w:rPr>
        <w:t>Irrespective of any changes made outside of this Call Off Schedule, the international territorial level (ITLS) codes shall remain the same as those used to procure this Schedule for the purposes of the processes defined in Framework Schedule 7 – (</w:t>
      </w:r>
      <w:r>
        <w:rPr>
          <w:i/>
          <w:iCs/>
          <w:color w:val="000000"/>
        </w:rPr>
        <w:t>Call Off Award Procedure)</w:t>
      </w:r>
      <w:r>
        <w:rPr>
          <w:color w:val="000000"/>
        </w:rPr>
        <w:t xml:space="preserve"> and for the purposes stated above in 2.1 of this Schedule.</w:t>
      </w:r>
      <w:r>
        <w:rPr>
          <w:noProof/>
        </w:rPr>
        <mc:AlternateContent>
          <mc:Choice Requires="wpg">
            <w:drawing>
              <wp:anchor distT="0" distB="0" distL="114300" distR="114300" simplePos="0" relativeHeight="251660288" behindDoc="0" locked="0" layoutInCell="1" hidden="0" allowOverlap="1" wp14:anchorId="140CA7CE" wp14:editId="448E3764">
                <wp:simplePos x="0" y="0"/>
                <wp:positionH relativeFrom="column">
                  <wp:posOffset>9538</wp:posOffset>
                </wp:positionH>
                <wp:positionV relativeFrom="paragraph">
                  <wp:posOffset>-9524</wp:posOffset>
                </wp:positionV>
                <wp:extent cx="38100" cy="31750"/>
                <wp:effectExtent l="0" t="0" r="0" b="0"/>
                <wp:wrapNone/>
                <wp:docPr id="13" name="Straight Arrow Connector 13"/>
                <wp:cNvGraphicFramePr/>
                <a:graphic xmlns:a="http://schemas.openxmlformats.org/drawingml/2006/main">
                  <a:graphicData uri="http://schemas.microsoft.com/office/word/2010/wordprocessingShape">
                    <wps:wsp>
                      <wps:cNvCnPr/>
                      <wps:spPr>
                        <a:xfrm>
                          <a:off x="5346000" y="3254220"/>
                          <a:ext cx="0" cy="1051560"/>
                        </a:xfrm>
                        <a:prstGeom prst="straightConnector1">
                          <a:avLst/>
                        </a:prstGeom>
                        <a:solidFill>
                          <a:srgbClr val="FFFFFF"/>
                        </a:solidFill>
                        <a:ln w="19050" cap="flat" cmpd="sng">
                          <a:solidFill>
                            <a:srgbClr val="80808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9538</wp:posOffset>
                </wp:positionH>
                <wp:positionV relativeFrom="paragraph">
                  <wp:posOffset>-9524</wp:posOffset>
                </wp:positionV>
                <wp:extent cx="38100" cy="31750"/>
                <wp:effectExtent b="0" l="0" r="0" t="0"/>
                <wp:wrapNone/>
                <wp:docPr id="13"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38100" cy="31750"/>
                        </a:xfrm>
                        <a:prstGeom prst="rect"/>
                        <a:ln/>
                      </pic:spPr>
                    </pic:pic>
                  </a:graphicData>
                </a:graphic>
              </wp:anchor>
            </w:drawing>
          </mc:Fallback>
        </mc:AlternateContent>
      </w:r>
    </w:p>
    <w:p w14:paraId="4D77145B" w14:textId="77777777" w:rsidR="001A1D1F" w:rsidRDefault="00000000">
      <w:r>
        <w:br w:type="page"/>
      </w:r>
    </w:p>
    <w:p w14:paraId="6C54B3EF" w14:textId="77777777" w:rsidR="001A1D1F" w:rsidRDefault="00000000">
      <w:pPr>
        <w:pBdr>
          <w:top w:val="nil"/>
          <w:left w:val="nil"/>
          <w:bottom w:val="nil"/>
          <w:right w:val="nil"/>
          <w:between w:val="nil"/>
        </w:pBdr>
        <w:tabs>
          <w:tab w:val="left" w:pos="175"/>
        </w:tabs>
        <w:spacing w:after="120" w:line="240" w:lineRule="auto"/>
        <w:ind w:left="720" w:hanging="720"/>
        <w:jc w:val="center"/>
        <w:rPr>
          <w:color w:val="000000"/>
          <w:sz w:val="20"/>
          <w:szCs w:val="20"/>
        </w:rPr>
      </w:pPr>
      <w:r>
        <w:rPr>
          <w:b/>
          <w:bCs/>
          <w:color w:val="000000"/>
          <w:sz w:val="28"/>
          <w:szCs w:val="28"/>
        </w:rPr>
        <w:lastRenderedPageBreak/>
        <w:t xml:space="preserve">Annex 1 - </w:t>
      </w:r>
      <w:r>
        <w:rPr>
          <w:b/>
          <w:bCs/>
          <w:color w:val="1F1F1F"/>
          <w:sz w:val="28"/>
          <w:szCs w:val="28"/>
          <w:highlight w:val="white"/>
        </w:rPr>
        <w:t>Supply Chain Visibility Collection Template</w:t>
      </w:r>
      <w:r>
        <w:rPr>
          <w:noProof/>
        </w:rPr>
        <mc:AlternateContent>
          <mc:Choice Requires="wpg">
            <w:drawing>
              <wp:anchor distT="0" distB="0" distL="114300" distR="114300" simplePos="0" relativeHeight="251661312" behindDoc="0" locked="0" layoutInCell="1" hidden="0" allowOverlap="1" wp14:anchorId="1EEFE1F4" wp14:editId="73BC1352">
                <wp:simplePos x="0" y="0"/>
                <wp:positionH relativeFrom="column">
                  <wp:posOffset>9538</wp:posOffset>
                </wp:positionH>
                <wp:positionV relativeFrom="paragraph">
                  <wp:posOffset>-9524</wp:posOffset>
                </wp:positionV>
                <wp:extent cx="38100" cy="31750"/>
                <wp:effectExtent l="0" t="0" r="0" b="0"/>
                <wp:wrapNone/>
                <wp:docPr id="12" name="Straight Arrow Connector 12"/>
                <wp:cNvGraphicFramePr/>
                <a:graphic xmlns:a="http://schemas.openxmlformats.org/drawingml/2006/main">
                  <a:graphicData uri="http://schemas.microsoft.com/office/word/2010/wordprocessingShape">
                    <wps:wsp>
                      <wps:cNvCnPr/>
                      <wps:spPr>
                        <a:xfrm>
                          <a:off x="5346000" y="3254220"/>
                          <a:ext cx="0" cy="1051560"/>
                        </a:xfrm>
                        <a:prstGeom prst="straightConnector1">
                          <a:avLst/>
                        </a:prstGeom>
                        <a:solidFill>
                          <a:srgbClr val="FFFFFF"/>
                        </a:solidFill>
                        <a:ln w="19050" cap="flat" cmpd="sng">
                          <a:solidFill>
                            <a:srgbClr val="80808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9538</wp:posOffset>
                </wp:positionH>
                <wp:positionV relativeFrom="paragraph">
                  <wp:posOffset>-9524</wp:posOffset>
                </wp:positionV>
                <wp:extent cx="38100" cy="31750"/>
                <wp:effectExtent b="0" l="0" r="0" t="0"/>
                <wp:wrapNone/>
                <wp:docPr id="12"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38100" cy="31750"/>
                        </a:xfrm>
                        <a:prstGeom prst="rect"/>
                        <a:ln/>
                      </pic:spPr>
                    </pic:pic>
                  </a:graphicData>
                </a:graphic>
              </wp:anchor>
            </w:drawing>
          </mc:Fallback>
        </mc:AlternateContent>
      </w:r>
    </w:p>
    <w:p w14:paraId="0887BF9B" w14:textId="77777777" w:rsidR="001A1D1F" w:rsidRDefault="001A1D1F">
      <w:pPr>
        <w:keepNext/>
        <w:pBdr>
          <w:top w:val="nil"/>
          <w:left w:val="nil"/>
          <w:bottom w:val="nil"/>
          <w:right w:val="nil"/>
          <w:between w:val="nil"/>
        </w:pBdr>
        <w:spacing w:before="120" w:after="120"/>
      </w:pPr>
    </w:p>
    <w:bookmarkStart w:id="10" w:name="_heading=h.ofq9gx94zyr3" w:colFirst="0" w:colLast="0"/>
    <w:bookmarkEnd w:id="10"/>
    <w:p w14:paraId="7E008B52" w14:textId="5D7C00F8" w:rsidR="001A1D1F" w:rsidRDefault="00F266B0">
      <w:pPr>
        <w:keepNext/>
        <w:spacing w:before="120" w:after="120"/>
        <w:ind w:left="1134" w:hanging="709"/>
      </w:pPr>
      <w:r>
        <w:object w:dxaOrig="1504" w:dyaOrig="982" w14:anchorId="796B36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10" o:title=""/>
          </v:shape>
          <o:OLEObject Type="Embed" ProgID="Excel.Sheet.12" ShapeID="_x0000_i1025" DrawAspect="Icon" ObjectID="_1853481879" r:id="rId11"/>
        </w:object>
      </w:r>
    </w:p>
    <w:p w14:paraId="75EDBB5A" w14:textId="77777777" w:rsidR="001A1D1F" w:rsidRDefault="001A1D1F">
      <w:pPr>
        <w:keepNext/>
        <w:pBdr>
          <w:top w:val="nil"/>
          <w:left w:val="nil"/>
          <w:bottom w:val="nil"/>
          <w:right w:val="nil"/>
          <w:between w:val="nil"/>
        </w:pBdr>
        <w:spacing w:before="120" w:after="120"/>
        <w:ind w:left="1134" w:hanging="709"/>
        <w:rPr>
          <w:b/>
          <w:bCs/>
          <w:color w:val="1F1F1F"/>
          <w:sz w:val="32"/>
          <w:szCs w:val="32"/>
          <w:highlight w:val="white"/>
        </w:rPr>
      </w:pPr>
    </w:p>
    <w:p w14:paraId="3C39618F" w14:textId="77777777" w:rsidR="001A1D1F" w:rsidRDefault="001A1D1F">
      <w:pPr>
        <w:keepNext/>
        <w:pBdr>
          <w:top w:val="nil"/>
          <w:left w:val="nil"/>
          <w:bottom w:val="nil"/>
          <w:right w:val="nil"/>
          <w:between w:val="nil"/>
        </w:pBdr>
        <w:spacing w:before="120" w:after="120"/>
        <w:ind w:left="1134" w:hanging="709"/>
        <w:rPr>
          <w:b/>
          <w:bCs/>
          <w:color w:val="1F1F1F"/>
          <w:sz w:val="32"/>
          <w:szCs w:val="32"/>
          <w:highlight w:val="white"/>
        </w:rPr>
      </w:pPr>
    </w:p>
    <w:p w14:paraId="00607A27" w14:textId="77777777" w:rsidR="001A1D1F" w:rsidRDefault="001A1D1F">
      <w:pPr>
        <w:keepNext/>
        <w:pBdr>
          <w:top w:val="nil"/>
          <w:left w:val="nil"/>
          <w:bottom w:val="nil"/>
          <w:right w:val="nil"/>
          <w:between w:val="nil"/>
        </w:pBdr>
        <w:spacing w:before="120" w:after="120"/>
        <w:ind w:left="1134" w:hanging="709"/>
        <w:rPr>
          <w:b/>
          <w:bCs/>
          <w:color w:val="1F1F1F"/>
          <w:sz w:val="32"/>
          <w:szCs w:val="32"/>
          <w:highlight w:val="white"/>
        </w:rPr>
      </w:pPr>
    </w:p>
    <w:sectPr w:rsidR="001A1D1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33761" w14:textId="77777777" w:rsidR="00066BC6" w:rsidRDefault="00066BC6">
      <w:pPr>
        <w:spacing w:after="0" w:line="240" w:lineRule="auto"/>
      </w:pPr>
      <w:r>
        <w:separator/>
      </w:r>
    </w:p>
  </w:endnote>
  <w:endnote w:type="continuationSeparator" w:id="0">
    <w:p w14:paraId="1FEDA3F2" w14:textId="77777777" w:rsidR="00066BC6" w:rsidRDefault="00066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A00855FA-7F7E-4988-976E-D9C97A718318}"/>
    <w:embedBold r:id="rId2" w:fontKey="{B6E30E3A-1F9B-402F-A00D-1B1B685F6990}"/>
  </w:font>
  <w:font w:name="Georgia">
    <w:panose1 w:val="02040502050405020303"/>
    <w:charset w:val="00"/>
    <w:family w:val="roman"/>
    <w:pitch w:val="variable"/>
    <w:sig w:usb0="00000287" w:usb1="00000000" w:usb2="00000000" w:usb3="00000000" w:csb0="0000009F" w:csb1="00000000"/>
    <w:embedItalic r:id="rId3" w:fontKey="{2B46B98B-2F1F-418C-B1BB-D69D6C62FE38}"/>
  </w:font>
  <w:font w:name="Calibri">
    <w:panose1 w:val="020F0502020204030204"/>
    <w:charset w:val="00"/>
    <w:family w:val="swiss"/>
    <w:pitch w:val="variable"/>
    <w:sig w:usb0="E4002EFF" w:usb1="C200247B" w:usb2="00000009" w:usb3="00000000" w:csb0="000001FF" w:csb1="00000000"/>
    <w:embedRegular r:id="rId4" w:fontKey="{0EC72394-F4D1-4A58-A003-8755F7A7E1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7C575" w14:textId="77777777" w:rsidR="001A1D1F" w:rsidRDefault="001A1D1F">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DE548" w14:textId="77777777" w:rsidR="001A1D1F" w:rsidRDefault="00000000">
    <w:pPr>
      <w:tabs>
        <w:tab w:val="left" w:pos="6210"/>
        <w:tab w:val="left" w:pos="6800"/>
      </w:tabs>
      <w:spacing w:after="0"/>
      <w:rPr>
        <w:sz w:val="20"/>
        <w:szCs w:val="20"/>
      </w:rPr>
    </w:pPr>
    <w:r>
      <w:rPr>
        <w:sz w:val="20"/>
        <w:szCs w:val="20"/>
      </w:rPr>
      <w:tab/>
    </w:r>
    <w:r>
      <w:rPr>
        <w:sz w:val="20"/>
        <w:szCs w:val="20"/>
      </w:rPr>
      <w:tab/>
    </w:r>
  </w:p>
  <w:p w14:paraId="1D31CAF5" w14:textId="77777777" w:rsidR="001A1D1F" w:rsidRDefault="00000000">
    <w:pPr>
      <w:tabs>
        <w:tab w:val="center" w:pos="4513"/>
        <w:tab w:val="right" w:pos="9026"/>
      </w:tabs>
      <w:spacing w:after="0"/>
      <w:rPr>
        <w:sz w:val="20"/>
        <w:szCs w:val="20"/>
      </w:rPr>
    </w:pPr>
    <w:r>
      <w:rPr>
        <w:sz w:val="20"/>
        <w:szCs w:val="20"/>
      </w:rPr>
      <w:t>Framework Ref: RM6378</w:t>
    </w:r>
    <w:r>
      <w:rPr>
        <w:sz w:val="20"/>
        <w:szCs w:val="20"/>
      </w:rPr>
      <w:tab/>
      <w:t xml:space="preserve">                      </w:t>
    </w:r>
    <w:r>
      <w:rPr>
        <w:noProof/>
      </w:rPr>
      <mc:AlternateContent>
        <mc:Choice Requires="wpg">
          <w:drawing>
            <wp:anchor distT="0" distB="0" distL="114300" distR="114300" simplePos="0" relativeHeight="251658240" behindDoc="0" locked="0" layoutInCell="1" hidden="0" allowOverlap="1" wp14:anchorId="6E187539" wp14:editId="3B55F163">
              <wp:simplePos x="0" y="0"/>
              <wp:positionH relativeFrom="column">
                <wp:posOffset>9538</wp:posOffset>
              </wp:positionH>
              <wp:positionV relativeFrom="paragraph">
                <wp:posOffset>-9524</wp:posOffset>
              </wp:positionV>
              <wp:extent cx="38100" cy="31750"/>
              <wp:effectExtent l="0" t="0" r="0" b="0"/>
              <wp:wrapNone/>
              <wp:docPr id="9" name="Straight Arrow Connector 9"/>
              <wp:cNvGraphicFramePr/>
              <a:graphic xmlns:a="http://schemas.openxmlformats.org/drawingml/2006/main">
                <a:graphicData uri="http://schemas.microsoft.com/office/word/2010/wordprocessingShape">
                  <wps:wsp>
                    <wps:cNvCnPr/>
                    <wps:spPr>
                      <a:xfrm>
                        <a:off x="5346000" y="3688560"/>
                        <a:ext cx="0" cy="182880"/>
                      </a:xfrm>
                      <a:prstGeom prst="straightConnector1">
                        <a:avLst/>
                      </a:prstGeom>
                      <a:solidFill>
                        <a:srgbClr val="FFFFFF"/>
                      </a:solidFill>
                      <a:ln w="19050" cap="flat" cmpd="sng">
                        <a:solidFill>
                          <a:srgbClr val="80808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9538</wp:posOffset>
              </wp:positionH>
              <wp:positionV relativeFrom="paragraph">
                <wp:posOffset>-9524</wp:posOffset>
              </wp:positionV>
              <wp:extent cx="38100" cy="31750"/>
              <wp:effectExtent b="0" l="0" r="0" t="0"/>
              <wp:wrapNone/>
              <wp:docPr id="9"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38100" cy="3175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6B1A4019" wp14:editId="6919F6D1">
              <wp:simplePos x="0" y="0"/>
              <wp:positionH relativeFrom="column">
                <wp:posOffset>9538</wp:posOffset>
              </wp:positionH>
              <wp:positionV relativeFrom="paragraph">
                <wp:posOffset>-9524</wp:posOffset>
              </wp:positionV>
              <wp:extent cx="38100" cy="31750"/>
              <wp:effectExtent l="0" t="0" r="0" b="0"/>
              <wp:wrapNone/>
              <wp:docPr id="8" name="Straight Arrow Connector 8"/>
              <wp:cNvGraphicFramePr/>
              <a:graphic xmlns:a="http://schemas.openxmlformats.org/drawingml/2006/main">
                <a:graphicData uri="http://schemas.microsoft.com/office/word/2010/wordprocessingShape">
                  <wps:wsp>
                    <wps:cNvCnPr/>
                    <wps:spPr>
                      <a:xfrm>
                        <a:off x="5346000" y="3688560"/>
                        <a:ext cx="0" cy="182880"/>
                      </a:xfrm>
                      <a:prstGeom prst="straightConnector1">
                        <a:avLst/>
                      </a:prstGeom>
                      <a:solidFill>
                        <a:srgbClr val="FFFFFF"/>
                      </a:solidFill>
                      <a:ln w="19050" cap="flat" cmpd="sng">
                        <a:solidFill>
                          <a:srgbClr val="80808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9538</wp:posOffset>
              </wp:positionH>
              <wp:positionV relativeFrom="paragraph">
                <wp:posOffset>-9524</wp:posOffset>
              </wp:positionV>
              <wp:extent cx="38100" cy="31750"/>
              <wp:effectExtent b="0" l="0" r="0" t="0"/>
              <wp:wrapNone/>
              <wp:docPr id="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38100" cy="31750"/>
                      </a:xfrm>
                      <a:prstGeom prst="rect"/>
                      <a:ln/>
                    </pic:spPr>
                  </pic:pic>
                </a:graphicData>
              </a:graphic>
            </wp:anchor>
          </w:drawing>
        </mc:Fallback>
      </mc:AlternateContent>
    </w:r>
  </w:p>
  <w:p w14:paraId="1A43DDA4" w14:textId="77777777" w:rsidR="001A1D1F" w:rsidRDefault="00000000">
    <w:pPr>
      <w:tabs>
        <w:tab w:val="center" w:pos="4513"/>
        <w:tab w:val="right" w:pos="9026"/>
      </w:tabs>
      <w:spacing w:after="0"/>
      <w:rPr>
        <w:color w:val="000000"/>
        <w:sz w:val="20"/>
        <w:szCs w:val="20"/>
      </w:rPr>
    </w:pPr>
    <w:r>
      <w:rPr>
        <w:color w:val="000000"/>
        <w:sz w:val="20"/>
        <w:szCs w:val="20"/>
      </w:rPr>
      <w:t>Project Version: v</w:t>
    </w:r>
    <w:r>
      <w:rPr>
        <w:sz w:val="20"/>
        <w:szCs w:val="20"/>
      </w:rPr>
      <w:t>1</w:t>
    </w:r>
    <w:r>
      <w:rPr>
        <w:color w:val="000000"/>
        <w:sz w:val="20"/>
        <w:szCs w:val="20"/>
      </w:rPr>
      <w:t>.0</w:t>
    </w:r>
    <w:r>
      <w:rPr>
        <w:color w:val="000000"/>
        <w:sz w:val="20"/>
        <w:szCs w:val="20"/>
      </w:rPr>
      <w:tab/>
    </w:r>
    <w:r>
      <w:rPr>
        <w:color w:val="000000"/>
        <w:sz w:val="20"/>
        <w:szCs w:val="20"/>
      </w:rPr>
      <w:tab/>
      <w:t xml:space="preserve"> </w:t>
    </w:r>
    <w:r>
      <w:rPr>
        <w:sz w:val="20"/>
        <w:szCs w:val="20"/>
      </w:rPr>
      <w:fldChar w:fldCharType="begin"/>
    </w:r>
    <w:r>
      <w:rPr>
        <w:sz w:val="20"/>
        <w:szCs w:val="20"/>
      </w:rPr>
      <w:instrText>PAGE</w:instrText>
    </w:r>
    <w:r>
      <w:rPr>
        <w:sz w:val="20"/>
        <w:szCs w:val="20"/>
      </w:rPr>
      <w:fldChar w:fldCharType="separate"/>
    </w:r>
    <w:r w:rsidR="00F266B0">
      <w:rPr>
        <w:noProof/>
        <w:sz w:val="20"/>
        <w:szCs w:val="20"/>
      </w:rPr>
      <w:t>1</w:t>
    </w:r>
    <w:r>
      <w:rPr>
        <w:sz w:val="20"/>
        <w:szCs w:val="20"/>
      </w:rPr>
      <w:fldChar w:fldCharType="end"/>
    </w:r>
  </w:p>
  <w:p w14:paraId="389A9EBE" w14:textId="77777777" w:rsidR="001A1D1F" w:rsidRDefault="00000000">
    <w:pPr>
      <w:pBdr>
        <w:top w:val="nil"/>
        <w:left w:val="nil"/>
        <w:bottom w:val="nil"/>
        <w:right w:val="nil"/>
        <w:between w:val="nil"/>
      </w:pBdr>
      <w:tabs>
        <w:tab w:val="center" w:pos="4513"/>
        <w:tab w:val="right" w:pos="9026"/>
      </w:tabs>
      <w:spacing w:after="0"/>
      <w:rPr>
        <w:color w:val="000000"/>
      </w:rPr>
    </w:pPr>
    <w:r>
      <w:rPr>
        <w:color w:val="000000"/>
        <w:sz w:val="20"/>
        <w:szCs w:val="20"/>
      </w:rPr>
      <w:t>Model Version: v1.0 PA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E7073" w14:textId="77777777" w:rsidR="001A1D1F" w:rsidRDefault="001A1D1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108F5" w14:textId="77777777" w:rsidR="00066BC6" w:rsidRDefault="00066BC6">
      <w:pPr>
        <w:spacing w:after="0" w:line="240" w:lineRule="auto"/>
      </w:pPr>
      <w:r>
        <w:separator/>
      </w:r>
    </w:p>
  </w:footnote>
  <w:footnote w:type="continuationSeparator" w:id="0">
    <w:p w14:paraId="1E49DCD6" w14:textId="77777777" w:rsidR="00066BC6" w:rsidRDefault="00066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B1618" w14:textId="77777777" w:rsidR="001A1D1F" w:rsidRDefault="001A1D1F">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B966B" w14:textId="77777777" w:rsidR="001A1D1F" w:rsidRDefault="00000000">
    <w:pPr>
      <w:pBdr>
        <w:top w:val="nil"/>
        <w:left w:val="nil"/>
        <w:bottom w:val="nil"/>
        <w:right w:val="nil"/>
        <w:between w:val="nil"/>
      </w:pBdr>
      <w:tabs>
        <w:tab w:val="center" w:pos="4513"/>
        <w:tab w:val="right" w:pos="9026"/>
      </w:tabs>
      <w:spacing w:after="0"/>
      <w:rPr>
        <w:color w:val="000000"/>
        <w:sz w:val="22"/>
        <w:szCs w:val="22"/>
      </w:rPr>
    </w:pPr>
    <w:r>
      <w:rPr>
        <w:b/>
        <w:bCs/>
        <w:color w:val="000000"/>
        <w:sz w:val="22"/>
        <w:szCs w:val="22"/>
      </w:rPr>
      <w:t>Framework Schedule 4 (Framework Management)</w:t>
    </w:r>
  </w:p>
  <w:p w14:paraId="343668F4" w14:textId="77777777" w:rsidR="001A1D1F" w:rsidRDefault="00000000">
    <w:pPr>
      <w:pBdr>
        <w:top w:val="nil"/>
        <w:left w:val="nil"/>
        <w:bottom w:val="nil"/>
        <w:right w:val="nil"/>
        <w:between w:val="nil"/>
      </w:pBdr>
      <w:tabs>
        <w:tab w:val="center" w:pos="4513"/>
        <w:tab w:val="right" w:pos="9026"/>
      </w:tabs>
      <w:spacing w:after="0"/>
      <w:rPr>
        <w:sz w:val="22"/>
        <w:szCs w:val="22"/>
      </w:rPr>
    </w:pPr>
    <w:r>
      <w:rPr>
        <w:color w:val="000000"/>
        <w:sz w:val="22"/>
        <w:szCs w:val="22"/>
      </w:rPr>
      <w:t>Crown Copyright 20</w:t>
    </w:r>
    <w:r>
      <w:rPr>
        <w:sz w:val="22"/>
        <w:szCs w:val="22"/>
      </w:rPr>
      <w:t>25</w:t>
    </w:r>
  </w:p>
  <w:p w14:paraId="26652991" w14:textId="77777777" w:rsidR="001A1D1F" w:rsidRDefault="001A1D1F">
    <w:pPr>
      <w:pBdr>
        <w:top w:val="nil"/>
        <w:left w:val="nil"/>
        <w:bottom w:val="nil"/>
        <w:right w:val="nil"/>
        <w:between w:val="nil"/>
      </w:pBdr>
      <w:tabs>
        <w:tab w:val="center" w:pos="4513"/>
        <w:tab w:val="right" w:pos="9026"/>
      </w:tabs>
      <w:spacing w:after="0" w:line="240" w:lineRule="auto"/>
      <w:rPr>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51070" w14:textId="77777777" w:rsidR="001A1D1F" w:rsidRDefault="001A1D1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0748A"/>
    <w:multiLevelType w:val="multilevel"/>
    <w:tmpl w:val="2988C550"/>
    <w:lvl w:ilvl="0">
      <w:start w:val="1"/>
      <w:numFmt w:val="decimal"/>
      <w:lvlText w:val="%1."/>
      <w:lvlJc w:val="left"/>
      <w:pPr>
        <w:ind w:left="720" w:hanging="72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1440" w:hanging="720"/>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268" w:hanging="828"/>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3402" w:hanging="1134"/>
      </w:pPr>
      <w:rPr>
        <w:rFonts w:ascii="Arial" w:eastAsia="Arial" w:hAnsi="Arial" w:cs="Arial"/>
        <w:b w:val="0"/>
        <w:bCs w:val="0"/>
        <w:i w:val="0"/>
        <w:iCs w:val="0"/>
        <w:smallCaps w:val="0"/>
        <w:strike w:val="0"/>
        <w:color w:val="000000"/>
        <w:sz w:val="24"/>
        <w:szCs w:val="24"/>
        <w:u w:val="none"/>
        <w:vertAlign w:val="baseline"/>
      </w:rPr>
    </w:lvl>
    <w:lvl w:ilvl="4">
      <w:start w:val="1"/>
      <w:numFmt w:val="lowerRoman"/>
      <w:lvlText w:val="(%5)"/>
      <w:lvlJc w:val="left"/>
      <w:pPr>
        <w:ind w:left="3544" w:hanging="425"/>
      </w:pPr>
      <w:rPr>
        <w:b w:val="0"/>
        <w:bCs w:val="0"/>
        <w:i w:val="0"/>
        <w:iCs w:val="0"/>
        <w:smallCaps w:val="0"/>
        <w:strike w:val="0"/>
        <w:color w:val="000000"/>
        <w:u w:val="none"/>
        <w:vertAlign w:val="baseline"/>
      </w:rPr>
    </w:lvl>
    <w:lvl w:ilvl="5">
      <w:start w:val="1"/>
      <w:numFmt w:val="upperLetter"/>
      <w:lvlText w:val="(%6)"/>
      <w:lvlJc w:val="left"/>
      <w:pPr>
        <w:ind w:left="3969" w:hanging="567"/>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1651205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D1F"/>
    <w:rsid w:val="00066BC6"/>
    <w:rsid w:val="00112EE0"/>
    <w:rsid w:val="001A1D1F"/>
    <w:rsid w:val="003050A7"/>
    <w:rsid w:val="00384826"/>
    <w:rsid w:val="00C21834"/>
    <w:rsid w:val="00F26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EE449"/>
  <w15:docId w15:val="{1ADFA2DA-4FF0-489A-AB12-160194811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mbria" w:eastAsia="Cambria" w:hAnsi="Cambria" w:cs="Cambria"/>
      <w:b/>
      <w:bCs/>
      <w:color w:val="4F81BD"/>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tabs>
        <w:tab w:val="left" w:pos="-5585"/>
      </w:tabs>
      <w:spacing w:after="120" w:line="240" w:lineRule="auto"/>
      <w:ind w:left="2665" w:hanging="964"/>
      <w:jc w:val="both"/>
      <w:outlineLvl w:val="4"/>
    </w:pPr>
  </w:style>
  <w:style w:type="paragraph" w:styleId="Heading6">
    <w:name w:val="heading 6"/>
    <w:basedOn w:val="Normal"/>
    <w:next w:val="Normal"/>
    <w:uiPriority w:val="9"/>
    <w:semiHidden/>
    <w:unhideWhenUsed/>
    <w:qFormat/>
    <w:pPr>
      <w:tabs>
        <w:tab w:val="left" w:pos="-8987"/>
        <w:tab w:val="left" w:pos="-8420"/>
      </w:tabs>
      <w:spacing w:after="120" w:line="240" w:lineRule="auto"/>
      <w:ind w:left="3799" w:hanging="1133"/>
      <w:jc w:val="both"/>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crown-commercial-service-supplier-logo-and-brand-guidelin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F/fszRHJgoJfQ4zblW1T420JTw==">CgMxLjAyDWguN25rcmxsb2RtbmoyCGguZ2pkZ3hzMgloLjMwajB6bGwyCWguMWZvYjl0ZTIJaC4zem55c2g3MgloLjJldDkycDAyCGgudHlqY3d0MgloLjNkeTZ2a20yCWguMXQzaDVzZjIJaC40ZDM0b2c4Mg5oLm9mcTlneDk0enlyMzgAciExTnRzQTdfYU83b1RZOGdxZXl6NElnSVRBanBUSUdxSlQ=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2483</Words>
  <Characters>14154</Characters>
  <Application>Microsoft Office Word</Application>
  <DocSecurity>0</DocSecurity>
  <Lines>117</Lines>
  <Paragraphs>33</Paragraphs>
  <ScaleCrop>false</ScaleCrop>
  <Company/>
  <LinksUpToDate>false</LinksUpToDate>
  <CharactersWithSpaces>16604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 Alexander</dc:creator>
  <cp:lastModifiedBy>Mark Box</cp:lastModifiedBy>
  <cp:revision>2</cp:revision>
  <dcterms:created xsi:type="dcterms:W3CDTF">2026-10-14T10:18:00Z</dcterms:created>
  <dcterms:modified xsi:type="dcterms:W3CDTF">2026-10-14T10:18:00Z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D1V7</vt:lpwstr>
  </property>
  <property fmtid="{D5CDD505-2E9C-101B-9397-08002B2CF9AE}" pid="3" name="Draftable_version">
    <vt:lpwstr>25.9.0</vt:lpwstr>
  </property>
  <property fmtid="{D5CDD505-2E9C-101B-9397-08002B2CF9AE}" pid="4" name="Draftable_timestamp">
    <vt:lpwstr>2025-09-15T14:30:18</vt:lpwstr>
  </property>
  <property fmtid="{D5CDD505-2E9C-101B-9397-08002B2CF9AE}" pid="5" name="Draftable_originalFile">
    <vt:lpwstr>RM6378 - Framework Schedule 4 - Framework Management v1.0 PA [75951716 V1].docx</vt:lpwstr>
  </property>
  <property fmtid="{D5CDD505-2E9C-101B-9397-08002B2CF9AE}" pid="6" name="Draftable_originalVersion">
    <vt:lpwstr>1</vt:lpwstr>
  </property>
  <property fmtid="{D5CDD505-2E9C-101B-9397-08002B2CF9AE}" pid="7" name="Draftable_originalSHA256">
    <vt:lpwstr>8f603d05652e5e52cd6d7c81d5ccb6004d3c68c398272854834b323d6222eb4a</vt:lpwstr>
  </property>
  <property fmtid="{D5CDD505-2E9C-101B-9397-08002B2CF9AE}" pid="8" name="Draftable_modifiedFile">
    <vt:lpwstr>RM6378 - Framework Schedule 4 - Framework Management v1.0 PA [75951716 V2].docx</vt:lpwstr>
  </property>
  <property fmtid="{D5CDD505-2E9C-101B-9397-08002B2CF9AE}" pid="9" name="Draftable_modifiedVersion">
    <vt:lpwstr>2</vt:lpwstr>
  </property>
  <property fmtid="{D5CDD505-2E9C-101B-9397-08002B2CF9AE}" pid="10" name="Draftable_modifiedSHA256">
    <vt:lpwstr>eac5849058e0cbc9890423a03dd023e68058756948e9660e9ae5cdda8974ff32</vt:lpwstr>
  </property>
  <property fmtid="{D5CDD505-2E9C-101B-9397-08002B2CF9AE}" pid="11" name="iManageFooter">
    <vt:lpwstr>75951716v3</vt:lpwstr>
  </property>
</Properties>
</file>