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7051"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0E58BA02"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7CE48576"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65E0FC8C"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03456A4B"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190B7426"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6773926C"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57C5280D"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419E6D5D"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75D65F2D"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3C0E2BBF"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06B11588"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5293BF66"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0922805A"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0BA2BD70"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7D4A22C3"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20249212"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36048080"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65C27EAC"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718273F5" w14:textId="77777777" w:rsidR="007960A8" w:rsidRDefault="007960A8">
      <w:pPr>
        <w:pBdr>
          <w:top w:val="nil"/>
          <w:left w:val="nil"/>
          <w:bottom w:val="nil"/>
          <w:right w:val="nil"/>
          <w:between w:val="nil"/>
        </w:pBdr>
        <w:rPr>
          <w:rFonts w:ascii="Times New Roman" w:eastAsia="Times New Roman" w:hAnsi="Times New Roman" w:cs="Times New Roman"/>
          <w:color w:val="000000"/>
          <w:sz w:val="13"/>
          <w:szCs w:val="13"/>
        </w:rPr>
      </w:pPr>
    </w:p>
    <w:p w14:paraId="34A7784A" w14:textId="77777777" w:rsidR="007960A8" w:rsidRDefault="00A26397">
      <w:pPr>
        <w:pBdr>
          <w:top w:val="nil"/>
          <w:left w:val="nil"/>
          <w:bottom w:val="nil"/>
          <w:right w:val="nil"/>
          <w:between w:val="nil"/>
        </w:pBdr>
        <w:spacing w:line="20" w:lineRule="auto"/>
        <w:ind w:left="183"/>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
          <w:szCs w:val="2"/>
        </w:rPr>
        <mc:AlternateContent>
          <mc:Choice Requires="wpg">
            <w:drawing>
              <wp:inline distT="0" distB="0" distL="0" distR="0" wp14:anchorId="65031753" wp14:editId="42A2A61E">
                <wp:extent cx="5769610" cy="12700"/>
                <wp:effectExtent l="0" t="0" r="0" b="0"/>
                <wp:docPr id="5" name="Group 5"/>
                <wp:cNvGraphicFramePr/>
                <a:graphic xmlns:a="http://schemas.openxmlformats.org/drawingml/2006/main">
                  <a:graphicData uri="http://schemas.microsoft.com/office/word/2010/wordprocessingGroup">
                    <wpg:wgp>
                      <wpg:cNvGrpSpPr/>
                      <wpg:grpSpPr>
                        <a:xfrm>
                          <a:off x="0" y="0"/>
                          <a:ext cx="5769610" cy="12700"/>
                          <a:chOff x="2461175" y="3773325"/>
                          <a:chExt cx="5769000" cy="9550"/>
                        </a:xfrm>
                      </wpg:grpSpPr>
                      <wpg:grpSp>
                        <wpg:cNvPr id="1" name="Group 1"/>
                        <wpg:cNvGrpSpPr/>
                        <wpg:grpSpPr>
                          <a:xfrm>
                            <a:off x="2461195" y="3773650"/>
                            <a:ext cx="5769610" cy="17145"/>
                            <a:chOff x="0" y="0"/>
                            <a:chExt cx="9086" cy="27"/>
                          </a:xfrm>
                        </wpg:grpSpPr>
                        <wps:wsp>
                          <wps:cNvPr id="2" name="Rectangle 2"/>
                          <wps:cNvSpPr/>
                          <wps:spPr>
                            <a:xfrm>
                              <a:off x="0" y="0"/>
                              <a:ext cx="9075" cy="0"/>
                            </a:xfrm>
                            <a:prstGeom prst="rect">
                              <a:avLst/>
                            </a:prstGeom>
                            <a:noFill/>
                            <a:ln>
                              <a:noFill/>
                            </a:ln>
                          </wps:spPr>
                          <wps:txbx>
                            <w:txbxContent>
                              <w:p w14:paraId="0DBDB040" w14:textId="77777777" w:rsidR="007960A8" w:rsidRDefault="007960A8">
                                <w:pPr>
                                  <w:textDirection w:val="btLr"/>
                                </w:pPr>
                              </w:p>
                            </w:txbxContent>
                          </wps:txbx>
                          <wps:bodyPr spcFirstLastPara="1" wrap="square" lIns="91425" tIns="91425" rIns="91425" bIns="91425" anchor="ctr" anchorCtr="0">
                            <a:noAutofit/>
                          </wps:bodyPr>
                        </wps:wsp>
                        <wps:wsp>
                          <wps:cNvPr id="3" name="Free-form: Shape 3"/>
                          <wps:cNvSpPr/>
                          <wps:spPr>
                            <a:xfrm>
                              <a:off x="0" y="7"/>
                              <a:ext cx="9086" cy="20"/>
                            </a:xfrm>
                            <a:custGeom>
                              <a:avLst/>
                              <a:gdLst/>
                              <a:ahLst/>
                              <a:cxnLst/>
                              <a:rect l="l" t="t" r="r" b="b"/>
                              <a:pathLst>
                                <a:path w="9086" h="20" extrusionOk="0">
                                  <a:moveTo>
                                    <a:pt x="0" y="0"/>
                                  </a:moveTo>
                                  <a:lnTo>
                                    <a:pt x="9085" y="0"/>
                                  </a:lnTo>
                                </a:path>
                              </a:pathLst>
                            </a:custGeom>
                            <a:noFill/>
                            <a:ln w="9525" cap="flat" cmpd="sng">
                              <a:solidFill>
                                <a:srgbClr val="5B9BD4"/>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769610" cy="12700"/>
                <wp:effectExtent b="0" l="0" r="0" t="0"/>
                <wp:docPr id="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69610" cy="12700"/>
                        </a:xfrm>
                        <a:prstGeom prst="rect"/>
                        <a:ln/>
                      </pic:spPr>
                    </pic:pic>
                  </a:graphicData>
                </a:graphic>
              </wp:inline>
            </w:drawing>
          </mc:Fallback>
        </mc:AlternateContent>
      </w:r>
    </w:p>
    <w:p w14:paraId="17BE7325" w14:textId="77777777" w:rsidR="007960A8" w:rsidRDefault="00A26397">
      <w:pPr>
        <w:pBdr>
          <w:top w:val="nil"/>
          <w:left w:val="nil"/>
          <w:bottom w:val="nil"/>
          <w:right w:val="nil"/>
          <w:between w:val="nil"/>
        </w:pBdr>
        <w:spacing w:before="114"/>
        <w:ind w:left="2111" w:right="2114" w:firstLine="1"/>
        <w:jc w:val="center"/>
        <w:rPr>
          <w:color w:val="000000"/>
          <w:sz w:val="72"/>
          <w:szCs w:val="72"/>
        </w:rPr>
      </w:pPr>
      <w:r>
        <w:rPr>
          <w:color w:val="000000"/>
          <w:sz w:val="72"/>
          <w:szCs w:val="72"/>
        </w:rPr>
        <w:t>STANDARD ‘BOILERPLATE’ AMENDMENTS</w:t>
      </w:r>
      <w:r>
        <w:rPr>
          <w:noProof/>
        </w:rPr>
        <mc:AlternateContent>
          <mc:Choice Requires="wpg">
            <w:drawing>
              <wp:anchor distT="0" distB="0" distL="0" distR="0" simplePos="0" relativeHeight="251658240" behindDoc="0" locked="0" layoutInCell="1" hidden="0" allowOverlap="1" wp14:anchorId="74CB9401" wp14:editId="40F9D2AA">
                <wp:simplePos x="0" y="0"/>
                <wp:positionH relativeFrom="column">
                  <wp:posOffset>116522</wp:posOffset>
                </wp:positionH>
                <wp:positionV relativeFrom="paragraph">
                  <wp:posOffset>1726248</wp:posOffset>
                </wp:positionV>
                <wp:extent cx="5779135" cy="22225"/>
                <wp:effectExtent l="0" t="0" r="0" b="0"/>
                <wp:wrapTopAndBottom distT="0" distB="0"/>
                <wp:docPr id="4" name="Free-form: Shape 4"/>
                <wp:cNvGraphicFramePr/>
                <a:graphic xmlns:a="http://schemas.openxmlformats.org/drawingml/2006/main">
                  <a:graphicData uri="http://schemas.microsoft.com/office/word/2010/wordprocessingShape">
                    <wps:wsp>
                      <wps:cNvSpPr/>
                      <wps:spPr>
                        <a:xfrm>
                          <a:off x="2461195" y="3773650"/>
                          <a:ext cx="5769610" cy="12700"/>
                        </a:xfrm>
                        <a:custGeom>
                          <a:avLst/>
                          <a:gdLst/>
                          <a:ahLst/>
                          <a:cxnLst/>
                          <a:rect l="l" t="t" r="r" b="b"/>
                          <a:pathLst>
                            <a:path w="9086" h="20" extrusionOk="0">
                              <a:moveTo>
                                <a:pt x="0" y="0"/>
                              </a:moveTo>
                              <a:lnTo>
                                <a:pt x="9085" y="0"/>
                              </a:lnTo>
                            </a:path>
                          </a:pathLst>
                        </a:custGeom>
                        <a:noFill/>
                        <a:ln w="9525" cap="flat" cmpd="sng">
                          <a:solidFill>
                            <a:srgbClr val="5B9BD4"/>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116522</wp:posOffset>
                </wp:positionH>
                <wp:positionV relativeFrom="paragraph">
                  <wp:posOffset>1726248</wp:posOffset>
                </wp:positionV>
                <wp:extent cx="5779135" cy="22225"/>
                <wp:effectExtent b="0" l="0" r="0" t="0"/>
                <wp:wrapTopAndBottom distB="0" distT="0"/>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79135" cy="22225"/>
                        </a:xfrm>
                        <a:prstGeom prst="rect"/>
                        <a:ln/>
                      </pic:spPr>
                    </pic:pic>
                  </a:graphicData>
                </a:graphic>
              </wp:anchor>
            </w:drawing>
          </mc:Fallback>
        </mc:AlternateContent>
      </w:r>
    </w:p>
    <w:p w14:paraId="00541821" w14:textId="77777777" w:rsidR="007960A8" w:rsidRDefault="007960A8">
      <w:pPr>
        <w:pBdr>
          <w:top w:val="nil"/>
          <w:left w:val="nil"/>
          <w:bottom w:val="nil"/>
          <w:right w:val="nil"/>
          <w:between w:val="nil"/>
        </w:pBdr>
        <w:rPr>
          <w:color w:val="000000"/>
          <w:sz w:val="10"/>
          <w:szCs w:val="10"/>
        </w:rPr>
      </w:pPr>
    </w:p>
    <w:p w14:paraId="352E5A9E" w14:textId="77777777" w:rsidR="007960A8" w:rsidRDefault="00A26397">
      <w:pPr>
        <w:pBdr>
          <w:top w:val="nil"/>
          <w:left w:val="nil"/>
          <w:bottom w:val="nil"/>
          <w:right w:val="nil"/>
          <w:between w:val="nil"/>
        </w:pBdr>
        <w:spacing w:before="91"/>
        <w:ind w:left="2"/>
        <w:jc w:val="center"/>
        <w:rPr>
          <w:color w:val="000000"/>
          <w:sz w:val="28"/>
          <w:szCs w:val="28"/>
        </w:rPr>
      </w:pPr>
      <w:r>
        <w:rPr>
          <w:color w:val="000000"/>
          <w:sz w:val="28"/>
          <w:szCs w:val="28"/>
        </w:rPr>
        <w:t>NEC4 Facilities Management Contract January 2021 and NEC4 Facilities Management Short Contract JUNE 2021</w:t>
      </w:r>
    </w:p>
    <w:p w14:paraId="4E5734D1" w14:textId="77777777" w:rsidR="007960A8" w:rsidRDefault="007960A8">
      <w:pPr>
        <w:pBdr>
          <w:top w:val="nil"/>
          <w:left w:val="nil"/>
          <w:bottom w:val="nil"/>
          <w:right w:val="nil"/>
          <w:between w:val="nil"/>
        </w:pBdr>
        <w:rPr>
          <w:color w:val="000000"/>
          <w:sz w:val="30"/>
          <w:szCs w:val="30"/>
        </w:rPr>
      </w:pPr>
    </w:p>
    <w:p w14:paraId="029220DA" w14:textId="77777777" w:rsidR="007960A8" w:rsidRDefault="007960A8">
      <w:pPr>
        <w:pBdr>
          <w:top w:val="nil"/>
          <w:left w:val="nil"/>
          <w:bottom w:val="nil"/>
          <w:right w:val="nil"/>
          <w:between w:val="nil"/>
        </w:pBdr>
        <w:rPr>
          <w:color w:val="000000"/>
          <w:sz w:val="30"/>
          <w:szCs w:val="30"/>
        </w:rPr>
      </w:pPr>
    </w:p>
    <w:p w14:paraId="3B030664" w14:textId="77777777" w:rsidR="007960A8" w:rsidRDefault="007960A8">
      <w:pPr>
        <w:pBdr>
          <w:top w:val="nil"/>
          <w:left w:val="nil"/>
          <w:bottom w:val="nil"/>
          <w:right w:val="nil"/>
          <w:between w:val="nil"/>
        </w:pBdr>
        <w:rPr>
          <w:color w:val="000000"/>
          <w:sz w:val="30"/>
          <w:szCs w:val="30"/>
        </w:rPr>
      </w:pPr>
    </w:p>
    <w:p w14:paraId="7E18F0D6" w14:textId="77777777" w:rsidR="007960A8" w:rsidRDefault="007960A8">
      <w:pPr>
        <w:pBdr>
          <w:top w:val="nil"/>
          <w:left w:val="nil"/>
          <w:bottom w:val="nil"/>
          <w:right w:val="nil"/>
          <w:between w:val="nil"/>
        </w:pBdr>
        <w:rPr>
          <w:color w:val="000000"/>
          <w:sz w:val="30"/>
          <w:szCs w:val="30"/>
        </w:rPr>
      </w:pPr>
    </w:p>
    <w:p w14:paraId="1DDC2FAA" w14:textId="77777777" w:rsidR="007960A8" w:rsidRDefault="007960A8">
      <w:pPr>
        <w:pBdr>
          <w:top w:val="nil"/>
          <w:left w:val="nil"/>
          <w:bottom w:val="nil"/>
          <w:right w:val="nil"/>
          <w:between w:val="nil"/>
        </w:pBdr>
        <w:rPr>
          <w:color w:val="000000"/>
          <w:sz w:val="30"/>
          <w:szCs w:val="30"/>
        </w:rPr>
      </w:pPr>
    </w:p>
    <w:p w14:paraId="231D5238" w14:textId="77777777" w:rsidR="007960A8" w:rsidRDefault="007960A8">
      <w:pPr>
        <w:pBdr>
          <w:top w:val="nil"/>
          <w:left w:val="nil"/>
          <w:bottom w:val="nil"/>
          <w:right w:val="nil"/>
          <w:between w:val="nil"/>
        </w:pBdr>
        <w:rPr>
          <w:color w:val="000000"/>
          <w:sz w:val="30"/>
          <w:szCs w:val="30"/>
        </w:rPr>
      </w:pPr>
    </w:p>
    <w:p w14:paraId="36E7F06E" w14:textId="77777777" w:rsidR="007960A8" w:rsidRDefault="007960A8">
      <w:pPr>
        <w:pBdr>
          <w:top w:val="nil"/>
          <w:left w:val="nil"/>
          <w:bottom w:val="nil"/>
          <w:right w:val="nil"/>
          <w:between w:val="nil"/>
        </w:pBdr>
        <w:rPr>
          <w:color w:val="000000"/>
          <w:sz w:val="30"/>
          <w:szCs w:val="30"/>
        </w:rPr>
      </w:pPr>
    </w:p>
    <w:p w14:paraId="7AFF8DBD" w14:textId="77777777" w:rsidR="007960A8" w:rsidRDefault="007960A8">
      <w:pPr>
        <w:pBdr>
          <w:top w:val="nil"/>
          <w:left w:val="nil"/>
          <w:bottom w:val="nil"/>
          <w:right w:val="nil"/>
          <w:between w:val="nil"/>
        </w:pBdr>
        <w:rPr>
          <w:color w:val="000000"/>
          <w:sz w:val="30"/>
          <w:szCs w:val="30"/>
        </w:rPr>
      </w:pPr>
    </w:p>
    <w:p w14:paraId="38ED8D70" w14:textId="77777777" w:rsidR="007960A8" w:rsidRDefault="007960A8">
      <w:pPr>
        <w:pBdr>
          <w:top w:val="nil"/>
          <w:left w:val="nil"/>
          <w:bottom w:val="nil"/>
          <w:right w:val="nil"/>
          <w:between w:val="nil"/>
        </w:pBdr>
        <w:rPr>
          <w:color w:val="000000"/>
          <w:sz w:val="30"/>
          <w:szCs w:val="30"/>
        </w:rPr>
      </w:pPr>
    </w:p>
    <w:p w14:paraId="0C57CC3F" w14:textId="77777777" w:rsidR="007960A8" w:rsidRDefault="007960A8">
      <w:pPr>
        <w:pBdr>
          <w:top w:val="nil"/>
          <w:left w:val="nil"/>
          <w:bottom w:val="nil"/>
          <w:right w:val="nil"/>
          <w:between w:val="nil"/>
        </w:pBdr>
        <w:rPr>
          <w:color w:val="000000"/>
          <w:sz w:val="30"/>
          <w:szCs w:val="30"/>
        </w:rPr>
      </w:pPr>
    </w:p>
    <w:p w14:paraId="1F433619" w14:textId="77777777" w:rsidR="007960A8" w:rsidRDefault="007960A8">
      <w:pPr>
        <w:pBdr>
          <w:top w:val="nil"/>
          <w:left w:val="nil"/>
          <w:bottom w:val="nil"/>
          <w:right w:val="nil"/>
          <w:between w:val="nil"/>
        </w:pBdr>
        <w:rPr>
          <w:color w:val="000000"/>
          <w:sz w:val="30"/>
          <w:szCs w:val="30"/>
        </w:rPr>
      </w:pPr>
    </w:p>
    <w:p w14:paraId="707F332C" w14:textId="77777777" w:rsidR="007960A8" w:rsidRDefault="007960A8">
      <w:pPr>
        <w:pBdr>
          <w:top w:val="nil"/>
          <w:left w:val="nil"/>
          <w:bottom w:val="nil"/>
          <w:right w:val="nil"/>
          <w:between w:val="nil"/>
        </w:pBdr>
        <w:rPr>
          <w:color w:val="000000"/>
          <w:sz w:val="30"/>
          <w:szCs w:val="30"/>
        </w:rPr>
      </w:pPr>
    </w:p>
    <w:p w14:paraId="5ADB13DF" w14:textId="77777777" w:rsidR="007960A8" w:rsidRDefault="007960A8">
      <w:pPr>
        <w:pBdr>
          <w:top w:val="nil"/>
          <w:left w:val="nil"/>
          <w:bottom w:val="nil"/>
          <w:right w:val="nil"/>
          <w:between w:val="nil"/>
        </w:pBdr>
        <w:rPr>
          <w:color w:val="000000"/>
          <w:sz w:val="30"/>
          <w:szCs w:val="30"/>
        </w:rPr>
      </w:pPr>
    </w:p>
    <w:p w14:paraId="219639A4" w14:textId="77777777" w:rsidR="007960A8" w:rsidRDefault="007960A8">
      <w:pPr>
        <w:pBdr>
          <w:top w:val="nil"/>
          <w:left w:val="nil"/>
          <w:bottom w:val="nil"/>
          <w:right w:val="nil"/>
          <w:between w:val="nil"/>
        </w:pBdr>
        <w:spacing w:before="1"/>
        <w:rPr>
          <w:color w:val="000000"/>
          <w:sz w:val="35"/>
          <w:szCs w:val="35"/>
        </w:rPr>
      </w:pPr>
    </w:p>
    <w:p w14:paraId="1B2E0413" w14:textId="77777777" w:rsidR="007960A8" w:rsidRDefault="00A26397">
      <w:pPr>
        <w:pBdr>
          <w:top w:val="nil"/>
          <w:left w:val="nil"/>
          <w:bottom w:val="nil"/>
          <w:right w:val="nil"/>
          <w:between w:val="nil"/>
        </w:pBdr>
        <w:ind w:left="2"/>
        <w:jc w:val="center"/>
        <w:rPr>
          <w:rFonts w:ascii="Calibri" w:eastAsia="Calibri" w:hAnsi="Calibri" w:cs="Calibri"/>
          <w:color w:val="000000"/>
          <w:sz w:val="28"/>
          <w:szCs w:val="28"/>
        </w:rPr>
        <w:sectPr w:rsidR="007960A8">
          <w:footerReference w:type="default" r:id="rId9"/>
          <w:pgSz w:w="11910" w:h="16840"/>
          <w:pgMar w:top="1580" w:right="1220" w:bottom="280" w:left="1220" w:header="720" w:footer="0" w:gutter="0"/>
          <w:pgNumType w:start="1"/>
          <w:cols w:space="720"/>
        </w:sectPr>
      </w:pPr>
      <w:r>
        <w:rPr>
          <w:rFonts w:ascii="Calibri" w:eastAsia="Calibri" w:hAnsi="Calibri" w:cs="Calibri"/>
          <w:color w:val="000000"/>
          <w:sz w:val="28"/>
          <w:szCs w:val="28"/>
        </w:rPr>
        <w:t>23 October 2025</w:t>
      </w:r>
    </w:p>
    <w:p w14:paraId="4F5F08EB" w14:textId="77777777" w:rsidR="007960A8" w:rsidRDefault="007960A8">
      <w:pPr>
        <w:pBdr>
          <w:top w:val="nil"/>
          <w:left w:val="nil"/>
          <w:bottom w:val="nil"/>
          <w:right w:val="nil"/>
          <w:between w:val="nil"/>
        </w:pBdr>
        <w:spacing w:before="10"/>
        <w:rPr>
          <w:rFonts w:ascii="Calibri" w:eastAsia="Calibri" w:hAnsi="Calibri" w:cs="Calibri"/>
          <w:color w:val="000000"/>
          <w:sz w:val="29"/>
          <w:szCs w:val="29"/>
        </w:rPr>
      </w:pPr>
    </w:p>
    <w:p w14:paraId="0BE60C2C" w14:textId="77777777" w:rsidR="007960A8" w:rsidRDefault="007960A8">
      <w:pPr>
        <w:pBdr>
          <w:top w:val="nil"/>
          <w:left w:val="nil"/>
          <w:bottom w:val="nil"/>
          <w:right w:val="nil"/>
          <w:between w:val="nil"/>
        </w:pBdr>
        <w:rPr>
          <w:color w:val="000000"/>
          <w:sz w:val="20"/>
          <w:szCs w:val="20"/>
        </w:rPr>
      </w:pPr>
    </w:p>
    <w:p w14:paraId="136D9D93" w14:textId="77777777" w:rsidR="007960A8" w:rsidRDefault="00A26397">
      <w:pPr>
        <w:pBdr>
          <w:top w:val="nil"/>
          <w:left w:val="nil"/>
          <w:bottom w:val="nil"/>
          <w:right w:val="nil"/>
          <w:between w:val="nil"/>
        </w:pBdr>
        <w:spacing w:before="223"/>
        <w:ind w:left="220"/>
        <w:rPr>
          <w:color w:val="2D74B5"/>
          <w:sz w:val="32"/>
          <w:szCs w:val="32"/>
        </w:rPr>
      </w:pPr>
      <w:bookmarkStart w:id="0" w:name="_heading=h.dkrwnxqu889z" w:colFirst="0" w:colLast="0"/>
      <w:bookmarkEnd w:id="0"/>
      <w:r>
        <w:rPr>
          <w:color w:val="2D74B5"/>
          <w:sz w:val="32"/>
          <w:szCs w:val="32"/>
        </w:rPr>
        <w:t>Table of Contents</w:t>
      </w:r>
    </w:p>
    <w:p w14:paraId="6F42BC9C" w14:textId="77777777" w:rsidR="007960A8" w:rsidRDefault="00A26397">
      <w:pPr>
        <w:pBdr>
          <w:top w:val="nil"/>
          <w:left w:val="nil"/>
          <w:bottom w:val="nil"/>
          <w:right w:val="nil"/>
          <w:between w:val="nil"/>
        </w:pBdr>
        <w:tabs>
          <w:tab w:val="right" w:pos="9248"/>
        </w:tabs>
        <w:spacing w:before="127"/>
        <w:ind w:left="220"/>
        <w:rPr>
          <w:color w:val="000000"/>
        </w:rPr>
      </w:pPr>
      <w:r>
        <w:rPr>
          <w:b/>
          <w:bCs/>
          <w:color w:val="000000"/>
        </w:rPr>
        <w:t>NEC 4</w:t>
      </w:r>
      <w:r>
        <w:rPr>
          <w:b/>
          <w:bCs/>
          <w:color w:val="000000"/>
        </w:rPr>
        <w:tab/>
        <w:t>4</w:t>
      </w:r>
    </w:p>
    <w:p w14:paraId="6E4A8CF4" w14:textId="77777777" w:rsidR="007960A8" w:rsidRDefault="00A26397">
      <w:pPr>
        <w:pBdr>
          <w:top w:val="nil"/>
          <w:left w:val="nil"/>
          <w:bottom w:val="nil"/>
          <w:right w:val="nil"/>
          <w:between w:val="nil"/>
        </w:pBdr>
        <w:tabs>
          <w:tab w:val="right" w:pos="9248"/>
        </w:tabs>
        <w:spacing w:before="128"/>
        <w:ind w:left="436"/>
        <w:rPr>
          <w:color w:val="000000"/>
        </w:rPr>
      </w:pPr>
      <w:r>
        <w:rPr>
          <w:color w:val="000000"/>
        </w:rPr>
        <w:t>Z1 Identified and Defined Terms</w:t>
      </w:r>
      <w:r>
        <w:rPr>
          <w:color w:val="000000"/>
        </w:rPr>
        <w:tab/>
        <w:t>4</w:t>
      </w:r>
    </w:p>
    <w:p w14:paraId="3D0E5637"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 Admittance to Client’s Premises</w:t>
      </w:r>
      <w:r>
        <w:rPr>
          <w:color w:val="000000"/>
        </w:rPr>
        <w:tab/>
        <w:t>8</w:t>
      </w:r>
    </w:p>
    <w:p w14:paraId="6A0E5345" w14:textId="77777777" w:rsidR="007960A8" w:rsidRDefault="00A26397">
      <w:pPr>
        <w:pBdr>
          <w:top w:val="nil"/>
          <w:left w:val="nil"/>
          <w:bottom w:val="nil"/>
          <w:right w:val="nil"/>
          <w:between w:val="nil"/>
        </w:pBdr>
        <w:tabs>
          <w:tab w:val="right" w:pos="9248"/>
        </w:tabs>
        <w:spacing w:before="129"/>
        <w:ind w:left="436"/>
        <w:rPr>
          <w:color w:val="000000"/>
        </w:rPr>
      </w:pPr>
      <w:r>
        <w:rPr>
          <w:color w:val="000000"/>
        </w:rPr>
        <w:t>Z3 Prevention of Fraud and Bribery</w:t>
      </w:r>
      <w:r>
        <w:rPr>
          <w:color w:val="000000"/>
        </w:rPr>
        <w:tab/>
        <w:t>8</w:t>
      </w:r>
    </w:p>
    <w:p w14:paraId="429D6F5C"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Z4 Equality and Diversity………………………………………………………………………...10</w:t>
      </w:r>
    </w:p>
    <w:p w14:paraId="2CC5E87A"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Z5 Legislation and Official Secrets</w:t>
      </w:r>
      <w:r>
        <w:rPr>
          <w:color w:val="000000"/>
        </w:rPr>
        <w:tab/>
        <w:t>10</w:t>
      </w:r>
    </w:p>
    <w:p w14:paraId="3F7451CF"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Z6 Conflicts of interest………………………………………………………………………..….10</w:t>
      </w:r>
    </w:p>
    <w:p w14:paraId="6C734298"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Z7 Publicity and Branding……………………………………………………………………..…11</w:t>
      </w:r>
    </w:p>
    <w:p w14:paraId="1CCEBD9A"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Z8 Freedom of Information</w:t>
      </w:r>
      <w:r>
        <w:rPr>
          <w:color w:val="000000"/>
        </w:rPr>
        <w:tab/>
        <w:t>11</w:t>
      </w:r>
    </w:p>
    <w:p w14:paraId="424C8481"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Z9 Confidentiality and Information Sharing</w:t>
      </w:r>
      <w:r>
        <w:rPr>
          <w:color w:val="000000"/>
        </w:rPr>
        <w:tab/>
        <w:t>12</w:t>
      </w:r>
    </w:p>
    <w:p w14:paraId="0C840E40"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Z10 Security Requirements</w:t>
      </w:r>
      <w:r>
        <w:rPr>
          <w:color w:val="000000"/>
        </w:rPr>
        <w:tab/>
        <w:t>14</w:t>
      </w:r>
    </w:p>
    <w:p w14:paraId="4123685E"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Z11 Tax Compliance</w:t>
      </w:r>
      <w:r>
        <w:rPr>
          <w:color w:val="000000"/>
        </w:rPr>
        <w:tab/>
        <w:t>14</w:t>
      </w:r>
    </w:p>
    <w:p w14:paraId="0667C40E"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Z12 Fair Paymen</w:t>
      </w:r>
      <w:r>
        <w:rPr>
          <w:color w:val="000000"/>
        </w:rPr>
        <w:t>t</w:t>
      </w:r>
      <w:r>
        <w:rPr>
          <w:color w:val="000000"/>
        </w:rPr>
        <w:tab/>
        <w:t>15</w:t>
      </w:r>
    </w:p>
    <w:p w14:paraId="55D901C2"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Z13 The Housing Grants, Construction and Regeneration Act 1996</w:t>
      </w:r>
      <w:r>
        <w:rPr>
          <w:color w:val="000000"/>
        </w:rPr>
        <w:tab/>
        <w:t>16</w:t>
      </w:r>
    </w:p>
    <w:p w14:paraId="012563EB" w14:textId="77777777" w:rsidR="007960A8" w:rsidRDefault="00A26397">
      <w:pPr>
        <w:pBdr>
          <w:top w:val="nil"/>
          <w:left w:val="nil"/>
          <w:bottom w:val="nil"/>
          <w:right w:val="nil"/>
          <w:between w:val="nil"/>
        </w:pBdr>
        <w:tabs>
          <w:tab w:val="right" w:pos="9248"/>
        </w:tabs>
        <w:spacing w:before="129"/>
        <w:ind w:left="436"/>
        <w:rPr>
          <w:color w:val="000000"/>
        </w:rPr>
      </w:pPr>
      <w:r>
        <w:rPr>
          <w:color w:val="000000"/>
        </w:rPr>
        <w:t>Z14 HMRC Requirements………………………………………………………………………..16</w:t>
      </w:r>
    </w:p>
    <w:p w14:paraId="1276EC31" w14:textId="77777777" w:rsidR="007960A8" w:rsidRDefault="00A26397">
      <w:pPr>
        <w:pBdr>
          <w:top w:val="nil"/>
          <w:left w:val="nil"/>
          <w:bottom w:val="nil"/>
          <w:right w:val="nil"/>
          <w:between w:val="nil"/>
        </w:pBdr>
        <w:tabs>
          <w:tab w:val="right" w:pos="9248"/>
        </w:tabs>
        <w:spacing w:before="129"/>
        <w:ind w:left="436"/>
        <w:rPr>
          <w:color w:val="000000"/>
        </w:rPr>
      </w:pPr>
      <w:r>
        <w:rPr>
          <w:color w:val="000000"/>
        </w:rPr>
        <w:t>Z15 MOD DEFCONS</w:t>
      </w:r>
      <w:r>
        <w:rPr>
          <w:color w:val="000000"/>
        </w:rPr>
        <w:tab/>
        <w:t>..16</w:t>
      </w:r>
    </w:p>
    <w:p w14:paraId="774FC1A8"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Z16 Change of Control</w:t>
      </w:r>
      <w:r>
        <w:rPr>
          <w:color w:val="000000"/>
        </w:rPr>
        <w:tab/>
        <w:t>16</w:t>
      </w:r>
    </w:p>
    <w:p w14:paraId="49C535AA"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Z17 Embarrassment</w:t>
      </w:r>
      <w:r>
        <w:rPr>
          <w:color w:val="000000"/>
        </w:rPr>
        <w:tab/>
        <w:t>16</w:t>
      </w:r>
    </w:p>
    <w:p w14:paraId="2DA8A515"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Z18 Records, audit access and open book data………………………………………………17</w:t>
      </w:r>
    </w:p>
    <w:p w14:paraId="39D1E6CE"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Z19 GDPR</w:t>
      </w:r>
      <w:r>
        <w:rPr>
          <w:color w:val="000000"/>
        </w:rPr>
        <w:tab/>
        <w:t>18</w:t>
      </w:r>
    </w:p>
    <w:p w14:paraId="44902DF3"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Z20 Cyber Essentials</w:t>
      </w:r>
      <w:r>
        <w:rPr>
          <w:color w:val="000000"/>
        </w:rPr>
        <w:tab/>
        <w:t>18</w:t>
      </w:r>
    </w:p>
    <w:p w14:paraId="6A3F9732"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Z21 Modern Slavery</w:t>
      </w:r>
      <w:r>
        <w:rPr>
          <w:color w:val="000000"/>
        </w:rPr>
        <w:tab/>
        <w:t>18</w:t>
      </w:r>
    </w:p>
    <w:p w14:paraId="249843CA"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Z22 Carbon Reduction</w:t>
      </w:r>
      <w:r>
        <w:rPr>
          <w:color w:val="000000"/>
        </w:rPr>
        <w:tab/>
        <w:t>18</w:t>
      </w:r>
    </w:p>
    <w:p w14:paraId="006D6212"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Z23 Payment Spot Checks</w:t>
      </w:r>
      <w:r>
        <w:rPr>
          <w:color w:val="000000"/>
        </w:rPr>
        <w:tab/>
        <w:t>19</w:t>
      </w:r>
    </w:p>
    <w:p w14:paraId="7F57FD2A"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Z24 Procuring Steel</w:t>
      </w:r>
      <w:r>
        <w:rPr>
          <w:color w:val="000000"/>
        </w:rPr>
        <w:tab/>
        <w:t>19</w:t>
      </w:r>
    </w:p>
    <w:p w14:paraId="6D98300A"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Z25 Procurement Act 2023</w:t>
      </w:r>
      <w:r>
        <w:rPr>
          <w:color w:val="000000"/>
        </w:rPr>
        <w:tab/>
        <w:t>19</w:t>
      </w:r>
    </w:p>
    <w:p w14:paraId="0277D7B6"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Z26 Staff Transfer</w:t>
      </w:r>
      <w:r>
        <w:rPr>
          <w:color w:val="000000"/>
        </w:rPr>
        <w:tab/>
        <w:t>19</w:t>
      </w:r>
    </w:p>
    <w:p w14:paraId="4A9B2022"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Z27 Intellectual Property</w:t>
      </w:r>
      <w:r>
        <w:rPr>
          <w:color w:val="000000"/>
        </w:rPr>
        <w:tab/>
        <w:t>19</w:t>
      </w:r>
    </w:p>
    <w:p w14:paraId="3C2C88FA"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Z28 Financial Difficulties</w:t>
      </w:r>
      <w:r>
        <w:rPr>
          <w:color w:val="000000"/>
        </w:rPr>
        <w:tab/>
        <w:t>19</w:t>
      </w:r>
    </w:p>
    <w:p w14:paraId="138FBA63"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Z29 Security</w:t>
      </w:r>
      <w:r>
        <w:rPr>
          <w:color w:val="000000"/>
        </w:rPr>
        <w:tab/>
        <w:t>19</w:t>
      </w:r>
    </w:p>
    <w:p w14:paraId="0BEE1A18"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Z30 Mandatory Wage Increases</w:t>
      </w:r>
      <w:r>
        <w:rPr>
          <w:color w:val="000000"/>
        </w:rPr>
        <w:tab/>
        <w:t>20</w:t>
      </w:r>
    </w:p>
    <w:p w14:paraId="486BD20D"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lastRenderedPageBreak/>
        <w:t>Z31 Redundancy</w:t>
      </w:r>
      <w:r>
        <w:rPr>
          <w:color w:val="000000"/>
        </w:rPr>
        <w:tab/>
        <w:t>20</w:t>
      </w:r>
    </w:p>
    <w:p w14:paraId="6B661390"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Z32 TUPE Premium</w:t>
      </w:r>
      <w:r>
        <w:rPr>
          <w:color w:val="000000"/>
        </w:rPr>
        <w:tab/>
        <w:t>20</w:t>
      </w:r>
    </w:p>
    <w:p w14:paraId="46096928" w14:textId="77777777" w:rsidR="007960A8" w:rsidRDefault="007960A8">
      <w:pPr>
        <w:pBdr>
          <w:top w:val="nil"/>
          <w:left w:val="nil"/>
          <w:bottom w:val="nil"/>
          <w:right w:val="nil"/>
          <w:between w:val="nil"/>
        </w:pBdr>
        <w:tabs>
          <w:tab w:val="right" w:pos="9248"/>
        </w:tabs>
        <w:spacing w:before="126"/>
        <w:ind w:left="436"/>
        <w:rPr>
          <w:color w:val="000000"/>
        </w:rPr>
      </w:pPr>
    </w:p>
    <w:p w14:paraId="72140875" w14:textId="77777777" w:rsidR="007960A8" w:rsidRDefault="00A26397">
      <w:pPr>
        <w:pStyle w:val="Heading1"/>
        <w:spacing w:before="124"/>
        <w:ind w:firstLine="220"/>
      </w:pPr>
      <w:r>
        <w:t>Schedules</w:t>
      </w:r>
    </w:p>
    <w:p w14:paraId="0595640C" w14:textId="77777777" w:rsidR="007960A8" w:rsidRDefault="00A26397">
      <w:pPr>
        <w:pBdr>
          <w:top w:val="nil"/>
          <w:left w:val="nil"/>
          <w:bottom w:val="nil"/>
          <w:right w:val="nil"/>
          <w:between w:val="nil"/>
        </w:pBdr>
        <w:tabs>
          <w:tab w:val="right" w:pos="9248"/>
        </w:tabs>
        <w:spacing w:before="129"/>
        <w:ind w:left="436"/>
        <w:rPr>
          <w:color w:val="000000"/>
        </w:rPr>
      </w:pPr>
      <w:r>
        <w:rPr>
          <w:color w:val="000000"/>
        </w:rPr>
        <w:t>GDPR</w:t>
      </w:r>
      <w:r>
        <w:rPr>
          <w:color w:val="000000"/>
        </w:rPr>
        <w:tab/>
        <w:t>21</w:t>
      </w:r>
    </w:p>
    <w:p w14:paraId="4F2BD76E"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Security</w:t>
      </w:r>
      <w:r>
        <w:rPr>
          <w:color w:val="000000"/>
        </w:rPr>
        <w:tab/>
        <w:t>28</w:t>
      </w:r>
    </w:p>
    <w:p w14:paraId="5FF48434" w14:textId="77777777" w:rsidR="007960A8" w:rsidRDefault="00A26397">
      <w:pPr>
        <w:pBdr>
          <w:top w:val="nil"/>
          <w:left w:val="nil"/>
          <w:bottom w:val="nil"/>
          <w:right w:val="nil"/>
          <w:between w:val="nil"/>
        </w:pBdr>
        <w:tabs>
          <w:tab w:val="right" w:pos="9248"/>
        </w:tabs>
        <w:spacing w:before="126"/>
        <w:ind w:left="436"/>
        <w:rPr>
          <w:color w:val="000000"/>
        </w:rPr>
      </w:pPr>
      <w:r>
        <w:rPr>
          <w:color w:val="000000"/>
        </w:rPr>
        <w:t>Cyber Essentials</w:t>
      </w:r>
      <w:r>
        <w:rPr>
          <w:color w:val="000000"/>
        </w:rPr>
        <w:tab/>
        <w:t>41</w:t>
      </w:r>
    </w:p>
    <w:p w14:paraId="4280B8A6"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Modern Slavery……………………………………………………………………………………43</w:t>
      </w:r>
    </w:p>
    <w:p w14:paraId="5F389883"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Carbon Reduction…………………………………………………………………………………46</w:t>
      </w:r>
    </w:p>
    <w:p w14:paraId="193FBC20"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Payment Spot Checks……………………………………………………………………………54</w:t>
      </w:r>
    </w:p>
    <w:p w14:paraId="3D20C5A2"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Procuring Steel..……..……………………………………………………………………………55</w:t>
      </w:r>
    </w:p>
    <w:p w14:paraId="2D4A9F8F"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Procurement Act……..……………………………………………………………………………57</w:t>
      </w:r>
    </w:p>
    <w:p w14:paraId="22D80446"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St</w:t>
      </w:r>
      <w:r>
        <w:rPr>
          <w:color w:val="000000"/>
        </w:rPr>
        <w:t>aff Transfer……..……………………………………………………………….………………63</w:t>
      </w:r>
    </w:p>
    <w:p w14:paraId="5428A44E"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Intellectual Property…..……………………………………………………………………………130</w:t>
      </w:r>
    </w:p>
    <w:p w14:paraId="36342AFD"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Financial Difficulties…………..……………………………………………………………………207</w:t>
      </w:r>
    </w:p>
    <w:p w14:paraId="0A61FFE9"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Security…………….…..…………………………………………………………………………...214</w:t>
      </w:r>
    </w:p>
    <w:p w14:paraId="6CA33282"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Mandatory Wage Increases…..………………………………</w:t>
      </w:r>
      <w:r>
        <w:rPr>
          <w:color w:val="000000"/>
        </w:rPr>
        <w:t>……………………………………….………………294</w:t>
      </w:r>
    </w:p>
    <w:p w14:paraId="4BD58D27" w14:textId="77777777" w:rsidR="007960A8" w:rsidRDefault="00A26397">
      <w:pPr>
        <w:pBdr>
          <w:top w:val="nil"/>
          <w:left w:val="nil"/>
          <w:bottom w:val="nil"/>
          <w:right w:val="nil"/>
          <w:between w:val="nil"/>
        </w:pBdr>
        <w:tabs>
          <w:tab w:val="right" w:pos="9248"/>
        </w:tabs>
        <w:spacing w:before="127"/>
        <w:ind w:left="436"/>
        <w:rPr>
          <w:color w:val="000000"/>
        </w:rPr>
      </w:pPr>
      <w:r>
        <w:rPr>
          <w:color w:val="000000"/>
        </w:rPr>
        <w:t>Redundancy…………..……………………………………………………………………………296</w:t>
      </w:r>
    </w:p>
    <w:p w14:paraId="5A94E89C" w14:textId="77777777" w:rsidR="007960A8" w:rsidRDefault="00A26397">
      <w:pPr>
        <w:pBdr>
          <w:top w:val="nil"/>
          <w:left w:val="nil"/>
          <w:bottom w:val="nil"/>
          <w:right w:val="nil"/>
          <w:between w:val="nil"/>
        </w:pBdr>
        <w:tabs>
          <w:tab w:val="right" w:pos="9248"/>
        </w:tabs>
        <w:spacing w:before="127"/>
        <w:ind w:left="436"/>
        <w:rPr>
          <w:color w:val="000000"/>
        </w:rPr>
        <w:sectPr w:rsidR="007960A8">
          <w:pgSz w:w="11910" w:h="16840"/>
          <w:pgMar w:top="2080" w:right="1220" w:bottom="1200" w:left="1220" w:header="838" w:footer="1000" w:gutter="0"/>
          <w:cols w:space="720"/>
        </w:sectPr>
      </w:pPr>
      <w:r>
        <w:rPr>
          <w:color w:val="000000"/>
        </w:rPr>
        <w:t>TUPE Premium…………….…..…………………………… ……………………………………302</w:t>
      </w:r>
    </w:p>
    <w:p w14:paraId="1DAC818A" w14:textId="77777777" w:rsidR="007960A8" w:rsidRDefault="007960A8">
      <w:pPr>
        <w:pBdr>
          <w:top w:val="nil"/>
          <w:left w:val="nil"/>
          <w:bottom w:val="nil"/>
          <w:right w:val="nil"/>
          <w:between w:val="nil"/>
        </w:pBdr>
        <w:rPr>
          <w:color w:val="000000"/>
          <w:sz w:val="20"/>
          <w:szCs w:val="20"/>
        </w:rPr>
      </w:pPr>
    </w:p>
    <w:p w14:paraId="7DF24EF1" w14:textId="77777777" w:rsidR="007960A8" w:rsidRDefault="00A26397">
      <w:pPr>
        <w:pBdr>
          <w:top w:val="nil"/>
          <w:left w:val="nil"/>
          <w:bottom w:val="nil"/>
          <w:right w:val="nil"/>
          <w:between w:val="nil"/>
        </w:pBdr>
        <w:spacing w:before="223" w:line="259" w:lineRule="auto"/>
        <w:ind w:right="478"/>
        <w:jc w:val="center"/>
        <w:rPr>
          <w:b/>
          <w:bCs/>
          <w:color w:val="000000"/>
          <w:sz w:val="32"/>
          <w:szCs w:val="32"/>
        </w:rPr>
      </w:pPr>
      <w:r>
        <w:rPr>
          <w:b/>
          <w:bCs/>
          <w:color w:val="000000"/>
          <w:sz w:val="32"/>
          <w:szCs w:val="32"/>
        </w:rPr>
        <w:t>SCHEDULE OF AMENDMENTS TO NEC4 FACILITIES MANAGEMENT CONTRACT</w:t>
      </w:r>
    </w:p>
    <w:p w14:paraId="53CB5C26" w14:textId="77777777" w:rsidR="007960A8" w:rsidRDefault="00A26397">
      <w:pPr>
        <w:pStyle w:val="Heading1"/>
        <w:spacing w:before="242"/>
        <w:ind w:firstLine="220"/>
      </w:pPr>
      <w:r>
        <w:t>Option Z1 - Identified and defined terms</w:t>
      </w:r>
    </w:p>
    <w:p w14:paraId="3B9B0D86" w14:textId="77777777" w:rsidR="007960A8" w:rsidRDefault="007960A8">
      <w:pPr>
        <w:pBdr>
          <w:top w:val="nil"/>
          <w:left w:val="nil"/>
          <w:bottom w:val="nil"/>
          <w:right w:val="nil"/>
          <w:between w:val="nil"/>
        </w:pBdr>
        <w:spacing w:before="10"/>
        <w:rPr>
          <w:b/>
          <w:bCs/>
          <w:color w:val="000000"/>
        </w:rPr>
      </w:pPr>
    </w:p>
    <w:p w14:paraId="4662A0DA" w14:textId="77777777" w:rsidR="007960A8" w:rsidRDefault="00A26397">
      <w:pPr>
        <w:pBdr>
          <w:top w:val="nil"/>
          <w:left w:val="nil"/>
          <w:bottom w:val="nil"/>
          <w:right w:val="nil"/>
          <w:between w:val="nil"/>
        </w:pBdr>
        <w:ind w:left="220"/>
        <w:rPr>
          <w:color w:val="000000"/>
        </w:rPr>
      </w:pPr>
      <w:r>
        <w:rPr>
          <w:color w:val="000000"/>
        </w:rPr>
        <w:t>Insert new clause 11.3 additional defined terms.</w:t>
      </w:r>
    </w:p>
    <w:p w14:paraId="50C1967F" w14:textId="77777777" w:rsidR="007960A8" w:rsidRDefault="007960A8">
      <w:pPr>
        <w:pBdr>
          <w:top w:val="nil"/>
          <w:left w:val="nil"/>
          <w:bottom w:val="nil"/>
          <w:right w:val="nil"/>
          <w:between w:val="nil"/>
        </w:pBdr>
        <w:spacing w:before="8"/>
        <w:rPr>
          <w:color w:val="000000"/>
        </w:rPr>
      </w:pPr>
    </w:p>
    <w:p w14:paraId="2DB77508" w14:textId="77777777" w:rsidR="007960A8" w:rsidRDefault="00A26397">
      <w:pPr>
        <w:pBdr>
          <w:top w:val="nil"/>
          <w:left w:val="nil"/>
          <w:bottom w:val="nil"/>
          <w:right w:val="nil"/>
          <w:between w:val="nil"/>
        </w:pBdr>
        <w:spacing w:line="259" w:lineRule="auto"/>
        <w:ind w:left="220" w:right="388"/>
        <w:rPr>
          <w:color w:val="000000"/>
        </w:rPr>
      </w:pPr>
      <w:r>
        <w:rPr>
          <w:color w:val="000000"/>
        </w:rPr>
        <w:t>11.3 (1) Auditor is:</w:t>
      </w:r>
    </w:p>
    <w:p w14:paraId="72118726" w14:textId="77777777" w:rsidR="007960A8" w:rsidRDefault="007960A8">
      <w:pPr>
        <w:pBdr>
          <w:top w:val="nil"/>
          <w:left w:val="nil"/>
          <w:bottom w:val="nil"/>
          <w:right w:val="nil"/>
          <w:between w:val="nil"/>
        </w:pBdr>
        <w:spacing w:line="259" w:lineRule="auto"/>
        <w:ind w:left="220" w:right="388"/>
        <w:rPr>
          <w:color w:val="000000"/>
        </w:rPr>
      </w:pPr>
    </w:p>
    <w:p w14:paraId="257AB571" w14:textId="77777777" w:rsidR="007960A8" w:rsidRDefault="00A26397">
      <w:pPr>
        <w:widowControl/>
        <w:numPr>
          <w:ilvl w:val="0"/>
          <w:numId w:val="63"/>
        </w:numPr>
        <w:pBdr>
          <w:top w:val="nil"/>
          <w:left w:val="nil"/>
          <w:bottom w:val="nil"/>
          <w:right w:val="nil"/>
          <w:between w:val="nil"/>
        </w:pBdr>
        <w:spacing w:after="240" w:line="360" w:lineRule="auto"/>
        <w:jc w:val="both"/>
      </w:pPr>
      <w:r>
        <w:rPr>
          <w:color w:val="000000"/>
        </w:rPr>
        <w:t xml:space="preserve">the </w:t>
      </w:r>
      <w:r>
        <w:rPr>
          <w:i/>
          <w:iCs/>
          <w:color w:val="000000"/>
        </w:rPr>
        <w:t>Client’s</w:t>
      </w:r>
      <w:r>
        <w:rPr>
          <w:color w:val="000000"/>
        </w:rPr>
        <w:t xml:space="preserve"> internal and external auditors;</w:t>
      </w:r>
    </w:p>
    <w:p w14:paraId="6F8F749C" w14:textId="77777777" w:rsidR="007960A8" w:rsidRDefault="00A26397">
      <w:pPr>
        <w:widowControl/>
        <w:numPr>
          <w:ilvl w:val="0"/>
          <w:numId w:val="63"/>
        </w:numPr>
        <w:pBdr>
          <w:top w:val="nil"/>
          <w:left w:val="nil"/>
          <w:bottom w:val="nil"/>
          <w:right w:val="nil"/>
          <w:between w:val="nil"/>
        </w:pBdr>
        <w:spacing w:after="240" w:line="360" w:lineRule="auto"/>
        <w:jc w:val="both"/>
      </w:pPr>
      <w:r>
        <w:rPr>
          <w:color w:val="000000"/>
        </w:rPr>
        <w:t xml:space="preserve">the </w:t>
      </w:r>
      <w:r>
        <w:rPr>
          <w:i/>
          <w:iCs/>
          <w:color w:val="000000"/>
        </w:rPr>
        <w:t>Client’s</w:t>
      </w:r>
      <w:r>
        <w:rPr>
          <w:color w:val="000000"/>
        </w:rPr>
        <w:t xml:space="preserve"> statutory or regulatory auditors;</w:t>
      </w:r>
    </w:p>
    <w:p w14:paraId="6D79663A" w14:textId="77777777" w:rsidR="007960A8" w:rsidRDefault="00A26397">
      <w:pPr>
        <w:widowControl/>
        <w:numPr>
          <w:ilvl w:val="0"/>
          <w:numId w:val="63"/>
        </w:numPr>
        <w:pBdr>
          <w:top w:val="nil"/>
          <w:left w:val="nil"/>
          <w:bottom w:val="nil"/>
          <w:right w:val="nil"/>
          <w:between w:val="nil"/>
        </w:pBdr>
        <w:spacing w:after="240" w:line="360" w:lineRule="auto"/>
        <w:jc w:val="both"/>
      </w:pPr>
      <w:r>
        <w:rPr>
          <w:color w:val="000000"/>
        </w:rPr>
        <w:t>the Comptroller and Auditor General, their staff and/or any appointed representatives of the National Audit Office;</w:t>
      </w:r>
    </w:p>
    <w:p w14:paraId="6553AC17" w14:textId="77777777" w:rsidR="007960A8" w:rsidRDefault="00A26397">
      <w:pPr>
        <w:widowControl/>
        <w:numPr>
          <w:ilvl w:val="0"/>
          <w:numId w:val="63"/>
        </w:numPr>
        <w:pBdr>
          <w:top w:val="nil"/>
          <w:left w:val="nil"/>
          <w:bottom w:val="nil"/>
          <w:right w:val="nil"/>
          <w:between w:val="nil"/>
        </w:pBdr>
        <w:spacing w:after="240" w:line="360" w:lineRule="auto"/>
        <w:jc w:val="both"/>
      </w:pPr>
      <w:r>
        <w:rPr>
          <w:color w:val="000000"/>
        </w:rPr>
        <w:t>HM Treasury or the Cabinet Office;</w:t>
      </w:r>
    </w:p>
    <w:p w14:paraId="55FDD348" w14:textId="77777777" w:rsidR="007960A8" w:rsidRDefault="00A26397">
      <w:pPr>
        <w:widowControl/>
        <w:numPr>
          <w:ilvl w:val="0"/>
          <w:numId w:val="63"/>
        </w:numPr>
        <w:pBdr>
          <w:top w:val="nil"/>
          <w:left w:val="nil"/>
          <w:bottom w:val="nil"/>
          <w:right w:val="nil"/>
          <w:between w:val="nil"/>
        </w:pBdr>
        <w:spacing w:after="240" w:line="360" w:lineRule="auto"/>
        <w:jc w:val="both"/>
      </w:pPr>
      <w:r>
        <w:rPr>
          <w:color w:val="000000"/>
        </w:rPr>
        <w:t xml:space="preserve">any party formally appointed by the </w:t>
      </w:r>
      <w:r>
        <w:rPr>
          <w:i/>
          <w:iCs/>
          <w:color w:val="000000"/>
        </w:rPr>
        <w:t xml:space="preserve">Client </w:t>
      </w:r>
      <w:r>
        <w:rPr>
          <w:color w:val="000000"/>
        </w:rPr>
        <w:t>to carry out audit or similar review functions; and</w:t>
      </w:r>
    </w:p>
    <w:p w14:paraId="059F64B3" w14:textId="77777777" w:rsidR="007960A8" w:rsidRDefault="00A26397">
      <w:pPr>
        <w:numPr>
          <w:ilvl w:val="0"/>
          <w:numId w:val="63"/>
        </w:numPr>
        <w:pBdr>
          <w:top w:val="nil"/>
          <w:left w:val="nil"/>
          <w:bottom w:val="nil"/>
          <w:right w:val="nil"/>
          <w:between w:val="nil"/>
        </w:pBdr>
        <w:spacing w:line="259" w:lineRule="auto"/>
        <w:ind w:right="388"/>
      </w:pPr>
      <w:r>
        <w:rPr>
          <w:color w:val="000000"/>
        </w:rPr>
        <w:t>successors</w:t>
      </w:r>
      <w:r>
        <w:rPr>
          <w:color w:val="000000"/>
        </w:rPr>
        <w:t xml:space="preserve"> or assigns of any of the above;</w:t>
      </w:r>
    </w:p>
    <w:p w14:paraId="4EE6DDF3" w14:textId="77777777" w:rsidR="007960A8" w:rsidRDefault="007960A8">
      <w:pPr>
        <w:pBdr>
          <w:top w:val="nil"/>
          <w:left w:val="nil"/>
          <w:bottom w:val="nil"/>
          <w:right w:val="nil"/>
          <w:between w:val="nil"/>
        </w:pBdr>
        <w:spacing w:line="259" w:lineRule="auto"/>
        <w:ind w:left="220" w:right="388"/>
        <w:rPr>
          <w:color w:val="000000"/>
        </w:rPr>
      </w:pPr>
    </w:p>
    <w:p w14:paraId="09DD9297" w14:textId="77777777" w:rsidR="007960A8" w:rsidRDefault="00A26397">
      <w:pPr>
        <w:pBdr>
          <w:top w:val="nil"/>
          <w:left w:val="nil"/>
          <w:bottom w:val="nil"/>
          <w:right w:val="nil"/>
          <w:between w:val="nil"/>
        </w:pBdr>
        <w:spacing w:line="259" w:lineRule="auto"/>
        <w:ind w:left="220" w:right="388"/>
        <w:rPr>
          <w:color w:val="000000"/>
        </w:rPr>
      </w:pPr>
      <w:r>
        <w:rPr>
          <w:color w:val="000000"/>
        </w:rPr>
        <w:t>11.3 (2) the Baseline Personal Security Standard is the HMG Baseline Personnel Security Standard found at https://assets.publishing.service.gov.uk/media/5b1699 93ed915d2cbae4af03/HMG_Baseline_Personnel_Security_Standard_-_</w:t>
      </w:r>
      <w:r>
        <w:rPr>
          <w:color w:val="000000"/>
        </w:rPr>
        <w:t>May_2018.pdf, as replaced or updated from time to time, or equivalent standard using Good Industry Practice;</w:t>
      </w:r>
    </w:p>
    <w:p w14:paraId="144D6022" w14:textId="77777777" w:rsidR="007960A8" w:rsidRDefault="007960A8">
      <w:pPr>
        <w:pBdr>
          <w:top w:val="nil"/>
          <w:left w:val="nil"/>
          <w:bottom w:val="nil"/>
          <w:right w:val="nil"/>
          <w:between w:val="nil"/>
        </w:pBdr>
        <w:spacing w:line="259" w:lineRule="auto"/>
        <w:ind w:left="220" w:right="388"/>
        <w:rPr>
          <w:color w:val="000000"/>
        </w:rPr>
      </w:pPr>
    </w:p>
    <w:p w14:paraId="776DB172" w14:textId="77777777" w:rsidR="007960A8" w:rsidRDefault="00A26397">
      <w:pPr>
        <w:pBdr>
          <w:top w:val="nil"/>
          <w:left w:val="nil"/>
          <w:bottom w:val="nil"/>
          <w:right w:val="nil"/>
          <w:between w:val="nil"/>
        </w:pBdr>
        <w:spacing w:line="259" w:lineRule="auto"/>
        <w:ind w:left="220" w:right="388"/>
        <w:rPr>
          <w:color w:val="000000"/>
        </w:rPr>
      </w:pPr>
      <w:r>
        <w:rPr>
          <w:color w:val="000000"/>
        </w:rPr>
        <w:t>11.3 (3) Change of Control is a change of control within the meaning of Section 450 of the Corporation Tax Act 2010;</w:t>
      </w:r>
    </w:p>
    <w:p w14:paraId="463D4BFD" w14:textId="77777777" w:rsidR="007960A8" w:rsidRDefault="007960A8">
      <w:pPr>
        <w:pBdr>
          <w:top w:val="nil"/>
          <w:left w:val="nil"/>
          <w:bottom w:val="nil"/>
          <w:right w:val="nil"/>
          <w:between w:val="nil"/>
        </w:pBdr>
        <w:spacing w:line="259" w:lineRule="auto"/>
        <w:ind w:left="220" w:right="388"/>
        <w:rPr>
          <w:color w:val="000000"/>
        </w:rPr>
      </w:pPr>
    </w:p>
    <w:p w14:paraId="38990034" w14:textId="77777777" w:rsidR="007960A8" w:rsidRDefault="00A26397">
      <w:pPr>
        <w:pBdr>
          <w:top w:val="nil"/>
          <w:left w:val="nil"/>
          <w:bottom w:val="nil"/>
          <w:right w:val="nil"/>
          <w:between w:val="nil"/>
        </w:pBdr>
        <w:spacing w:line="259" w:lineRule="auto"/>
        <w:ind w:left="220" w:right="388"/>
        <w:rPr>
          <w:color w:val="000000"/>
        </w:rPr>
      </w:pPr>
      <w:r>
        <w:rPr>
          <w:color w:val="000000"/>
        </w:rPr>
        <w:t xml:space="preserve">11.3 (4) Client Confidential Information is all Personal Data and any information, however it is conveyed, that relates to the business, affairs, developments, trade secrets, know-how, personnel, and contractors of the </w:t>
      </w:r>
      <w:r>
        <w:rPr>
          <w:i/>
          <w:iCs/>
          <w:color w:val="000000"/>
        </w:rPr>
        <w:t>Client</w:t>
      </w:r>
      <w:r>
        <w:rPr>
          <w:color w:val="000000"/>
        </w:rPr>
        <w:t xml:space="preserve">, including all IPRs, together </w:t>
      </w:r>
      <w:r>
        <w:rPr>
          <w:color w:val="000000"/>
        </w:rPr>
        <w:t>with all information derived from any of the above, and any other information clearly designated as being confidential (whether or not it is marked "confidential") or which ought reasonably be considered to be confidential.</w:t>
      </w:r>
    </w:p>
    <w:p w14:paraId="60A995D1" w14:textId="77777777" w:rsidR="007960A8" w:rsidRDefault="007960A8">
      <w:pPr>
        <w:pBdr>
          <w:top w:val="nil"/>
          <w:left w:val="nil"/>
          <w:bottom w:val="nil"/>
          <w:right w:val="nil"/>
          <w:between w:val="nil"/>
        </w:pBdr>
        <w:spacing w:before="8"/>
        <w:rPr>
          <w:color w:val="000000"/>
          <w:sz w:val="20"/>
          <w:szCs w:val="20"/>
        </w:rPr>
      </w:pPr>
    </w:p>
    <w:p w14:paraId="64E56557" w14:textId="77777777" w:rsidR="007960A8" w:rsidRDefault="00A26397">
      <w:pPr>
        <w:numPr>
          <w:ilvl w:val="1"/>
          <w:numId w:val="58"/>
        </w:numPr>
        <w:pBdr>
          <w:top w:val="nil"/>
          <w:left w:val="nil"/>
          <w:bottom w:val="nil"/>
          <w:right w:val="nil"/>
          <w:between w:val="nil"/>
        </w:pBdr>
        <w:tabs>
          <w:tab w:val="left" w:pos="710"/>
        </w:tabs>
        <w:spacing w:line="259" w:lineRule="auto"/>
        <w:ind w:right="504" w:firstLine="0"/>
        <w:rPr>
          <w:color w:val="000000"/>
        </w:rPr>
      </w:pPr>
      <w:r>
        <w:rPr>
          <w:color w:val="000000"/>
        </w:rPr>
        <w:t>(5) Client Data is the data, te</w:t>
      </w:r>
      <w:r>
        <w:rPr>
          <w:color w:val="000000"/>
        </w:rPr>
        <w:t>xt, drawings, diagrams, images or sounds (together with any database made up of any of these) which are embodied in any electronic, magnetic, optical or tangible media, and</w:t>
      </w:r>
    </w:p>
    <w:p w14:paraId="4F6DA275" w14:textId="77777777" w:rsidR="007960A8" w:rsidRDefault="007960A8">
      <w:pPr>
        <w:pBdr>
          <w:top w:val="nil"/>
          <w:left w:val="nil"/>
          <w:bottom w:val="nil"/>
          <w:right w:val="nil"/>
          <w:between w:val="nil"/>
        </w:pBdr>
        <w:spacing w:before="8"/>
        <w:rPr>
          <w:color w:val="000000"/>
          <w:sz w:val="20"/>
          <w:szCs w:val="20"/>
        </w:rPr>
      </w:pPr>
    </w:p>
    <w:p w14:paraId="3BFE32E7" w14:textId="77777777" w:rsidR="007960A8" w:rsidRDefault="00A26397">
      <w:pPr>
        <w:numPr>
          <w:ilvl w:val="2"/>
          <w:numId w:val="58"/>
        </w:numPr>
        <w:pBdr>
          <w:top w:val="nil"/>
          <w:left w:val="nil"/>
          <w:bottom w:val="nil"/>
          <w:right w:val="nil"/>
          <w:between w:val="nil"/>
        </w:pBdr>
        <w:tabs>
          <w:tab w:val="left" w:pos="941"/>
        </w:tabs>
        <w:ind w:hanging="361"/>
        <w:rPr>
          <w:color w:val="000000"/>
        </w:rPr>
      </w:pPr>
      <w:r>
        <w:rPr>
          <w:color w:val="000000"/>
        </w:rPr>
        <w:lastRenderedPageBreak/>
        <w:t xml:space="preserve">which are supplied to the </w:t>
      </w:r>
      <w:r>
        <w:rPr>
          <w:i/>
          <w:iCs/>
          <w:color w:val="000000"/>
        </w:rPr>
        <w:t xml:space="preserve">Service Provider </w:t>
      </w:r>
      <w:r>
        <w:rPr>
          <w:color w:val="000000"/>
        </w:rPr>
        <w:t xml:space="preserve">by or on behalf of the </w:t>
      </w:r>
      <w:r>
        <w:rPr>
          <w:i/>
          <w:iCs/>
          <w:color w:val="000000"/>
        </w:rPr>
        <w:t>Client</w:t>
      </w:r>
      <w:r>
        <w:rPr>
          <w:color w:val="000000"/>
        </w:rPr>
        <w:t>,</w:t>
      </w:r>
    </w:p>
    <w:p w14:paraId="21F39DF0" w14:textId="77777777" w:rsidR="007960A8" w:rsidRDefault="007960A8">
      <w:pPr>
        <w:pBdr>
          <w:top w:val="nil"/>
          <w:left w:val="nil"/>
          <w:bottom w:val="nil"/>
          <w:right w:val="nil"/>
          <w:between w:val="nil"/>
        </w:pBdr>
        <w:spacing w:before="9"/>
        <w:rPr>
          <w:color w:val="000000"/>
          <w:sz w:val="20"/>
          <w:szCs w:val="20"/>
        </w:rPr>
      </w:pPr>
    </w:p>
    <w:p w14:paraId="19FEC7BF" w14:textId="77777777" w:rsidR="007960A8" w:rsidRDefault="00A26397">
      <w:pPr>
        <w:numPr>
          <w:ilvl w:val="2"/>
          <w:numId w:val="58"/>
        </w:numPr>
        <w:pBdr>
          <w:top w:val="nil"/>
          <w:left w:val="nil"/>
          <w:bottom w:val="nil"/>
          <w:right w:val="nil"/>
          <w:between w:val="nil"/>
        </w:pBdr>
        <w:tabs>
          <w:tab w:val="left" w:pos="941"/>
        </w:tabs>
        <w:spacing w:before="1" w:line="237" w:lineRule="auto"/>
        <w:ind w:right="476"/>
        <w:rPr>
          <w:color w:val="000000"/>
        </w:rPr>
      </w:pPr>
      <w:r>
        <w:rPr>
          <w:color w:val="000000"/>
        </w:rPr>
        <w:t xml:space="preserve">which the </w:t>
      </w:r>
      <w:r>
        <w:rPr>
          <w:i/>
          <w:iCs/>
          <w:color w:val="000000"/>
        </w:rPr>
        <w:t xml:space="preserve">Service Provider </w:t>
      </w:r>
      <w:r>
        <w:rPr>
          <w:color w:val="000000"/>
        </w:rPr>
        <w:t>is required to generate, process, store or transmit pursuant to this contract or</w:t>
      </w:r>
    </w:p>
    <w:p w14:paraId="5E41AFC5" w14:textId="77777777" w:rsidR="007960A8" w:rsidRDefault="007960A8">
      <w:pPr>
        <w:pBdr>
          <w:top w:val="nil"/>
          <w:left w:val="nil"/>
          <w:bottom w:val="nil"/>
          <w:right w:val="nil"/>
          <w:between w:val="nil"/>
        </w:pBdr>
        <w:spacing w:before="1"/>
        <w:rPr>
          <w:color w:val="000000"/>
          <w:sz w:val="21"/>
          <w:szCs w:val="21"/>
        </w:rPr>
      </w:pPr>
    </w:p>
    <w:p w14:paraId="1900FA0D" w14:textId="77777777" w:rsidR="007960A8" w:rsidRDefault="00A26397">
      <w:pPr>
        <w:numPr>
          <w:ilvl w:val="2"/>
          <w:numId w:val="58"/>
        </w:numPr>
        <w:pBdr>
          <w:top w:val="nil"/>
          <w:left w:val="nil"/>
          <w:bottom w:val="nil"/>
          <w:right w:val="nil"/>
          <w:between w:val="nil"/>
        </w:pBdr>
        <w:tabs>
          <w:tab w:val="left" w:pos="941"/>
        </w:tabs>
        <w:spacing w:before="1" w:line="237" w:lineRule="auto"/>
        <w:ind w:right="377"/>
        <w:rPr>
          <w:color w:val="000000"/>
        </w:rPr>
      </w:pPr>
      <w:r>
        <w:rPr>
          <w:color w:val="000000"/>
        </w:rPr>
        <w:t xml:space="preserve">which are any Personal Data for which the </w:t>
      </w:r>
      <w:r>
        <w:rPr>
          <w:i/>
          <w:iCs/>
          <w:color w:val="000000"/>
        </w:rPr>
        <w:t xml:space="preserve">Client </w:t>
      </w:r>
      <w:r>
        <w:rPr>
          <w:color w:val="000000"/>
        </w:rPr>
        <w:t xml:space="preserve">is the Data Controller to the extent that such Personal Data is held or processed by the </w:t>
      </w:r>
      <w:r>
        <w:rPr>
          <w:i/>
          <w:iCs/>
          <w:color w:val="000000"/>
        </w:rPr>
        <w:t>Service Provider</w:t>
      </w:r>
      <w:r>
        <w:rPr>
          <w:color w:val="000000"/>
        </w:rPr>
        <w:t>.</w:t>
      </w:r>
    </w:p>
    <w:p w14:paraId="55858443" w14:textId="77777777" w:rsidR="007960A8" w:rsidRDefault="007960A8">
      <w:pPr>
        <w:pBdr>
          <w:top w:val="nil"/>
          <w:left w:val="nil"/>
          <w:bottom w:val="nil"/>
          <w:right w:val="nil"/>
          <w:between w:val="nil"/>
        </w:pBdr>
        <w:rPr>
          <w:color w:val="000000"/>
          <w:sz w:val="21"/>
          <w:szCs w:val="21"/>
        </w:rPr>
      </w:pPr>
    </w:p>
    <w:p w14:paraId="7E2FD960" w14:textId="77777777" w:rsidR="007960A8" w:rsidRDefault="00A26397">
      <w:pPr>
        <w:pBdr>
          <w:top w:val="nil"/>
          <w:left w:val="nil"/>
          <w:bottom w:val="nil"/>
          <w:right w:val="nil"/>
          <w:between w:val="nil"/>
        </w:pBdr>
        <w:ind w:left="220" w:right="217"/>
        <w:rPr>
          <w:color w:val="000000"/>
        </w:rPr>
      </w:pPr>
      <w:r>
        <w:rPr>
          <w:color w:val="000000"/>
        </w:rPr>
        <w:t xml:space="preserve">11 (6) Client’s Premises are premises owned, occupied or leased by the Client and the site of any works to which the </w:t>
      </w:r>
      <w:r>
        <w:rPr>
          <w:i/>
          <w:iCs/>
          <w:color w:val="000000"/>
        </w:rPr>
        <w:t>service</w:t>
      </w:r>
      <w:r>
        <w:rPr>
          <w:color w:val="000000"/>
        </w:rPr>
        <w:t xml:space="preserve"> relates.</w:t>
      </w:r>
    </w:p>
    <w:p w14:paraId="0CB32C51" w14:textId="77777777" w:rsidR="007960A8" w:rsidRDefault="007960A8">
      <w:pPr>
        <w:pBdr>
          <w:top w:val="nil"/>
          <w:left w:val="nil"/>
          <w:bottom w:val="nil"/>
          <w:right w:val="nil"/>
          <w:between w:val="nil"/>
        </w:pBdr>
        <w:ind w:left="220" w:right="217"/>
        <w:rPr>
          <w:color w:val="000000"/>
        </w:rPr>
      </w:pPr>
    </w:p>
    <w:p w14:paraId="50B7DD64" w14:textId="77777777" w:rsidR="007960A8" w:rsidRDefault="00A26397">
      <w:pPr>
        <w:pBdr>
          <w:top w:val="nil"/>
          <w:left w:val="nil"/>
          <w:bottom w:val="nil"/>
          <w:right w:val="nil"/>
          <w:between w:val="nil"/>
        </w:pBdr>
        <w:ind w:left="220" w:right="217"/>
        <w:rPr>
          <w:color w:val="000000"/>
        </w:rPr>
      </w:pPr>
      <w:r>
        <w:rPr>
          <w:color w:val="000000"/>
        </w:rPr>
        <w:t>11.3 (7) Commercially Sensitive Information is the information agreed between the Parties (if any) comprising the informa</w:t>
      </w:r>
      <w:r>
        <w:rPr>
          <w:color w:val="000000"/>
        </w:rPr>
        <w:t xml:space="preserve">tion of a commercially sensitive nature relating to the </w:t>
      </w:r>
      <w:r>
        <w:rPr>
          <w:i/>
          <w:iCs/>
          <w:color w:val="000000"/>
        </w:rPr>
        <w:t>Service Provider</w:t>
      </w:r>
      <w:r>
        <w:rPr>
          <w:color w:val="000000"/>
        </w:rPr>
        <w:t xml:space="preserve">, the charges for the </w:t>
      </w:r>
      <w:r>
        <w:rPr>
          <w:i/>
          <w:iCs/>
          <w:color w:val="000000"/>
        </w:rPr>
        <w:t>service</w:t>
      </w:r>
      <w:r>
        <w:rPr>
          <w:color w:val="000000"/>
        </w:rPr>
        <w:t xml:space="preserve">, its IPR or its business or which the </w:t>
      </w:r>
      <w:r>
        <w:rPr>
          <w:i/>
          <w:iCs/>
          <w:color w:val="000000"/>
        </w:rPr>
        <w:t xml:space="preserve">Service Provider </w:t>
      </w:r>
      <w:r>
        <w:rPr>
          <w:color w:val="000000"/>
        </w:rPr>
        <w:t xml:space="preserve">has indicated to the </w:t>
      </w:r>
      <w:r>
        <w:rPr>
          <w:i/>
          <w:iCs/>
          <w:color w:val="000000"/>
        </w:rPr>
        <w:t xml:space="preserve">Client </w:t>
      </w:r>
      <w:r>
        <w:rPr>
          <w:color w:val="000000"/>
        </w:rPr>
        <w:t xml:space="preserve">that, if disclosed by the </w:t>
      </w:r>
      <w:r>
        <w:rPr>
          <w:i/>
          <w:iCs/>
          <w:color w:val="000000"/>
        </w:rPr>
        <w:t>Client</w:t>
      </w:r>
      <w:r>
        <w:rPr>
          <w:color w:val="000000"/>
        </w:rPr>
        <w:t xml:space="preserve">, would cause the </w:t>
      </w:r>
      <w:r>
        <w:rPr>
          <w:i/>
          <w:iCs/>
          <w:color w:val="000000"/>
        </w:rPr>
        <w:t xml:space="preserve">Service Provider </w:t>
      </w:r>
      <w:r>
        <w:rPr>
          <w:color w:val="000000"/>
        </w:rPr>
        <w:t>sign</w:t>
      </w:r>
      <w:r>
        <w:rPr>
          <w:color w:val="000000"/>
        </w:rPr>
        <w:t>ificant commercial disadvantage or material financial loss.</w:t>
      </w:r>
    </w:p>
    <w:p w14:paraId="38B5277C" w14:textId="77777777" w:rsidR="007960A8" w:rsidRDefault="007960A8">
      <w:pPr>
        <w:pBdr>
          <w:top w:val="nil"/>
          <w:left w:val="nil"/>
          <w:bottom w:val="nil"/>
          <w:right w:val="nil"/>
          <w:between w:val="nil"/>
        </w:pBdr>
        <w:spacing w:before="10"/>
        <w:rPr>
          <w:color w:val="000000"/>
          <w:sz w:val="20"/>
          <w:szCs w:val="20"/>
        </w:rPr>
      </w:pPr>
    </w:p>
    <w:p w14:paraId="18B897F1" w14:textId="77777777" w:rsidR="007960A8" w:rsidRDefault="00A26397">
      <w:pPr>
        <w:pBdr>
          <w:top w:val="nil"/>
          <w:left w:val="nil"/>
          <w:bottom w:val="nil"/>
          <w:right w:val="nil"/>
          <w:between w:val="nil"/>
        </w:pBdr>
        <w:ind w:left="220" w:right="1288"/>
        <w:rPr>
          <w:color w:val="000000"/>
        </w:rPr>
      </w:pPr>
      <w:r>
        <w:rPr>
          <w:color w:val="000000"/>
        </w:rPr>
        <w:t>11.3 (8) Confidential Information is the Client's Confidential Information and/or the Service Provider's Confidential Information.</w:t>
      </w:r>
    </w:p>
    <w:p w14:paraId="7CA9AE7F" w14:textId="77777777" w:rsidR="007960A8" w:rsidRDefault="007960A8">
      <w:pPr>
        <w:pBdr>
          <w:top w:val="nil"/>
          <w:left w:val="nil"/>
          <w:bottom w:val="nil"/>
          <w:right w:val="nil"/>
          <w:between w:val="nil"/>
        </w:pBdr>
        <w:spacing w:before="11"/>
        <w:rPr>
          <w:color w:val="000000"/>
          <w:sz w:val="20"/>
          <w:szCs w:val="20"/>
        </w:rPr>
      </w:pPr>
    </w:p>
    <w:p w14:paraId="149835F3" w14:textId="77777777" w:rsidR="007960A8" w:rsidRDefault="00A26397">
      <w:pPr>
        <w:pBdr>
          <w:top w:val="nil"/>
          <w:left w:val="nil"/>
          <w:bottom w:val="nil"/>
          <w:right w:val="nil"/>
          <w:between w:val="nil"/>
        </w:pBdr>
        <w:ind w:left="220" w:right="560"/>
        <w:rPr>
          <w:i/>
          <w:iCs/>
          <w:color w:val="000000"/>
        </w:rPr>
      </w:pPr>
      <w:r>
        <w:rPr>
          <w:color w:val="000000"/>
        </w:rPr>
        <w:t xml:space="preserve">11.3 (9) Contracting Body is any Contracting Body as defined in Regulation 5(2) of the Public Contracts (Works, Service and </w:t>
      </w:r>
      <w:r>
        <w:rPr>
          <w:color w:val="000000"/>
        </w:rPr>
        <w:t>Supply) (Amendment) Regulations 2000 other than the Client</w:t>
      </w:r>
      <w:r>
        <w:rPr>
          <w:i/>
          <w:iCs/>
          <w:color w:val="000000"/>
        </w:rPr>
        <w:t>.</w:t>
      </w:r>
    </w:p>
    <w:p w14:paraId="2E5A6FD7" w14:textId="77777777" w:rsidR="007960A8" w:rsidRDefault="007960A8">
      <w:pPr>
        <w:pBdr>
          <w:top w:val="nil"/>
          <w:left w:val="nil"/>
          <w:bottom w:val="nil"/>
          <w:right w:val="nil"/>
          <w:between w:val="nil"/>
        </w:pBdr>
        <w:rPr>
          <w:i/>
          <w:iCs/>
          <w:color w:val="000000"/>
          <w:sz w:val="21"/>
          <w:szCs w:val="21"/>
        </w:rPr>
      </w:pPr>
    </w:p>
    <w:p w14:paraId="5E81464C" w14:textId="77777777" w:rsidR="007960A8" w:rsidRDefault="00A26397">
      <w:pPr>
        <w:pBdr>
          <w:top w:val="nil"/>
          <w:left w:val="nil"/>
          <w:bottom w:val="nil"/>
          <w:right w:val="nil"/>
          <w:between w:val="nil"/>
        </w:pBdr>
        <w:spacing w:line="259" w:lineRule="auto"/>
        <w:ind w:left="220" w:right="243"/>
        <w:rPr>
          <w:color w:val="000000"/>
        </w:rPr>
      </w:pPr>
      <w:r>
        <w:rPr>
          <w:color w:val="000000"/>
        </w:rPr>
        <w:t xml:space="preserve">11.3 (10) Service Provider's Confidential Information is any information, however it is conveyed, that relates to the business, affairs, developments, trade secrets, know-how, personnel and consultants and Subcontractors of the </w:t>
      </w:r>
      <w:r>
        <w:rPr>
          <w:i/>
          <w:iCs/>
          <w:color w:val="000000"/>
        </w:rPr>
        <w:t>Service Provider</w:t>
      </w:r>
      <w:r>
        <w:rPr>
          <w:color w:val="000000"/>
        </w:rPr>
        <w:t xml:space="preserve">, including </w:t>
      </w:r>
      <w:r>
        <w:rPr>
          <w:color w:val="000000"/>
        </w:rPr>
        <w:t>IPRs, together with all information derived from the above, and any other information clearly designated as being confidential (whether or not it is marked as "confidential") or which ought reasonably to be considered to be confidential, including the Comm</w:t>
      </w:r>
      <w:r>
        <w:rPr>
          <w:color w:val="000000"/>
        </w:rPr>
        <w:t>ercially Sensitive Information.</w:t>
      </w:r>
    </w:p>
    <w:p w14:paraId="2072BE7C" w14:textId="77777777" w:rsidR="007960A8" w:rsidRDefault="007960A8">
      <w:pPr>
        <w:pBdr>
          <w:top w:val="nil"/>
          <w:left w:val="nil"/>
          <w:bottom w:val="nil"/>
          <w:right w:val="nil"/>
          <w:between w:val="nil"/>
        </w:pBdr>
        <w:spacing w:before="8"/>
        <w:rPr>
          <w:color w:val="000000"/>
          <w:sz w:val="20"/>
          <w:szCs w:val="20"/>
        </w:rPr>
      </w:pPr>
    </w:p>
    <w:p w14:paraId="6D024B99" w14:textId="77777777" w:rsidR="007960A8" w:rsidRDefault="00A26397">
      <w:pPr>
        <w:pBdr>
          <w:top w:val="nil"/>
          <w:left w:val="nil"/>
          <w:bottom w:val="nil"/>
          <w:right w:val="nil"/>
          <w:between w:val="nil"/>
        </w:pBdr>
        <w:ind w:left="220"/>
        <w:rPr>
          <w:color w:val="000000"/>
          <w:sz w:val="20"/>
          <w:szCs w:val="20"/>
        </w:rPr>
      </w:pPr>
      <w:r>
        <w:rPr>
          <w:color w:val="000000"/>
        </w:rPr>
        <w:t>11.3 (11) Crown Body is any department, office or agency of the Crown.</w:t>
      </w:r>
    </w:p>
    <w:p w14:paraId="0C1B2166" w14:textId="77777777" w:rsidR="007960A8" w:rsidRDefault="007960A8">
      <w:pPr>
        <w:pBdr>
          <w:top w:val="nil"/>
          <w:left w:val="nil"/>
          <w:bottom w:val="nil"/>
          <w:right w:val="nil"/>
          <w:between w:val="nil"/>
        </w:pBdr>
        <w:spacing w:before="9"/>
        <w:rPr>
          <w:color w:val="000000"/>
          <w:sz w:val="19"/>
          <w:szCs w:val="19"/>
        </w:rPr>
      </w:pPr>
    </w:p>
    <w:p w14:paraId="07DD006D" w14:textId="77777777" w:rsidR="007960A8" w:rsidRDefault="00A26397">
      <w:pPr>
        <w:pBdr>
          <w:top w:val="nil"/>
          <w:left w:val="nil"/>
          <w:bottom w:val="nil"/>
          <w:right w:val="nil"/>
          <w:between w:val="nil"/>
        </w:pBdr>
        <w:spacing w:before="1"/>
        <w:ind w:left="220"/>
        <w:rPr>
          <w:color w:val="000000"/>
        </w:rPr>
      </w:pPr>
      <w:r>
        <w:rPr>
          <w:color w:val="000000"/>
        </w:rPr>
        <w:t>11.3 (12) DASVOIT is the Disclosure of Tax Avoidance Schemes: VAT and other indirect taxes contained in the Finance (No.2) Act 2017.</w:t>
      </w:r>
    </w:p>
    <w:p w14:paraId="44661C2E" w14:textId="77777777" w:rsidR="007960A8" w:rsidRDefault="007960A8">
      <w:pPr>
        <w:pBdr>
          <w:top w:val="nil"/>
          <w:left w:val="nil"/>
          <w:bottom w:val="nil"/>
          <w:right w:val="nil"/>
          <w:between w:val="nil"/>
        </w:pBdr>
        <w:spacing w:before="7"/>
        <w:rPr>
          <w:color w:val="000000"/>
        </w:rPr>
      </w:pPr>
    </w:p>
    <w:p w14:paraId="1C53EE99" w14:textId="77777777" w:rsidR="007960A8" w:rsidRDefault="00A26397">
      <w:pPr>
        <w:pBdr>
          <w:top w:val="nil"/>
          <w:left w:val="nil"/>
          <w:bottom w:val="nil"/>
          <w:right w:val="nil"/>
          <w:between w:val="nil"/>
        </w:pBdr>
        <w:spacing w:line="259" w:lineRule="auto"/>
        <w:ind w:left="220" w:right="230"/>
        <w:rPr>
          <w:color w:val="000000"/>
        </w:rPr>
      </w:pPr>
      <w:r>
        <w:rPr>
          <w:color w:val="000000"/>
        </w:rPr>
        <w:t>11.3 (13) Data Controller has the meaning given to it in the Data Protection Legislation.</w:t>
      </w:r>
    </w:p>
    <w:p w14:paraId="5AF52DE9" w14:textId="77777777" w:rsidR="007960A8" w:rsidRDefault="007960A8">
      <w:pPr>
        <w:pBdr>
          <w:top w:val="nil"/>
          <w:left w:val="nil"/>
          <w:bottom w:val="nil"/>
          <w:right w:val="nil"/>
          <w:between w:val="nil"/>
        </w:pBdr>
        <w:spacing w:line="259" w:lineRule="auto"/>
        <w:ind w:left="220" w:right="230"/>
        <w:rPr>
          <w:color w:val="000000"/>
        </w:rPr>
      </w:pPr>
    </w:p>
    <w:p w14:paraId="0AEF24AE" w14:textId="77777777" w:rsidR="007960A8" w:rsidRDefault="00A26397">
      <w:pPr>
        <w:pBdr>
          <w:top w:val="nil"/>
          <w:left w:val="nil"/>
          <w:bottom w:val="nil"/>
          <w:right w:val="nil"/>
          <w:between w:val="nil"/>
        </w:pBdr>
        <w:spacing w:line="259" w:lineRule="auto"/>
        <w:ind w:left="220" w:right="230"/>
        <w:rPr>
          <w:color w:val="000000"/>
        </w:rPr>
      </w:pPr>
      <w:r>
        <w:rPr>
          <w:color w:val="000000"/>
        </w:rPr>
        <w:t>11.3 (14) Data Protection Legis</w:t>
      </w:r>
      <w:r>
        <w:rPr>
          <w:color w:val="000000"/>
        </w:rPr>
        <w:t xml:space="preserve">lation is (i) the GDPR, (ii) the Data Protection Act 2018 to the extent that it relates to processing of personal data and privacy; (iii) all </w:t>
      </w:r>
      <w:r>
        <w:rPr>
          <w:i/>
          <w:iCs/>
          <w:color w:val="000000"/>
        </w:rPr>
        <w:t>applicable Law</w:t>
      </w:r>
      <w:r>
        <w:rPr>
          <w:color w:val="000000"/>
        </w:rPr>
        <w:t xml:space="preserve"> about the processing of personal data and privacy, which, pending a decision from the competent aut</w:t>
      </w:r>
      <w:r>
        <w:rPr>
          <w:color w:val="000000"/>
        </w:rPr>
        <w:t>horities of the EU on the adequacy of the UK data protection regime will include the requirements set out or referenced in Part Three, Title VII, Article 71(1) of the Withdrawal Agreement signed by the UK and the EU in December 2019;</w:t>
      </w:r>
    </w:p>
    <w:p w14:paraId="135EE34E" w14:textId="77777777" w:rsidR="007960A8" w:rsidRDefault="007960A8">
      <w:pPr>
        <w:pBdr>
          <w:top w:val="nil"/>
          <w:left w:val="nil"/>
          <w:bottom w:val="nil"/>
          <w:right w:val="nil"/>
          <w:between w:val="nil"/>
        </w:pBdr>
        <w:spacing w:line="259" w:lineRule="auto"/>
        <w:ind w:left="220" w:right="230"/>
        <w:rPr>
          <w:color w:val="000000"/>
        </w:rPr>
      </w:pPr>
    </w:p>
    <w:p w14:paraId="3A42F4BD" w14:textId="77777777" w:rsidR="007960A8" w:rsidRDefault="00A26397">
      <w:pPr>
        <w:pBdr>
          <w:top w:val="nil"/>
          <w:left w:val="nil"/>
          <w:bottom w:val="nil"/>
          <w:right w:val="nil"/>
          <w:between w:val="nil"/>
        </w:pBdr>
        <w:spacing w:line="259" w:lineRule="auto"/>
        <w:ind w:left="220" w:right="230"/>
        <w:rPr>
          <w:color w:val="000000"/>
        </w:rPr>
      </w:pPr>
      <w:r>
        <w:rPr>
          <w:color w:val="000000"/>
        </w:rPr>
        <w:t>11.3 (15) DOTAS is the Disclosure of Tax avoidance Schemes rules which require a promoter of tax schemes to tell HM Revenue &amp; Customs of any specified notable arrangements or proposals and to provide prescribed information on those arrangements or proposal</w:t>
      </w:r>
      <w:r>
        <w:rPr>
          <w:color w:val="000000"/>
        </w:rPr>
        <w:t>s within set time limits as contained in Part 7 of the Finance Act 2004 and in secondary legislation made under vires contained in Part 7 of the Finance Act 2004 and as extended to national Insurance Contributions by the national Insurance Contributions (A</w:t>
      </w:r>
      <w:r>
        <w:rPr>
          <w:color w:val="000000"/>
        </w:rPr>
        <w:t>pplication of Part 7 of the Finance Act 2004) Regulations 2012, SI 2012/1868 made under s.132A Social Security Administration Act 1992.</w:t>
      </w:r>
    </w:p>
    <w:p w14:paraId="35B3C27D" w14:textId="77777777" w:rsidR="007960A8" w:rsidRDefault="007960A8">
      <w:pPr>
        <w:pBdr>
          <w:top w:val="nil"/>
          <w:left w:val="nil"/>
          <w:bottom w:val="nil"/>
          <w:right w:val="nil"/>
          <w:between w:val="nil"/>
        </w:pBdr>
        <w:spacing w:before="9"/>
        <w:rPr>
          <w:color w:val="000000"/>
          <w:sz w:val="20"/>
          <w:szCs w:val="20"/>
        </w:rPr>
      </w:pPr>
    </w:p>
    <w:p w14:paraId="4C39085B" w14:textId="77777777" w:rsidR="007960A8" w:rsidRDefault="00A26397">
      <w:pPr>
        <w:pBdr>
          <w:top w:val="nil"/>
          <w:left w:val="nil"/>
          <w:bottom w:val="nil"/>
          <w:right w:val="nil"/>
          <w:between w:val="nil"/>
        </w:pBdr>
        <w:spacing w:line="259" w:lineRule="auto"/>
        <w:ind w:left="220" w:right="791"/>
        <w:rPr>
          <w:color w:val="000000"/>
        </w:rPr>
      </w:pPr>
      <w:r>
        <w:rPr>
          <w:color w:val="000000"/>
        </w:rPr>
        <w:t>11.3 (16) Environmental Information Regulations is the Environmental Information Regulations 2004 and any guidance and/</w:t>
      </w:r>
      <w:r>
        <w:rPr>
          <w:color w:val="000000"/>
        </w:rPr>
        <w:t>or codes of practice issued by the Information Commissioner in relation to such regulations.</w:t>
      </w:r>
    </w:p>
    <w:p w14:paraId="430267D2" w14:textId="77777777" w:rsidR="007960A8" w:rsidRDefault="007960A8">
      <w:pPr>
        <w:pBdr>
          <w:top w:val="nil"/>
          <w:left w:val="nil"/>
          <w:bottom w:val="nil"/>
          <w:right w:val="nil"/>
          <w:between w:val="nil"/>
        </w:pBdr>
        <w:spacing w:before="6"/>
        <w:rPr>
          <w:color w:val="000000"/>
          <w:sz w:val="20"/>
          <w:szCs w:val="20"/>
        </w:rPr>
      </w:pPr>
    </w:p>
    <w:p w14:paraId="4E55B82F" w14:textId="77777777" w:rsidR="007960A8" w:rsidRDefault="00A26397">
      <w:pPr>
        <w:pBdr>
          <w:top w:val="nil"/>
          <w:left w:val="nil"/>
          <w:bottom w:val="nil"/>
          <w:right w:val="nil"/>
          <w:between w:val="nil"/>
        </w:pBdr>
        <w:spacing w:before="1"/>
        <w:ind w:left="220" w:right="220"/>
        <w:jc w:val="both"/>
        <w:rPr>
          <w:color w:val="000000"/>
        </w:rPr>
      </w:pPr>
      <w:r>
        <w:rPr>
          <w:color w:val="000000"/>
        </w:rPr>
        <w:t>11.3 (17) FOIA is the Freedom of Information Act 2000 and any subordinate legislation made under this Act from time to time together with any guidance and/or codes of practice issued by the Information Commissioner in relation to such legislation.</w:t>
      </w:r>
    </w:p>
    <w:p w14:paraId="4987B532" w14:textId="77777777" w:rsidR="007960A8" w:rsidRDefault="007960A8">
      <w:pPr>
        <w:pBdr>
          <w:top w:val="nil"/>
          <w:left w:val="nil"/>
          <w:bottom w:val="nil"/>
          <w:right w:val="nil"/>
          <w:between w:val="nil"/>
        </w:pBdr>
        <w:spacing w:before="1"/>
        <w:ind w:left="220" w:right="220"/>
        <w:jc w:val="both"/>
        <w:rPr>
          <w:color w:val="000000"/>
        </w:rPr>
      </w:pPr>
    </w:p>
    <w:p w14:paraId="763F1BFF" w14:textId="77777777" w:rsidR="007960A8" w:rsidRDefault="00A26397">
      <w:pPr>
        <w:pBdr>
          <w:top w:val="nil"/>
          <w:left w:val="nil"/>
          <w:bottom w:val="nil"/>
          <w:right w:val="nil"/>
          <w:between w:val="nil"/>
        </w:pBdr>
        <w:spacing w:before="1"/>
        <w:ind w:left="220" w:right="220"/>
        <w:jc w:val="both"/>
        <w:rPr>
          <w:color w:val="000000"/>
        </w:rPr>
      </w:pPr>
      <w:r>
        <w:rPr>
          <w:color w:val="000000"/>
        </w:rPr>
        <w:t>11.3 (1</w:t>
      </w:r>
      <w:r>
        <w:rPr>
          <w:color w:val="000000"/>
        </w:rPr>
        <w:t>8) General Anti-Abuse Rule is</w:t>
      </w:r>
    </w:p>
    <w:p w14:paraId="6E2207DC" w14:textId="77777777" w:rsidR="007960A8" w:rsidRDefault="007960A8">
      <w:pPr>
        <w:pBdr>
          <w:top w:val="nil"/>
          <w:left w:val="nil"/>
          <w:bottom w:val="nil"/>
          <w:right w:val="nil"/>
          <w:between w:val="nil"/>
        </w:pBdr>
        <w:spacing w:before="7"/>
        <w:rPr>
          <w:color w:val="000000"/>
        </w:rPr>
      </w:pPr>
    </w:p>
    <w:p w14:paraId="2A947770" w14:textId="77777777" w:rsidR="007960A8" w:rsidRDefault="00A26397">
      <w:pPr>
        <w:numPr>
          <w:ilvl w:val="2"/>
          <w:numId w:val="57"/>
        </w:numPr>
        <w:pBdr>
          <w:top w:val="nil"/>
          <w:left w:val="nil"/>
          <w:bottom w:val="nil"/>
          <w:right w:val="nil"/>
          <w:between w:val="nil"/>
        </w:pBdr>
        <w:tabs>
          <w:tab w:val="left" w:pos="941"/>
        </w:tabs>
        <w:ind w:hanging="361"/>
        <w:rPr>
          <w:color w:val="000000"/>
        </w:rPr>
      </w:pPr>
      <w:r>
        <w:rPr>
          <w:color w:val="000000"/>
        </w:rPr>
        <w:t>the legislation in Part 5 of the Finance Act 2013 (as amended) and</w:t>
      </w:r>
    </w:p>
    <w:p w14:paraId="1CB6C88D" w14:textId="77777777" w:rsidR="007960A8" w:rsidRDefault="007960A8">
      <w:pPr>
        <w:pBdr>
          <w:top w:val="nil"/>
          <w:left w:val="nil"/>
          <w:bottom w:val="nil"/>
          <w:right w:val="nil"/>
          <w:between w:val="nil"/>
        </w:pBdr>
        <w:spacing w:before="9"/>
        <w:rPr>
          <w:color w:val="000000"/>
          <w:sz w:val="20"/>
          <w:szCs w:val="20"/>
        </w:rPr>
      </w:pPr>
    </w:p>
    <w:p w14:paraId="2B3879ED" w14:textId="77777777" w:rsidR="007960A8" w:rsidRDefault="00A26397">
      <w:pPr>
        <w:numPr>
          <w:ilvl w:val="2"/>
          <w:numId w:val="57"/>
        </w:numPr>
        <w:pBdr>
          <w:top w:val="nil"/>
          <w:left w:val="nil"/>
          <w:bottom w:val="nil"/>
          <w:right w:val="nil"/>
          <w:between w:val="nil"/>
        </w:pBdr>
        <w:tabs>
          <w:tab w:val="left" w:pos="941"/>
        </w:tabs>
        <w:spacing w:line="237" w:lineRule="auto"/>
        <w:ind w:right="224"/>
        <w:jc w:val="both"/>
        <w:rPr>
          <w:color w:val="000000"/>
        </w:rPr>
      </w:pPr>
      <w:r>
        <w:rPr>
          <w:color w:val="000000"/>
        </w:rPr>
        <w:t>any future legislation introduced into parliament to counteract tax advantages arising from abusive arrangements and to avoid national insurance contributions.</w:t>
      </w:r>
    </w:p>
    <w:p w14:paraId="30AA557C" w14:textId="77777777" w:rsidR="007960A8" w:rsidRDefault="007960A8">
      <w:pPr>
        <w:pBdr>
          <w:top w:val="nil"/>
          <w:left w:val="nil"/>
          <w:bottom w:val="nil"/>
          <w:right w:val="nil"/>
          <w:between w:val="nil"/>
        </w:pBdr>
        <w:spacing w:before="1"/>
        <w:rPr>
          <w:color w:val="000000"/>
          <w:sz w:val="21"/>
          <w:szCs w:val="21"/>
        </w:rPr>
      </w:pPr>
    </w:p>
    <w:p w14:paraId="119E4E77" w14:textId="77777777" w:rsidR="007960A8" w:rsidRDefault="00A26397">
      <w:pPr>
        <w:pBdr>
          <w:top w:val="nil"/>
          <w:left w:val="nil"/>
          <w:bottom w:val="nil"/>
          <w:right w:val="nil"/>
          <w:between w:val="nil"/>
        </w:pBdr>
        <w:spacing w:before="96"/>
        <w:ind w:left="284" w:right="749"/>
        <w:jc w:val="both"/>
        <w:rPr>
          <w:color w:val="000000"/>
        </w:rPr>
      </w:pPr>
      <w:r>
        <w:rPr>
          <w:color w:val="000000"/>
        </w:rPr>
        <w:t>11.3 (19) Good Industry Practice is the exercise of that degree of skill, care, prudence, effic</w:t>
      </w:r>
      <w:r>
        <w:rPr>
          <w:color w:val="000000"/>
        </w:rPr>
        <w:t>iency, foresight and timeliness as would be expected from a leading company within the relevant industry or business sector;</w:t>
      </w:r>
    </w:p>
    <w:p w14:paraId="0134EB99" w14:textId="77777777" w:rsidR="007960A8" w:rsidRDefault="007960A8">
      <w:pPr>
        <w:pBdr>
          <w:top w:val="nil"/>
          <w:left w:val="nil"/>
          <w:bottom w:val="nil"/>
          <w:right w:val="nil"/>
          <w:between w:val="nil"/>
        </w:pBdr>
        <w:ind w:left="220"/>
        <w:rPr>
          <w:color w:val="000000"/>
        </w:rPr>
      </w:pPr>
    </w:p>
    <w:p w14:paraId="663F012E" w14:textId="77777777" w:rsidR="007960A8" w:rsidRDefault="00A26397">
      <w:pPr>
        <w:pBdr>
          <w:top w:val="nil"/>
          <w:left w:val="nil"/>
          <w:bottom w:val="nil"/>
          <w:right w:val="nil"/>
          <w:between w:val="nil"/>
        </w:pBdr>
        <w:ind w:left="220"/>
        <w:rPr>
          <w:color w:val="000000"/>
        </w:rPr>
      </w:pPr>
      <w:r>
        <w:rPr>
          <w:color w:val="000000"/>
        </w:rPr>
        <w:t>11.3 (20) Halifax Abuse Principle is the principle explained in the CJEU Case C-255/02 Halifax and others.</w:t>
      </w:r>
    </w:p>
    <w:p w14:paraId="1A1D2F2F" w14:textId="77777777" w:rsidR="007960A8" w:rsidRDefault="007960A8">
      <w:pPr>
        <w:pBdr>
          <w:top w:val="nil"/>
          <w:left w:val="nil"/>
          <w:bottom w:val="nil"/>
          <w:right w:val="nil"/>
          <w:between w:val="nil"/>
        </w:pBdr>
        <w:spacing w:before="8"/>
        <w:rPr>
          <w:color w:val="000000"/>
          <w:sz w:val="20"/>
          <w:szCs w:val="20"/>
        </w:rPr>
      </w:pPr>
    </w:p>
    <w:p w14:paraId="6CA7EB79" w14:textId="77777777" w:rsidR="007960A8" w:rsidRDefault="00A26397">
      <w:pPr>
        <w:numPr>
          <w:ilvl w:val="1"/>
          <w:numId w:val="56"/>
        </w:numPr>
        <w:pBdr>
          <w:top w:val="nil"/>
          <w:left w:val="nil"/>
          <w:bottom w:val="nil"/>
          <w:right w:val="nil"/>
          <w:between w:val="nil"/>
        </w:pBdr>
        <w:tabs>
          <w:tab w:val="left" w:pos="710"/>
        </w:tabs>
        <w:rPr>
          <w:color w:val="000000"/>
        </w:rPr>
      </w:pPr>
      <w:r>
        <w:rPr>
          <w:color w:val="000000"/>
        </w:rPr>
        <w:t>(19) Intellectual Property Rights or "IPRs" is</w:t>
      </w:r>
    </w:p>
    <w:p w14:paraId="01017327" w14:textId="77777777" w:rsidR="007960A8" w:rsidRDefault="007960A8">
      <w:pPr>
        <w:pBdr>
          <w:top w:val="nil"/>
          <w:left w:val="nil"/>
          <w:bottom w:val="nil"/>
          <w:right w:val="nil"/>
          <w:between w:val="nil"/>
        </w:pBdr>
        <w:spacing w:before="11"/>
        <w:rPr>
          <w:color w:val="000000"/>
          <w:sz w:val="20"/>
          <w:szCs w:val="20"/>
        </w:rPr>
      </w:pPr>
    </w:p>
    <w:p w14:paraId="2FAB4BC0" w14:textId="77777777" w:rsidR="007960A8" w:rsidRDefault="00A26397">
      <w:pPr>
        <w:numPr>
          <w:ilvl w:val="2"/>
          <w:numId w:val="56"/>
        </w:numPr>
        <w:pBdr>
          <w:top w:val="nil"/>
          <w:left w:val="nil"/>
          <w:bottom w:val="nil"/>
          <w:right w:val="nil"/>
          <w:between w:val="nil"/>
        </w:pBdr>
        <w:tabs>
          <w:tab w:val="left" w:pos="941"/>
        </w:tabs>
        <w:ind w:right="212"/>
        <w:jc w:val="both"/>
        <w:rPr>
          <w:color w:val="000000"/>
        </w:rPr>
      </w:pPr>
      <w:r>
        <w:rPr>
          <w:color w:val="000000"/>
        </w:rPr>
        <w:t>copyright, rights related to or affording protection similar to copyright, rights in databases, patents and rights in inventions, semi-conductor topography rights, trade marks, rights in internet domain names and website addresses and other rights in trade</w:t>
      </w:r>
      <w:r>
        <w:rPr>
          <w:color w:val="000000"/>
        </w:rPr>
        <w:t xml:space="preserve"> names, designs, Know-How, trade secrets and other rights in Confidential Information,</w:t>
      </w:r>
    </w:p>
    <w:p w14:paraId="5985E183" w14:textId="77777777" w:rsidR="007960A8" w:rsidRDefault="007960A8">
      <w:pPr>
        <w:pBdr>
          <w:top w:val="nil"/>
          <w:left w:val="nil"/>
          <w:bottom w:val="nil"/>
          <w:right w:val="nil"/>
          <w:between w:val="nil"/>
        </w:pBdr>
        <w:spacing w:before="9"/>
        <w:rPr>
          <w:color w:val="000000"/>
          <w:sz w:val="20"/>
          <w:szCs w:val="20"/>
        </w:rPr>
      </w:pPr>
    </w:p>
    <w:p w14:paraId="00293EFD" w14:textId="77777777" w:rsidR="007960A8" w:rsidRDefault="00A26397">
      <w:pPr>
        <w:numPr>
          <w:ilvl w:val="2"/>
          <w:numId w:val="56"/>
        </w:numPr>
        <w:pBdr>
          <w:top w:val="nil"/>
          <w:left w:val="nil"/>
          <w:bottom w:val="nil"/>
          <w:right w:val="nil"/>
          <w:between w:val="nil"/>
        </w:pBdr>
        <w:tabs>
          <w:tab w:val="left" w:pos="941"/>
        </w:tabs>
        <w:ind w:right="215"/>
        <w:jc w:val="both"/>
        <w:rPr>
          <w:color w:val="000000"/>
        </w:rPr>
      </w:pPr>
      <w:r>
        <w:rPr>
          <w:color w:val="000000"/>
        </w:rPr>
        <w:t>applications for registration, and the right to apply for registration, for any of the rights listed in the first bullet point that are capable of being registered in a</w:t>
      </w:r>
      <w:r>
        <w:rPr>
          <w:color w:val="000000"/>
        </w:rPr>
        <w:t>ny country or jurisdiction,</w:t>
      </w:r>
    </w:p>
    <w:p w14:paraId="49622A5B" w14:textId="77777777" w:rsidR="007960A8" w:rsidRDefault="007960A8">
      <w:pPr>
        <w:pBdr>
          <w:top w:val="nil"/>
          <w:left w:val="nil"/>
          <w:bottom w:val="nil"/>
          <w:right w:val="nil"/>
          <w:between w:val="nil"/>
        </w:pBdr>
        <w:spacing w:before="9"/>
        <w:rPr>
          <w:color w:val="000000"/>
          <w:sz w:val="20"/>
          <w:szCs w:val="20"/>
        </w:rPr>
      </w:pPr>
    </w:p>
    <w:p w14:paraId="55FFB29C" w14:textId="77777777" w:rsidR="007960A8" w:rsidRDefault="00A26397">
      <w:pPr>
        <w:numPr>
          <w:ilvl w:val="2"/>
          <w:numId w:val="56"/>
        </w:numPr>
        <w:pBdr>
          <w:top w:val="nil"/>
          <w:left w:val="nil"/>
          <w:bottom w:val="nil"/>
          <w:right w:val="nil"/>
          <w:between w:val="nil"/>
        </w:pBdr>
        <w:tabs>
          <w:tab w:val="left" w:pos="941"/>
        </w:tabs>
        <w:spacing w:before="1"/>
        <w:ind w:hanging="361"/>
        <w:rPr>
          <w:color w:val="000000"/>
        </w:rPr>
      </w:pPr>
      <w:r>
        <w:rPr>
          <w:color w:val="000000"/>
        </w:rPr>
        <w:t>all other rights having equivalent or similar effect in any country or jurisdiction and</w:t>
      </w:r>
    </w:p>
    <w:p w14:paraId="4D73F2D2" w14:textId="77777777" w:rsidR="007960A8" w:rsidRDefault="007960A8">
      <w:pPr>
        <w:pBdr>
          <w:top w:val="nil"/>
          <w:left w:val="nil"/>
          <w:bottom w:val="nil"/>
          <w:right w:val="nil"/>
          <w:between w:val="nil"/>
        </w:pBdr>
        <w:spacing w:before="5"/>
        <w:rPr>
          <w:color w:val="000000"/>
        </w:rPr>
      </w:pPr>
    </w:p>
    <w:p w14:paraId="74374E8F" w14:textId="77777777" w:rsidR="007960A8" w:rsidRDefault="00A26397">
      <w:pPr>
        <w:numPr>
          <w:ilvl w:val="2"/>
          <w:numId w:val="56"/>
        </w:numPr>
        <w:pBdr>
          <w:top w:val="nil"/>
          <w:left w:val="nil"/>
          <w:bottom w:val="nil"/>
          <w:right w:val="nil"/>
          <w:between w:val="nil"/>
        </w:pBdr>
        <w:tabs>
          <w:tab w:val="left" w:pos="941"/>
        </w:tabs>
        <w:spacing w:before="1"/>
        <w:ind w:hanging="361"/>
        <w:rPr>
          <w:color w:val="000000"/>
        </w:rPr>
      </w:pPr>
      <w:r>
        <w:rPr>
          <w:color w:val="000000"/>
        </w:rPr>
        <w:t>all or any goodwill relating or attached thereto.</w:t>
      </w:r>
    </w:p>
    <w:p w14:paraId="08CDAFDA" w14:textId="77777777" w:rsidR="007960A8" w:rsidRDefault="007960A8">
      <w:pPr>
        <w:pBdr>
          <w:top w:val="nil"/>
          <w:left w:val="nil"/>
          <w:bottom w:val="nil"/>
          <w:right w:val="nil"/>
          <w:between w:val="nil"/>
        </w:pBdr>
        <w:spacing w:before="9"/>
        <w:rPr>
          <w:color w:val="000000"/>
          <w:sz w:val="20"/>
          <w:szCs w:val="20"/>
        </w:rPr>
      </w:pPr>
    </w:p>
    <w:p w14:paraId="55DFE0E3" w14:textId="77777777" w:rsidR="007960A8" w:rsidRDefault="00A26397">
      <w:pPr>
        <w:numPr>
          <w:ilvl w:val="1"/>
          <w:numId w:val="54"/>
        </w:numPr>
        <w:pBdr>
          <w:top w:val="nil"/>
          <w:left w:val="nil"/>
          <w:bottom w:val="nil"/>
          <w:right w:val="nil"/>
          <w:between w:val="nil"/>
        </w:pBdr>
        <w:tabs>
          <w:tab w:val="left" w:pos="710"/>
        </w:tabs>
        <w:spacing w:line="259" w:lineRule="auto"/>
        <w:ind w:right="305" w:firstLine="0"/>
        <w:rPr>
          <w:color w:val="000000"/>
        </w:rPr>
      </w:pPr>
      <w:r>
        <w:rPr>
          <w:color w:val="000000"/>
        </w:rPr>
        <w:t>(21) Law is any law, statute, subordinate legislation within the meaning of section 21(1) of the Interpretation Act 1978, bye-law, enforceable right within the meaning of section 2 of the European Communities Act 1972, regulation, order, mandatory guidance</w:t>
      </w:r>
      <w:r>
        <w:rPr>
          <w:color w:val="000000"/>
        </w:rPr>
        <w:t xml:space="preserve"> or code of practice, judgment of a relevant court of law, or directives or requirements of any regulatory body with which the </w:t>
      </w:r>
      <w:r>
        <w:rPr>
          <w:i/>
          <w:iCs/>
          <w:color w:val="000000"/>
        </w:rPr>
        <w:t xml:space="preserve">Service Provider </w:t>
      </w:r>
      <w:r>
        <w:rPr>
          <w:color w:val="000000"/>
        </w:rPr>
        <w:t xml:space="preserve">is bound to comply under the </w:t>
      </w:r>
      <w:r>
        <w:rPr>
          <w:i/>
          <w:iCs/>
          <w:color w:val="000000"/>
        </w:rPr>
        <w:t>law of the contract</w:t>
      </w:r>
      <w:r>
        <w:rPr>
          <w:color w:val="000000"/>
        </w:rPr>
        <w:t>.</w:t>
      </w:r>
    </w:p>
    <w:p w14:paraId="08C34221" w14:textId="77777777" w:rsidR="007960A8" w:rsidRDefault="007960A8">
      <w:pPr>
        <w:pBdr>
          <w:top w:val="nil"/>
          <w:left w:val="nil"/>
          <w:bottom w:val="nil"/>
          <w:right w:val="nil"/>
          <w:between w:val="nil"/>
        </w:pBdr>
        <w:spacing w:before="9"/>
        <w:rPr>
          <w:color w:val="000000"/>
          <w:sz w:val="19"/>
          <w:szCs w:val="19"/>
        </w:rPr>
      </w:pPr>
    </w:p>
    <w:p w14:paraId="45CCA16A" w14:textId="77777777" w:rsidR="007960A8" w:rsidRDefault="00A26397">
      <w:pPr>
        <w:pBdr>
          <w:top w:val="nil"/>
          <w:left w:val="nil"/>
          <w:bottom w:val="nil"/>
          <w:right w:val="nil"/>
          <w:between w:val="nil"/>
        </w:pBdr>
        <w:spacing w:before="1"/>
        <w:ind w:left="220"/>
        <w:rPr>
          <w:color w:val="000000"/>
        </w:rPr>
      </w:pPr>
      <w:r>
        <w:rPr>
          <w:color w:val="000000"/>
        </w:rPr>
        <w:t>11.3 (22) An Occasion of Tax Non-Compliance is</w:t>
      </w:r>
    </w:p>
    <w:p w14:paraId="5659268A" w14:textId="77777777" w:rsidR="007960A8" w:rsidRDefault="007960A8">
      <w:pPr>
        <w:pBdr>
          <w:top w:val="nil"/>
          <w:left w:val="nil"/>
          <w:bottom w:val="nil"/>
          <w:right w:val="nil"/>
          <w:between w:val="nil"/>
        </w:pBdr>
        <w:spacing w:before="7"/>
        <w:rPr>
          <w:color w:val="000000"/>
        </w:rPr>
      </w:pPr>
    </w:p>
    <w:p w14:paraId="35285D77" w14:textId="77777777" w:rsidR="007960A8" w:rsidRDefault="00A26397">
      <w:pPr>
        <w:numPr>
          <w:ilvl w:val="2"/>
          <w:numId w:val="54"/>
        </w:numPr>
        <w:pBdr>
          <w:top w:val="nil"/>
          <w:left w:val="nil"/>
          <w:bottom w:val="nil"/>
          <w:right w:val="nil"/>
          <w:between w:val="nil"/>
        </w:pBdr>
        <w:tabs>
          <w:tab w:val="left" w:pos="941"/>
        </w:tabs>
        <w:spacing w:line="237" w:lineRule="auto"/>
        <w:ind w:right="524"/>
        <w:rPr>
          <w:color w:val="000000"/>
        </w:rPr>
      </w:pPr>
      <w:r>
        <w:rPr>
          <w:color w:val="000000"/>
        </w:rPr>
        <w:t xml:space="preserve">where any tax return of the </w:t>
      </w:r>
      <w:r>
        <w:rPr>
          <w:i/>
          <w:iCs/>
          <w:color w:val="000000"/>
        </w:rPr>
        <w:t xml:space="preserve">Service Provider </w:t>
      </w:r>
      <w:r>
        <w:rPr>
          <w:color w:val="000000"/>
        </w:rPr>
        <w:t>submitted to a Relevant Tax Authority on or after 1 October 2012 is found on or after 1 April 2013 to be incorrect as a result of</w:t>
      </w:r>
    </w:p>
    <w:p w14:paraId="68967632" w14:textId="77777777" w:rsidR="007960A8" w:rsidRDefault="007960A8">
      <w:pPr>
        <w:pBdr>
          <w:top w:val="nil"/>
          <w:left w:val="nil"/>
          <w:bottom w:val="nil"/>
          <w:right w:val="nil"/>
          <w:between w:val="nil"/>
        </w:pBdr>
        <w:spacing w:before="11"/>
        <w:rPr>
          <w:color w:val="000000"/>
          <w:sz w:val="20"/>
          <w:szCs w:val="20"/>
        </w:rPr>
      </w:pPr>
    </w:p>
    <w:p w14:paraId="6F413F71" w14:textId="77777777" w:rsidR="007960A8" w:rsidRDefault="00A26397">
      <w:pPr>
        <w:numPr>
          <w:ilvl w:val="2"/>
          <w:numId w:val="54"/>
        </w:numPr>
        <w:pBdr>
          <w:top w:val="nil"/>
          <w:left w:val="nil"/>
          <w:bottom w:val="nil"/>
          <w:right w:val="nil"/>
          <w:between w:val="nil"/>
        </w:pBdr>
        <w:tabs>
          <w:tab w:val="left" w:pos="941"/>
        </w:tabs>
        <w:ind w:right="226"/>
        <w:rPr>
          <w:color w:val="000000"/>
        </w:rPr>
      </w:pPr>
      <w:r>
        <w:rPr>
          <w:color w:val="000000"/>
        </w:rPr>
        <w:t xml:space="preserve">a Relevant Tax Authority successfully challenging the </w:t>
      </w:r>
      <w:r>
        <w:rPr>
          <w:i/>
          <w:iCs/>
          <w:color w:val="000000"/>
        </w:rPr>
        <w:t xml:space="preserve">Service Provider </w:t>
      </w:r>
      <w:r>
        <w:rPr>
          <w:color w:val="000000"/>
        </w:rPr>
        <w:t>under the</w:t>
      </w:r>
      <w:r>
        <w:rPr>
          <w:color w:val="000000"/>
        </w:rPr>
        <w:t xml:space="preserve"> General Anti-Abuse Rule or the Halifax Abuse Principle or under any tax rules or legislation that have an effect equivalent or similar to the General Anti-Abuse Rule or the Halifax Abuse Principle or</w:t>
      </w:r>
    </w:p>
    <w:p w14:paraId="352BC5BE" w14:textId="77777777" w:rsidR="007960A8" w:rsidRDefault="007960A8">
      <w:pPr>
        <w:pBdr>
          <w:top w:val="nil"/>
          <w:left w:val="nil"/>
          <w:bottom w:val="nil"/>
          <w:right w:val="nil"/>
          <w:between w:val="nil"/>
        </w:pBdr>
        <w:spacing w:before="9"/>
        <w:rPr>
          <w:color w:val="000000"/>
          <w:sz w:val="20"/>
          <w:szCs w:val="20"/>
        </w:rPr>
      </w:pPr>
    </w:p>
    <w:p w14:paraId="6B4DCEE1" w14:textId="77777777" w:rsidR="007960A8" w:rsidRDefault="00A26397">
      <w:pPr>
        <w:numPr>
          <w:ilvl w:val="2"/>
          <w:numId w:val="54"/>
        </w:numPr>
        <w:pBdr>
          <w:top w:val="nil"/>
          <w:left w:val="nil"/>
          <w:bottom w:val="nil"/>
          <w:right w:val="nil"/>
          <w:between w:val="nil"/>
        </w:pBdr>
        <w:tabs>
          <w:tab w:val="left" w:pos="941"/>
        </w:tabs>
        <w:ind w:right="351"/>
        <w:jc w:val="both"/>
        <w:rPr>
          <w:color w:val="000000"/>
        </w:rPr>
      </w:pPr>
      <w:r>
        <w:rPr>
          <w:color w:val="000000"/>
        </w:rPr>
        <w:t xml:space="preserve">the failure of an avoidance scheme which the </w:t>
      </w:r>
      <w:r>
        <w:rPr>
          <w:i/>
          <w:iCs/>
          <w:color w:val="000000"/>
        </w:rPr>
        <w:t xml:space="preserve">Service Provider </w:t>
      </w:r>
      <w:r>
        <w:rPr>
          <w:color w:val="000000"/>
        </w:rPr>
        <w:t>was involved in, and which was, or should have been, notified to a Relevant Tax Authority under DAVOIT, DOTAS or VADR or any equivalent or similar regime and</w:t>
      </w:r>
    </w:p>
    <w:p w14:paraId="23068B2C" w14:textId="77777777" w:rsidR="007960A8" w:rsidRDefault="007960A8">
      <w:pPr>
        <w:pBdr>
          <w:top w:val="nil"/>
          <w:left w:val="nil"/>
          <w:bottom w:val="nil"/>
          <w:right w:val="nil"/>
          <w:between w:val="nil"/>
        </w:pBdr>
        <w:spacing w:before="10"/>
        <w:rPr>
          <w:color w:val="000000"/>
          <w:sz w:val="20"/>
          <w:szCs w:val="20"/>
        </w:rPr>
      </w:pPr>
    </w:p>
    <w:p w14:paraId="4D15CD28" w14:textId="77777777" w:rsidR="007960A8" w:rsidRDefault="00A26397">
      <w:pPr>
        <w:pBdr>
          <w:top w:val="nil"/>
          <w:left w:val="nil"/>
          <w:bottom w:val="nil"/>
          <w:right w:val="nil"/>
          <w:between w:val="nil"/>
        </w:pBdr>
        <w:spacing w:before="1" w:line="259" w:lineRule="auto"/>
        <w:ind w:left="220" w:right="388"/>
        <w:rPr>
          <w:color w:val="000000"/>
        </w:rPr>
      </w:pPr>
      <w:r>
        <w:rPr>
          <w:color w:val="000000"/>
        </w:rPr>
        <w:t xml:space="preserve">where any tax return of the </w:t>
      </w:r>
      <w:r>
        <w:rPr>
          <w:i/>
          <w:iCs/>
          <w:color w:val="000000"/>
        </w:rPr>
        <w:t>Service</w:t>
      </w:r>
      <w:r>
        <w:rPr>
          <w:i/>
          <w:iCs/>
          <w:color w:val="000000"/>
        </w:rPr>
        <w:t xml:space="preserve"> Provider </w:t>
      </w:r>
      <w:r>
        <w:rPr>
          <w:color w:val="000000"/>
        </w:rPr>
        <w:t>submitted to a Relevant Tax Authority on or after 1 October 2012 gives rise, on or after 1 April 2013, to a criminal conviction in any jurisdiction for tax related offences which is not spent at the date of this Contract or to a civil penalty for</w:t>
      </w:r>
      <w:r>
        <w:rPr>
          <w:color w:val="000000"/>
        </w:rPr>
        <w:t xml:space="preserve"> fraud or evasion.</w:t>
      </w:r>
    </w:p>
    <w:p w14:paraId="586C5DE2" w14:textId="77777777" w:rsidR="007960A8" w:rsidRDefault="007960A8">
      <w:pPr>
        <w:pBdr>
          <w:top w:val="nil"/>
          <w:left w:val="nil"/>
          <w:bottom w:val="nil"/>
          <w:right w:val="nil"/>
          <w:between w:val="nil"/>
        </w:pBdr>
        <w:spacing w:before="9"/>
        <w:rPr>
          <w:color w:val="000000"/>
          <w:sz w:val="20"/>
          <w:szCs w:val="20"/>
        </w:rPr>
      </w:pPr>
    </w:p>
    <w:p w14:paraId="505A8596" w14:textId="77777777" w:rsidR="007960A8" w:rsidRDefault="00A26397">
      <w:pPr>
        <w:pBdr>
          <w:top w:val="nil"/>
          <w:left w:val="nil"/>
          <w:bottom w:val="nil"/>
          <w:right w:val="nil"/>
          <w:between w:val="nil"/>
        </w:pBdr>
        <w:ind w:left="220"/>
        <w:rPr>
          <w:color w:val="000000"/>
        </w:rPr>
      </w:pPr>
      <w:r>
        <w:rPr>
          <w:color w:val="000000"/>
        </w:rPr>
        <w:t>11.3 (23) Personal Data has the meaning given to it in the Data Protection Legislation.</w:t>
      </w:r>
    </w:p>
    <w:p w14:paraId="3BC3A734" w14:textId="77777777" w:rsidR="007960A8" w:rsidRDefault="007960A8">
      <w:pPr>
        <w:pBdr>
          <w:top w:val="nil"/>
          <w:left w:val="nil"/>
          <w:bottom w:val="nil"/>
          <w:right w:val="nil"/>
          <w:between w:val="nil"/>
        </w:pBdr>
        <w:spacing w:before="7"/>
        <w:rPr>
          <w:color w:val="000000"/>
        </w:rPr>
      </w:pPr>
    </w:p>
    <w:p w14:paraId="5BF25C51" w14:textId="77777777" w:rsidR="007960A8" w:rsidRDefault="00A26397">
      <w:pPr>
        <w:pBdr>
          <w:top w:val="nil"/>
          <w:left w:val="nil"/>
          <w:bottom w:val="nil"/>
          <w:right w:val="nil"/>
          <w:between w:val="nil"/>
        </w:pBdr>
        <w:ind w:left="220"/>
        <w:rPr>
          <w:color w:val="000000"/>
        </w:rPr>
      </w:pPr>
      <w:r>
        <w:rPr>
          <w:color w:val="000000"/>
        </w:rPr>
        <w:t>11.3 (24) Prohibited Act is</w:t>
      </w:r>
    </w:p>
    <w:p w14:paraId="7BCC74E0" w14:textId="77777777" w:rsidR="007960A8" w:rsidRDefault="007960A8">
      <w:pPr>
        <w:pBdr>
          <w:top w:val="nil"/>
          <w:left w:val="nil"/>
          <w:bottom w:val="nil"/>
          <w:right w:val="nil"/>
          <w:between w:val="nil"/>
        </w:pBdr>
        <w:spacing w:before="5"/>
        <w:rPr>
          <w:color w:val="000000"/>
        </w:rPr>
      </w:pPr>
    </w:p>
    <w:p w14:paraId="6DACB354" w14:textId="77777777" w:rsidR="007960A8" w:rsidRDefault="00A26397">
      <w:pPr>
        <w:numPr>
          <w:ilvl w:val="0"/>
          <w:numId w:val="53"/>
        </w:numPr>
        <w:pBdr>
          <w:top w:val="nil"/>
          <w:left w:val="nil"/>
          <w:bottom w:val="nil"/>
          <w:right w:val="nil"/>
          <w:between w:val="nil"/>
        </w:pBdr>
        <w:tabs>
          <w:tab w:val="left" w:pos="622"/>
        </w:tabs>
        <w:ind w:right="345"/>
        <w:rPr>
          <w:color w:val="000000"/>
        </w:rPr>
      </w:pPr>
      <w:r>
        <w:rPr>
          <w:color w:val="000000"/>
        </w:rPr>
        <w:t xml:space="preserve">to directly or indirectly offer, promise or give any person working for or engaged by the </w:t>
      </w:r>
      <w:r>
        <w:rPr>
          <w:i/>
          <w:iCs/>
          <w:color w:val="000000"/>
        </w:rPr>
        <w:t xml:space="preserve">Client </w:t>
      </w:r>
      <w:r>
        <w:rPr>
          <w:color w:val="000000"/>
        </w:rPr>
        <w:t>or other Contracting Body or any other public body a financial or other advantage to</w:t>
      </w:r>
    </w:p>
    <w:p w14:paraId="15688465" w14:textId="77777777" w:rsidR="007960A8" w:rsidRDefault="007960A8">
      <w:pPr>
        <w:pBdr>
          <w:top w:val="nil"/>
          <w:left w:val="nil"/>
          <w:bottom w:val="nil"/>
          <w:right w:val="nil"/>
          <w:between w:val="nil"/>
        </w:pBdr>
        <w:spacing w:before="10"/>
        <w:rPr>
          <w:color w:val="000000"/>
          <w:sz w:val="20"/>
          <w:szCs w:val="20"/>
        </w:rPr>
      </w:pPr>
    </w:p>
    <w:p w14:paraId="65ABD94D" w14:textId="77777777" w:rsidR="007960A8" w:rsidRDefault="00A26397">
      <w:pPr>
        <w:numPr>
          <w:ilvl w:val="1"/>
          <w:numId w:val="53"/>
        </w:numPr>
        <w:pBdr>
          <w:top w:val="nil"/>
          <w:left w:val="nil"/>
          <w:bottom w:val="nil"/>
          <w:right w:val="nil"/>
          <w:between w:val="nil"/>
        </w:pBdr>
        <w:tabs>
          <w:tab w:val="left" w:pos="1046"/>
        </w:tabs>
        <w:rPr>
          <w:color w:val="000000"/>
        </w:rPr>
      </w:pPr>
      <w:r>
        <w:rPr>
          <w:color w:val="000000"/>
        </w:rPr>
        <w:t>induce that person to perform improperly a relevant function or activity or</w:t>
      </w:r>
    </w:p>
    <w:p w14:paraId="0CBC4B2C" w14:textId="77777777" w:rsidR="007960A8" w:rsidRDefault="007960A8">
      <w:pPr>
        <w:pBdr>
          <w:top w:val="nil"/>
          <w:left w:val="nil"/>
          <w:bottom w:val="nil"/>
          <w:right w:val="nil"/>
          <w:between w:val="nil"/>
        </w:pBdr>
        <w:spacing w:before="7"/>
        <w:rPr>
          <w:color w:val="000000"/>
          <w:sz w:val="20"/>
          <w:szCs w:val="20"/>
        </w:rPr>
      </w:pPr>
    </w:p>
    <w:p w14:paraId="2E9C958D" w14:textId="77777777" w:rsidR="007960A8" w:rsidRDefault="00A26397">
      <w:pPr>
        <w:numPr>
          <w:ilvl w:val="1"/>
          <w:numId w:val="53"/>
        </w:numPr>
        <w:pBdr>
          <w:top w:val="nil"/>
          <w:left w:val="nil"/>
          <w:bottom w:val="nil"/>
          <w:right w:val="nil"/>
          <w:between w:val="nil"/>
        </w:pBdr>
        <w:tabs>
          <w:tab w:val="left" w:pos="1046"/>
        </w:tabs>
        <w:rPr>
          <w:color w:val="000000"/>
        </w:rPr>
      </w:pPr>
      <w:r>
        <w:rPr>
          <w:color w:val="000000"/>
        </w:rPr>
        <w:t>reward that person for improper performance of a relevant function or activity,</w:t>
      </w:r>
    </w:p>
    <w:p w14:paraId="48220F66" w14:textId="77777777" w:rsidR="007960A8" w:rsidRDefault="007960A8">
      <w:pPr>
        <w:pBdr>
          <w:top w:val="nil"/>
          <w:left w:val="nil"/>
          <w:bottom w:val="nil"/>
          <w:right w:val="nil"/>
          <w:between w:val="nil"/>
        </w:pBdr>
        <w:rPr>
          <w:color w:val="000000"/>
          <w:sz w:val="21"/>
          <w:szCs w:val="21"/>
        </w:rPr>
      </w:pPr>
    </w:p>
    <w:p w14:paraId="5DB59957" w14:textId="77777777" w:rsidR="007960A8" w:rsidRDefault="00A26397">
      <w:pPr>
        <w:numPr>
          <w:ilvl w:val="0"/>
          <w:numId w:val="53"/>
        </w:numPr>
        <w:pBdr>
          <w:top w:val="nil"/>
          <w:left w:val="nil"/>
          <w:bottom w:val="nil"/>
          <w:right w:val="nil"/>
          <w:between w:val="nil"/>
        </w:pBdr>
        <w:tabs>
          <w:tab w:val="left" w:pos="622"/>
        </w:tabs>
        <w:spacing w:line="237" w:lineRule="auto"/>
        <w:ind w:right="1031"/>
        <w:rPr>
          <w:color w:val="000000"/>
        </w:rPr>
      </w:pPr>
      <w:r>
        <w:rPr>
          <w:color w:val="000000"/>
        </w:rPr>
        <w:t>to directly or indirectly request, agree to receive or accept any financial or other advantage as an inducement or a reward for improper performance of a relevant function or activity in connection with this contract,</w:t>
      </w:r>
    </w:p>
    <w:p w14:paraId="1AC87DEB" w14:textId="77777777" w:rsidR="007960A8" w:rsidRDefault="007960A8">
      <w:pPr>
        <w:pBdr>
          <w:top w:val="nil"/>
          <w:left w:val="nil"/>
          <w:bottom w:val="nil"/>
          <w:right w:val="nil"/>
          <w:between w:val="nil"/>
        </w:pBdr>
        <w:spacing w:before="1"/>
        <w:rPr>
          <w:color w:val="000000"/>
          <w:sz w:val="21"/>
          <w:szCs w:val="21"/>
        </w:rPr>
      </w:pPr>
    </w:p>
    <w:p w14:paraId="189355A6" w14:textId="77777777" w:rsidR="007960A8" w:rsidRDefault="00A26397">
      <w:pPr>
        <w:numPr>
          <w:ilvl w:val="0"/>
          <w:numId w:val="53"/>
        </w:numPr>
        <w:pBdr>
          <w:top w:val="nil"/>
          <w:left w:val="nil"/>
          <w:bottom w:val="nil"/>
          <w:right w:val="nil"/>
          <w:between w:val="nil"/>
        </w:pBdr>
        <w:tabs>
          <w:tab w:val="left" w:pos="622"/>
        </w:tabs>
        <w:spacing w:before="1"/>
        <w:ind w:hanging="361"/>
        <w:rPr>
          <w:color w:val="000000"/>
        </w:rPr>
      </w:pPr>
      <w:r>
        <w:rPr>
          <w:color w:val="000000"/>
        </w:rPr>
        <w:t>committing any offence</w:t>
      </w:r>
    </w:p>
    <w:p w14:paraId="67497A66" w14:textId="77777777" w:rsidR="007960A8" w:rsidRDefault="007960A8">
      <w:pPr>
        <w:pBdr>
          <w:top w:val="nil"/>
          <w:left w:val="nil"/>
          <w:bottom w:val="nil"/>
          <w:right w:val="nil"/>
          <w:between w:val="nil"/>
        </w:pBdr>
        <w:spacing w:before="9"/>
        <w:rPr>
          <w:color w:val="000000"/>
          <w:sz w:val="20"/>
          <w:szCs w:val="20"/>
        </w:rPr>
      </w:pPr>
    </w:p>
    <w:p w14:paraId="08E984A2" w14:textId="77777777" w:rsidR="007960A8" w:rsidRDefault="00A26397">
      <w:pPr>
        <w:numPr>
          <w:ilvl w:val="1"/>
          <w:numId w:val="53"/>
        </w:numPr>
        <w:pBdr>
          <w:top w:val="nil"/>
          <w:left w:val="nil"/>
          <w:bottom w:val="nil"/>
          <w:right w:val="nil"/>
          <w:between w:val="nil"/>
        </w:pBdr>
        <w:tabs>
          <w:tab w:val="left" w:pos="1046"/>
        </w:tabs>
        <w:rPr>
          <w:color w:val="000000"/>
        </w:rPr>
      </w:pPr>
      <w:r>
        <w:rPr>
          <w:color w:val="000000"/>
        </w:rPr>
        <w:t>under the Bribery Act 2010 (or any legislation repealed or revoked by such Act),</w:t>
      </w:r>
    </w:p>
    <w:p w14:paraId="0191EBB5" w14:textId="77777777" w:rsidR="007960A8" w:rsidRDefault="007960A8">
      <w:pPr>
        <w:pBdr>
          <w:top w:val="nil"/>
          <w:left w:val="nil"/>
          <w:bottom w:val="nil"/>
          <w:right w:val="nil"/>
          <w:between w:val="nil"/>
        </w:pBdr>
        <w:spacing w:before="7"/>
        <w:rPr>
          <w:color w:val="000000"/>
          <w:sz w:val="20"/>
          <w:szCs w:val="20"/>
        </w:rPr>
      </w:pPr>
    </w:p>
    <w:p w14:paraId="560C42B6" w14:textId="77777777" w:rsidR="007960A8" w:rsidRDefault="00A26397">
      <w:pPr>
        <w:numPr>
          <w:ilvl w:val="1"/>
          <w:numId w:val="53"/>
        </w:numPr>
        <w:pBdr>
          <w:top w:val="nil"/>
          <w:left w:val="nil"/>
          <w:bottom w:val="nil"/>
          <w:right w:val="nil"/>
          <w:between w:val="nil"/>
        </w:pBdr>
        <w:tabs>
          <w:tab w:val="left" w:pos="1046"/>
        </w:tabs>
        <w:rPr>
          <w:color w:val="000000"/>
        </w:rPr>
      </w:pPr>
      <w:r>
        <w:rPr>
          <w:color w:val="000000"/>
        </w:rPr>
        <w:t>under legislation or common law concerning fraudulent acts or</w:t>
      </w:r>
    </w:p>
    <w:p w14:paraId="2F6836A8" w14:textId="77777777" w:rsidR="007960A8" w:rsidRDefault="007960A8">
      <w:pPr>
        <w:pBdr>
          <w:top w:val="nil"/>
          <w:left w:val="nil"/>
          <w:bottom w:val="nil"/>
          <w:right w:val="nil"/>
          <w:between w:val="nil"/>
        </w:pBdr>
        <w:spacing w:before="10"/>
        <w:rPr>
          <w:color w:val="000000"/>
          <w:sz w:val="20"/>
          <w:szCs w:val="20"/>
        </w:rPr>
      </w:pPr>
    </w:p>
    <w:p w14:paraId="4C05979C" w14:textId="77777777" w:rsidR="007960A8" w:rsidRDefault="00A26397">
      <w:pPr>
        <w:numPr>
          <w:ilvl w:val="1"/>
          <w:numId w:val="53"/>
        </w:numPr>
        <w:pBdr>
          <w:top w:val="nil"/>
          <w:left w:val="nil"/>
          <w:bottom w:val="nil"/>
          <w:right w:val="nil"/>
          <w:between w:val="nil"/>
        </w:pBdr>
        <w:tabs>
          <w:tab w:val="left" w:pos="1046"/>
        </w:tabs>
        <w:rPr>
          <w:color w:val="000000"/>
        </w:rPr>
      </w:pPr>
      <w:r>
        <w:rPr>
          <w:color w:val="000000"/>
        </w:rPr>
        <w:t xml:space="preserve">defrauding, attempting to defraud or conspiring to defraud the </w:t>
      </w:r>
      <w:r>
        <w:rPr>
          <w:i/>
          <w:iCs/>
          <w:color w:val="000000"/>
        </w:rPr>
        <w:t xml:space="preserve">Client </w:t>
      </w:r>
      <w:r>
        <w:rPr>
          <w:color w:val="000000"/>
        </w:rPr>
        <w:t>or</w:t>
      </w:r>
    </w:p>
    <w:p w14:paraId="0D960794" w14:textId="77777777" w:rsidR="007960A8" w:rsidRDefault="007960A8">
      <w:pPr>
        <w:pBdr>
          <w:top w:val="nil"/>
          <w:left w:val="nil"/>
          <w:bottom w:val="nil"/>
          <w:right w:val="nil"/>
          <w:between w:val="nil"/>
        </w:pBdr>
        <w:spacing w:before="9"/>
        <w:rPr>
          <w:color w:val="000000"/>
          <w:sz w:val="20"/>
          <w:szCs w:val="20"/>
        </w:rPr>
      </w:pPr>
    </w:p>
    <w:p w14:paraId="4FAD6C51" w14:textId="77777777" w:rsidR="007960A8" w:rsidRDefault="00A26397">
      <w:pPr>
        <w:numPr>
          <w:ilvl w:val="0"/>
          <w:numId w:val="53"/>
        </w:numPr>
        <w:pBdr>
          <w:top w:val="nil"/>
          <w:left w:val="nil"/>
          <w:bottom w:val="nil"/>
          <w:right w:val="nil"/>
          <w:between w:val="nil"/>
        </w:pBdr>
        <w:tabs>
          <w:tab w:val="left" w:pos="648"/>
        </w:tabs>
        <w:spacing w:line="237" w:lineRule="auto"/>
        <w:ind w:left="647" w:right="220"/>
        <w:rPr>
          <w:color w:val="000000"/>
        </w:rPr>
      </w:pPr>
      <w:r>
        <w:rPr>
          <w:color w:val="000000"/>
        </w:rPr>
        <w:t>any activity, practice or conduct which would constitute one of the offences listed above if such activity, practice or conduct had been carried out in the UK.</w:t>
      </w:r>
    </w:p>
    <w:p w14:paraId="4B213811" w14:textId="77777777" w:rsidR="007960A8" w:rsidRDefault="007960A8">
      <w:pPr>
        <w:pBdr>
          <w:top w:val="nil"/>
          <w:left w:val="nil"/>
          <w:bottom w:val="nil"/>
          <w:right w:val="nil"/>
          <w:between w:val="nil"/>
        </w:pBdr>
        <w:rPr>
          <w:color w:val="000000"/>
          <w:sz w:val="21"/>
          <w:szCs w:val="21"/>
        </w:rPr>
      </w:pPr>
    </w:p>
    <w:p w14:paraId="5470B971" w14:textId="77777777" w:rsidR="007960A8" w:rsidRDefault="00A26397">
      <w:pPr>
        <w:pBdr>
          <w:top w:val="nil"/>
          <w:left w:val="nil"/>
          <w:bottom w:val="nil"/>
          <w:right w:val="nil"/>
          <w:between w:val="nil"/>
        </w:pBdr>
        <w:ind w:left="220" w:right="220"/>
        <w:jc w:val="both"/>
        <w:rPr>
          <w:color w:val="000000"/>
        </w:rPr>
      </w:pPr>
      <w:r>
        <w:rPr>
          <w:color w:val="000000"/>
        </w:rPr>
        <w:t>11.3 (25) Request for Information is a request for information or an apparent request under the</w:t>
      </w:r>
      <w:r>
        <w:rPr>
          <w:color w:val="000000"/>
        </w:rPr>
        <w:t xml:space="preserve"> Code of Practice on Access to government Information, FOIA or the Environmental Information Regulations.</w:t>
      </w:r>
    </w:p>
    <w:p w14:paraId="03871905" w14:textId="77777777" w:rsidR="007960A8" w:rsidRDefault="007960A8">
      <w:pPr>
        <w:pBdr>
          <w:top w:val="nil"/>
          <w:left w:val="nil"/>
          <w:bottom w:val="nil"/>
          <w:right w:val="nil"/>
          <w:between w:val="nil"/>
        </w:pBdr>
        <w:rPr>
          <w:color w:val="000000"/>
          <w:sz w:val="20"/>
          <w:szCs w:val="20"/>
        </w:rPr>
      </w:pPr>
    </w:p>
    <w:p w14:paraId="70D776AE" w14:textId="77777777" w:rsidR="007960A8" w:rsidRDefault="00A26397">
      <w:pPr>
        <w:pBdr>
          <w:top w:val="nil"/>
          <w:left w:val="nil"/>
          <w:bottom w:val="nil"/>
          <w:right w:val="nil"/>
          <w:between w:val="nil"/>
        </w:pBdr>
        <w:ind w:left="220" w:right="215"/>
        <w:jc w:val="both"/>
        <w:rPr>
          <w:color w:val="000000"/>
        </w:rPr>
      </w:pPr>
      <w:r>
        <w:rPr>
          <w:color w:val="000000"/>
        </w:rPr>
        <w:t xml:space="preserve">11.3 (26) Relevant Requirements are all </w:t>
      </w:r>
      <w:r>
        <w:rPr>
          <w:i/>
          <w:iCs/>
          <w:color w:val="000000"/>
        </w:rPr>
        <w:t>applicable Laws</w:t>
      </w:r>
      <w:r>
        <w:rPr>
          <w:color w:val="000000"/>
        </w:rPr>
        <w:t xml:space="preserve"> relating to bribery, corruption and fraud, including the Bribery Act 2010 and any guidance issued by the Secretary of State for Justice pursuant to section 9 of the Bribery Act 2010.</w:t>
      </w:r>
    </w:p>
    <w:p w14:paraId="14F0F550" w14:textId="77777777" w:rsidR="007960A8" w:rsidRDefault="007960A8">
      <w:pPr>
        <w:pBdr>
          <w:top w:val="nil"/>
          <w:left w:val="nil"/>
          <w:bottom w:val="nil"/>
          <w:right w:val="nil"/>
          <w:between w:val="nil"/>
        </w:pBdr>
        <w:spacing w:before="10"/>
        <w:rPr>
          <w:color w:val="000000"/>
          <w:sz w:val="20"/>
          <w:szCs w:val="20"/>
        </w:rPr>
      </w:pPr>
    </w:p>
    <w:p w14:paraId="7AFFBA87" w14:textId="77777777" w:rsidR="007960A8" w:rsidRDefault="00A26397">
      <w:pPr>
        <w:pBdr>
          <w:top w:val="nil"/>
          <w:left w:val="nil"/>
          <w:bottom w:val="nil"/>
          <w:right w:val="nil"/>
          <w:between w:val="nil"/>
        </w:pBdr>
        <w:ind w:left="220" w:right="215"/>
        <w:jc w:val="both"/>
        <w:rPr>
          <w:color w:val="000000"/>
        </w:rPr>
      </w:pPr>
      <w:r>
        <w:rPr>
          <w:color w:val="000000"/>
        </w:rPr>
        <w:t>11.3 (27) Relevant Tax Authority is HM Revenue &amp; Customs, or, if applic</w:t>
      </w:r>
      <w:r>
        <w:rPr>
          <w:color w:val="000000"/>
        </w:rPr>
        <w:t xml:space="preserve">able, a tax authority in the jurisdiction in which the </w:t>
      </w:r>
      <w:r>
        <w:rPr>
          <w:i/>
          <w:iCs/>
          <w:color w:val="000000"/>
        </w:rPr>
        <w:t xml:space="preserve">Service Provider </w:t>
      </w:r>
      <w:r>
        <w:rPr>
          <w:color w:val="000000"/>
        </w:rPr>
        <w:t>is established.</w:t>
      </w:r>
    </w:p>
    <w:p w14:paraId="3FA3BD49" w14:textId="77777777" w:rsidR="007960A8" w:rsidRDefault="007960A8">
      <w:pPr>
        <w:pBdr>
          <w:top w:val="nil"/>
          <w:left w:val="nil"/>
          <w:bottom w:val="nil"/>
          <w:right w:val="nil"/>
          <w:between w:val="nil"/>
        </w:pBdr>
        <w:spacing w:before="10"/>
        <w:rPr>
          <w:color w:val="000000"/>
          <w:sz w:val="20"/>
          <w:szCs w:val="20"/>
        </w:rPr>
      </w:pPr>
    </w:p>
    <w:p w14:paraId="07A17742" w14:textId="77777777" w:rsidR="007960A8" w:rsidRDefault="00A26397">
      <w:pPr>
        <w:pBdr>
          <w:top w:val="nil"/>
          <w:left w:val="nil"/>
          <w:bottom w:val="nil"/>
          <w:right w:val="nil"/>
          <w:between w:val="nil"/>
        </w:pBdr>
        <w:ind w:left="220" w:right="216"/>
        <w:jc w:val="both"/>
        <w:rPr>
          <w:color w:val="000000"/>
        </w:rPr>
      </w:pPr>
      <w:r>
        <w:rPr>
          <w:color w:val="000000"/>
        </w:rPr>
        <w:t xml:space="preserve">11.3 (28) Security Policy means the </w:t>
      </w:r>
      <w:r>
        <w:rPr>
          <w:i/>
          <w:iCs/>
          <w:color w:val="000000"/>
        </w:rPr>
        <w:t>Client</w:t>
      </w:r>
      <w:r>
        <w:rPr>
          <w:color w:val="000000"/>
        </w:rPr>
        <w:t>’s security policy attached as Appendix 1 to Contract Schedule J (Security Provisions) as may be updated from time to time.</w:t>
      </w:r>
    </w:p>
    <w:p w14:paraId="5868DB5E" w14:textId="77777777" w:rsidR="007960A8" w:rsidRDefault="007960A8">
      <w:pPr>
        <w:pBdr>
          <w:top w:val="nil"/>
          <w:left w:val="nil"/>
          <w:bottom w:val="nil"/>
          <w:right w:val="nil"/>
          <w:between w:val="nil"/>
        </w:pBdr>
        <w:ind w:left="220" w:right="216"/>
        <w:jc w:val="both"/>
        <w:rPr>
          <w:color w:val="000000"/>
        </w:rPr>
      </w:pPr>
    </w:p>
    <w:p w14:paraId="49B48E6C" w14:textId="77777777" w:rsidR="007960A8" w:rsidRDefault="00A26397">
      <w:pPr>
        <w:pBdr>
          <w:top w:val="nil"/>
          <w:left w:val="nil"/>
          <w:bottom w:val="nil"/>
          <w:right w:val="nil"/>
          <w:between w:val="nil"/>
        </w:pBdr>
        <w:ind w:left="220" w:right="216"/>
        <w:jc w:val="both"/>
        <w:rPr>
          <w:color w:val="000000"/>
        </w:rPr>
      </w:pPr>
      <w:r>
        <w:rPr>
          <w:color w:val="000000"/>
        </w:rPr>
        <w:t xml:space="preserve">11.3 (29) VADR is the VAT disclosure regime under Schedule 11A of the Value Added Tax Act 1994 (VATA 1994) (as amended by Schedule </w:t>
      </w:r>
      <w:r>
        <w:rPr>
          <w:color w:val="000000"/>
        </w:rPr>
        <w:t>1 of the Finance (No. 2) Act 2005).</w:t>
      </w:r>
    </w:p>
    <w:p w14:paraId="2EC8A6F1" w14:textId="77777777" w:rsidR="007960A8" w:rsidRDefault="007960A8">
      <w:pPr>
        <w:pBdr>
          <w:top w:val="nil"/>
          <w:left w:val="nil"/>
          <w:bottom w:val="nil"/>
          <w:right w:val="nil"/>
          <w:between w:val="nil"/>
        </w:pBdr>
        <w:rPr>
          <w:color w:val="000000"/>
          <w:sz w:val="20"/>
          <w:szCs w:val="20"/>
        </w:rPr>
      </w:pPr>
    </w:p>
    <w:p w14:paraId="62B93FFE" w14:textId="77777777" w:rsidR="007960A8" w:rsidRDefault="00A26397">
      <w:pPr>
        <w:pBdr>
          <w:top w:val="nil"/>
          <w:left w:val="nil"/>
          <w:bottom w:val="nil"/>
          <w:right w:val="nil"/>
          <w:between w:val="nil"/>
        </w:pBdr>
        <w:ind w:left="220" w:right="216"/>
        <w:jc w:val="both"/>
        <w:rPr>
          <w:color w:val="000000"/>
        </w:rPr>
      </w:pPr>
      <w:r>
        <w:rPr>
          <w:color w:val="000000"/>
        </w:rPr>
        <w:t>11.3 (30) Working Days are any day other than a Saturday or Sunday or public holiday in England and Wales unless specified otherwise by the Parties in the Contract.</w:t>
      </w:r>
    </w:p>
    <w:p w14:paraId="77D8E84F" w14:textId="77777777" w:rsidR="007960A8" w:rsidRDefault="007960A8">
      <w:pPr>
        <w:pBdr>
          <w:top w:val="nil"/>
          <w:left w:val="nil"/>
          <w:bottom w:val="nil"/>
          <w:right w:val="nil"/>
          <w:between w:val="nil"/>
        </w:pBdr>
        <w:spacing w:before="7"/>
        <w:rPr>
          <w:color w:val="000000"/>
          <w:sz w:val="19"/>
          <w:szCs w:val="19"/>
        </w:rPr>
      </w:pPr>
    </w:p>
    <w:p w14:paraId="57551443" w14:textId="77777777" w:rsidR="007960A8" w:rsidRDefault="00A26397">
      <w:pPr>
        <w:pStyle w:val="Heading1"/>
        <w:ind w:firstLine="220"/>
      </w:pPr>
      <w:r>
        <w:t>Option Z2 - Admittance to Client’s Premises</w:t>
      </w:r>
    </w:p>
    <w:p w14:paraId="75F72807" w14:textId="77777777" w:rsidR="007960A8" w:rsidRDefault="007960A8">
      <w:pPr>
        <w:pBdr>
          <w:top w:val="nil"/>
          <w:left w:val="nil"/>
          <w:bottom w:val="nil"/>
          <w:right w:val="nil"/>
          <w:between w:val="nil"/>
        </w:pBdr>
        <w:spacing w:before="10"/>
        <w:rPr>
          <w:b/>
          <w:bCs/>
          <w:i/>
          <w:iCs/>
          <w:color w:val="000000"/>
        </w:rPr>
      </w:pPr>
    </w:p>
    <w:p w14:paraId="25C77EA5" w14:textId="77777777" w:rsidR="007960A8" w:rsidRDefault="00A26397">
      <w:pPr>
        <w:pBdr>
          <w:top w:val="nil"/>
          <w:left w:val="nil"/>
          <w:bottom w:val="nil"/>
          <w:right w:val="nil"/>
          <w:between w:val="nil"/>
        </w:pBdr>
        <w:ind w:left="220"/>
        <w:rPr>
          <w:color w:val="000000"/>
        </w:rPr>
      </w:pPr>
      <w:r>
        <w:rPr>
          <w:color w:val="000000"/>
        </w:rPr>
        <w:t>Insert new clause 20A:</w:t>
      </w:r>
    </w:p>
    <w:p w14:paraId="71523B35" w14:textId="77777777" w:rsidR="007960A8" w:rsidRDefault="007960A8">
      <w:pPr>
        <w:pBdr>
          <w:top w:val="nil"/>
          <w:left w:val="nil"/>
          <w:bottom w:val="nil"/>
          <w:right w:val="nil"/>
          <w:between w:val="nil"/>
        </w:pBdr>
        <w:spacing w:before="8"/>
        <w:rPr>
          <w:color w:val="000000"/>
        </w:rPr>
      </w:pPr>
    </w:p>
    <w:p w14:paraId="7AB65417" w14:textId="77777777" w:rsidR="007960A8" w:rsidRDefault="00A26397">
      <w:pPr>
        <w:pBdr>
          <w:top w:val="nil"/>
          <w:left w:val="nil"/>
          <w:bottom w:val="nil"/>
          <w:right w:val="nil"/>
          <w:between w:val="nil"/>
        </w:pBdr>
        <w:spacing w:line="259" w:lineRule="auto"/>
        <w:ind w:left="220" w:right="559"/>
        <w:rPr>
          <w:color w:val="000000"/>
        </w:rPr>
      </w:pPr>
      <w:r>
        <w:rPr>
          <w:color w:val="000000"/>
        </w:rPr>
        <w:t xml:space="preserve">20A.1 The </w:t>
      </w:r>
      <w:r>
        <w:rPr>
          <w:i/>
          <w:iCs/>
          <w:color w:val="000000"/>
        </w:rPr>
        <w:t xml:space="preserve">Service Provider </w:t>
      </w:r>
      <w:r>
        <w:rPr>
          <w:color w:val="000000"/>
        </w:rPr>
        <w:t xml:space="preserve">submits to the </w:t>
      </w:r>
      <w:r>
        <w:rPr>
          <w:i/>
          <w:iCs/>
          <w:color w:val="000000"/>
        </w:rPr>
        <w:t xml:space="preserve">Client’s Agent/Service Manager </w:t>
      </w:r>
      <w:r>
        <w:rPr>
          <w:color w:val="000000"/>
        </w:rPr>
        <w:t xml:space="preserve">details of people who are to be employed by it and its Subcontractors in providing the Service and states why their access is required. </w:t>
      </w:r>
    </w:p>
    <w:p w14:paraId="3FC4EFAA" w14:textId="77777777" w:rsidR="007960A8" w:rsidRDefault="007960A8">
      <w:pPr>
        <w:pBdr>
          <w:top w:val="nil"/>
          <w:left w:val="nil"/>
          <w:bottom w:val="nil"/>
          <w:right w:val="nil"/>
          <w:between w:val="nil"/>
        </w:pBdr>
        <w:spacing w:before="9"/>
        <w:rPr>
          <w:color w:val="000000"/>
          <w:sz w:val="20"/>
          <w:szCs w:val="20"/>
        </w:rPr>
      </w:pPr>
    </w:p>
    <w:p w14:paraId="012B2999" w14:textId="77777777" w:rsidR="007960A8" w:rsidRDefault="00A26397">
      <w:pPr>
        <w:pBdr>
          <w:top w:val="nil"/>
          <w:left w:val="nil"/>
          <w:bottom w:val="nil"/>
          <w:right w:val="nil"/>
          <w:between w:val="nil"/>
        </w:pBdr>
        <w:spacing w:line="256" w:lineRule="auto"/>
        <w:ind w:left="220" w:right="1049"/>
        <w:rPr>
          <w:color w:val="000000"/>
        </w:rPr>
      </w:pPr>
      <w:r>
        <w:rPr>
          <w:color w:val="000000"/>
        </w:rPr>
        <w:t xml:space="preserve">20A.2 The </w:t>
      </w:r>
      <w:r>
        <w:rPr>
          <w:i/>
          <w:iCs/>
          <w:color w:val="000000"/>
        </w:rPr>
        <w:t>Service Provider’s</w:t>
      </w:r>
      <w:r>
        <w:rPr>
          <w:color w:val="000000"/>
        </w:rPr>
        <w:t xml:space="preserve"> staff and its Subcontractor’s staff are to be appropriately trained and qualified and vetted using Good Industry Practice and any staff vetting requirements set out in the Scope and where no other requirements are set out, the Baseline Personnel Security </w:t>
      </w:r>
      <w:r>
        <w:rPr>
          <w:color w:val="000000"/>
        </w:rPr>
        <w:t>Standard.</w:t>
      </w:r>
    </w:p>
    <w:p w14:paraId="6FE78814" w14:textId="77777777" w:rsidR="007960A8" w:rsidRDefault="007960A8">
      <w:pPr>
        <w:pBdr>
          <w:top w:val="nil"/>
          <w:left w:val="nil"/>
          <w:bottom w:val="nil"/>
          <w:right w:val="nil"/>
          <w:between w:val="nil"/>
        </w:pBdr>
        <w:spacing w:line="256" w:lineRule="auto"/>
        <w:ind w:left="220" w:right="1049"/>
        <w:rPr>
          <w:color w:val="000000"/>
        </w:rPr>
      </w:pPr>
    </w:p>
    <w:p w14:paraId="205C5BA2" w14:textId="77777777" w:rsidR="007960A8" w:rsidRDefault="00A26397">
      <w:pPr>
        <w:pBdr>
          <w:top w:val="nil"/>
          <w:left w:val="nil"/>
          <w:bottom w:val="nil"/>
          <w:right w:val="nil"/>
          <w:between w:val="nil"/>
        </w:pBdr>
        <w:spacing w:line="256" w:lineRule="auto"/>
        <w:ind w:left="220" w:right="1049"/>
        <w:rPr>
          <w:color w:val="000000"/>
        </w:rPr>
      </w:pPr>
      <w:r>
        <w:rPr>
          <w:color w:val="000000"/>
        </w:rPr>
        <w:t xml:space="preserve">20A.3 The </w:t>
      </w:r>
      <w:r>
        <w:rPr>
          <w:i/>
          <w:iCs/>
          <w:color w:val="000000"/>
        </w:rPr>
        <w:t xml:space="preserve">Client’s Agent/Service Manager </w:t>
      </w:r>
      <w:r>
        <w:rPr>
          <w:color w:val="000000"/>
        </w:rPr>
        <w:t xml:space="preserve">may instruct the </w:t>
      </w:r>
      <w:r>
        <w:rPr>
          <w:i/>
          <w:iCs/>
          <w:color w:val="000000"/>
        </w:rPr>
        <w:t xml:space="preserve">Service Provider </w:t>
      </w:r>
      <w:r>
        <w:rPr>
          <w:color w:val="000000"/>
        </w:rPr>
        <w:t xml:space="preserve">to replace any individuals identified by the </w:t>
      </w:r>
      <w:r>
        <w:rPr>
          <w:i/>
          <w:iCs/>
          <w:color w:val="000000"/>
        </w:rPr>
        <w:t>Client</w:t>
      </w:r>
      <w:r>
        <w:rPr>
          <w:color w:val="000000"/>
        </w:rPr>
        <w:t xml:space="preserve"> as not being suitable to work on the Contract with a suitably qualified alternative.</w:t>
      </w:r>
    </w:p>
    <w:p w14:paraId="12341851" w14:textId="77777777" w:rsidR="007960A8" w:rsidRDefault="007960A8">
      <w:pPr>
        <w:pBdr>
          <w:top w:val="nil"/>
          <w:left w:val="nil"/>
          <w:bottom w:val="nil"/>
          <w:right w:val="nil"/>
          <w:between w:val="nil"/>
        </w:pBdr>
        <w:spacing w:before="2"/>
        <w:rPr>
          <w:color w:val="000000"/>
          <w:sz w:val="21"/>
          <w:szCs w:val="21"/>
        </w:rPr>
      </w:pPr>
    </w:p>
    <w:p w14:paraId="73959352" w14:textId="77777777" w:rsidR="007960A8" w:rsidRDefault="00A26397">
      <w:pPr>
        <w:pBdr>
          <w:top w:val="nil"/>
          <w:left w:val="nil"/>
          <w:bottom w:val="nil"/>
          <w:right w:val="nil"/>
          <w:between w:val="nil"/>
        </w:pBdr>
        <w:spacing w:before="1" w:line="259" w:lineRule="auto"/>
        <w:ind w:left="220" w:right="389"/>
        <w:rPr>
          <w:color w:val="000000"/>
        </w:rPr>
      </w:pPr>
      <w:r>
        <w:rPr>
          <w:color w:val="000000"/>
        </w:rPr>
        <w:t xml:space="preserve">20A.4 Employees of the </w:t>
      </w:r>
      <w:r>
        <w:rPr>
          <w:i/>
          <w:iCs/>
          <w:color w:val="000000"/>
        </w:rPr>
        <w:t>Service P</w:t>
      </w:r>
      <w:r>
        <w:rPr>
          <w:i/>
          <w:iCs/>
          <w:color w:val="000000"/>
        </w:rPr>
        <w:t xml:space="preserve">rovider </w:t>
      </w:r>
      <w:r>
        <w:rPr>
          <w:color w:val="000000"/>
        </w:rPr>
        <w:t>and its Subcontractors are to comply with all conduct requirements whilst they are on the parts of the Client’s Premises identified in the Scope.</w:t>
      </w:r>
    </w:p>
    <w:p w14:paraId="4C419DF6" w14:textId="77777777" w:rsidR="007960A8" w:rsidRDefault="007960A8">
      <w:pPr>
        <w:pBdr>
          <w:top w:val="nil"/>
          <w:left w:val="nil"/>
          <w:bottom w:val="nil"/>
          <w:right w:val="nil"/>
          <w:between w:val="nil"/>
        </w:pBdr>
        <w:spacing w:before="1" w:line="259" w:lineRule="auto"/>
        <w:ind w:left="220" w:right="389"/>
        <w:rPr>
          <w:color w:val="000000"/>
        </w:rPr>
      </w:pPr>
    </w:p>
    <w:p w14:paraId="0C55B2DF" w14:textId="77777777" w:rsidR="007960A8" w:rsidRDefault="00A26397">
      <w:pPr>
        <w:pBdr>
          <w:top w:val="nil"/>
          <w:left w:val="nil"/>
          <w:bottom w:val="nil"/>
          <w:right w:val="nil"/>
          <w:between w:val="nil"/>
        </w:pBdr>
        <w:spacing w:before="1" w:line="259" w:lineRule="auto"/>
        <w:ind w:left="220" w:right="389"/>
        <w:rPr>
          <w:color w:val="000000"/>
        </w:rPr>
      </w:pPr>
      <w:r>
        <w:rPr>
          <w:color w:val="000000"/>
        </w:rPr>
        <w:t xml:space="preserve">20A.5 The </w:t>
      </w:r>
      <w:r>
        <w:rPr>
          <w:i/>
          <w:iCs/>
          <w:color w:val="000000"/>
        </w:rPr>
        <w:t>Service Provider</w:t>
      </w:r>
      <w:r>
        <w:rPr>
          <w:color w:val="000000"/>
        </w:rPr>
        <w:t xml:space="preserve"> indemnifies the </w:t>
      </w:r>
      <w:r>
        <w:rPr>
          <w:i/>
          <w:iCs/>
          <w:color w:val="000000"/>
        </w:rPr>
        <w:t>Client</w:t>
      </w:r>
      <w:r>
        <w:rPr>
          <w:color w:val="000000"/>
        </w:rPr>
        <w:t xml:space="preserve"> against all claims brought by any person employed o</w:t>
      </w:r>
      <w:r>
        <w:rPr>
          <w:color w:val="000000"/>
        </w:rPr>
        <w:t xml:space="preserve">r engaged by the </w:t>
      </w:r>
      <w:r>
        <w:rPr>
          <w:i/>
          <w:iCs/>
          <w:color w:val="000000"/>
        </w:rPr>
        <w:t>Service Provider</w:t>
      </w:r>
      <w:r>
        <w:rPr>
          <w:color w:val="000000"/>
        </w:rPr>
        <w:t xml:space="preserve"> caused by an act or omission of the </w:t>
      </w:r>
      <w:r>
        <w:rPr>
          <w:i/>
          <w:iCs/>
          <w:color w:val="000000"/>
        </w:rPr>
        <w:t>Service Provider</w:t>
      </w:r>
      <w:r>
        <w:rPr>
          <w:color w:val="000000"/>
        </w:rPr>
        <w:t>, it’s staff or Subcontractors.</w:t>
      </w:r>
    </w:p>
    <w:p w14:paraId="4EBBD9F2" w14:textId="77777777" w:rsidR="007960A8" w:rsidRDefault="007960A8">
      <w:pPr>
        <w:pBdr>
          <w:top w:val="nil"/>
          <w:left w:val="nil"/>
          <w:bottom w:val="nil"/>
          <w:right w:val="nil"/>
          <w:between w:val="nil"/>
        </w:pBdr>
        <w:spacing w:before="1" w:line="259" w:lineRule="auto"/>
        <w:ind w:left="220" w:right="389"/>
        <w:rPr>
          <w:color w:val="000000"/>
        </w:rPr>
      </w:pPr>
    </w:p>
    <w:p w14:paraId="17A4F6F4" w14:textId="77777777" w:rsidR="007960A8" w:rsidRDefault="00A26397">
      <w:pPr>
        <w:pBdr>
          <w:top w:val="nil"/>
          <w:left w:val="nil"/>
          <w:bottom w:val="nil"/>
          <w:right w:val="nil"/>
          <w:between w:val="nil"/>
        </w:pBdr>
        <w:spacing w:before="1" w:line="259" w:lineRule="auto"/>
        <w:ind w:left="220" w:right="389"/>
        <w:rPr>
          <w:color w:val="000000"/>
        </w:rPr>
      </w:pPr>
      <w:r>
        <w:rPr>
          <w:color w:val="000000"/>
        </w:rPr>
        <w:t xml:space="preserve">20A.6 The </w:t>
      </w:r>
      <w:r>
        <w:rPr>
          <w:i/>
          <w:iCs/>
          <w:color w:val="000000"/>
        </w:rPr>
        <w:t xml:space="preserve">Client </w:t>
      </w:r>
      <w:r>
        <w:rPr>
          <w:color w:val="000000"/>
        </w:rPr>
        <w:t xml:space="preserve">indemnifies the </w:t>
      </w:r>
      <w:r>
        <w:rPr>
          <w:i/>
          <w:iCs/>
          <w:color w:val="000000"/>
        </w:rPr>
        <w:t xml:space="preserve">Service Provider </w:t>
      </w:r>
      <w:r>
        <w:rPr>
          <w:color w:val="000000"/>
        </w:rPr>
        <w:t xml:space="preserve">against all claims brought by any person employed or engaged by the </w:t>
      </w:r>
      <w:r>
        <w:rPr>
          <w:i/>
          <w:iCs/>
          <w:color w:val="000000"/>
        </w:rPr>
        <w:t xml:space="preserve">Client </w:t>
      </w:r>
      <w:r>
        <w:rPr>
          <w:color w:val="000000"/>
        </w:rPr>
        <w:t xml:space="preserve">caused by an act or omission of the </w:t>
      </w:r>
      <w:r>
        <w:rPr>
          <w:i/>
          <w:iCs/>
          <w:color w:val="000000"/>
        </w:rPr>
        <w:t>Client</w:t>
      </w:r>
      <w:r>
        <w:rPr>
          <w:color w:val="000000"/>
        </w:rPr>
        <w:t xml:space="preserve"> or any of the Client’s employees, agents, consultants and contractors.</w:t>
      </w:r>
    </w:p>
    <w:p w14:paraId="2EA2A08B" w14:textId="77777777" w:rsidR="007960A8" w:rsidRDefault="007960A8">
      <w:pPr>
        <w:pBdr>
          <w:top w:val="nil"/>
          <w:left w:val="nil"/>
          <w:bottom w:val="nil"/>
          <w:right w:val="nil"/>
          <w:between w:val="nil"/>
        </w:pBdr>
        <w:spacing w:before="1" w:line="259" w:lineRule="auto"/>
        <w:ind w:left="220" w:right="389"/>
        <w:rPr>
          <w:color w:val="000000"/>
        </w:rPr>
      </w:pPr>
    </w:p>
    <w:p w14:paraId="2FF5CD4A" w14:textId="77777777" w:rsidR="007960A8" w:rsidRDefault="00A26397">
      <w:pPr>
        <w:pBdr>
          <w:top w:val="nil"/>
          <w:left w:val="nil"/>
          <w:bottom w:val="nil"/>
          <w:right w:val="nil"/>
          <w:between w:val="nil"/>
        </w:pBdr>
        <w:spacing w:before="1" w:line="259" w:lineRule="auto"/>
        <w:ind w:left="220" w:right="389"/>
        <w:rPr>
          <w:color w:val="000000"/>
        </w:rPr>
      </w:pPr>
      <w:r>
        <w:rPr>
          <w:color w:val="000000"/>
        </w:rPr>
        <w:t>[20A.7 The provisions of this clause 20A are in addition to and no</w:t>
      </w:r>
      <w:r>
        <w:rPr>
          <w:color w:val="000000"/>
        </w:rPr>
        <w:t xml:space="preserve">t in substitution for the employment exit provisions of Schedule [X] (Staff Transfer).] </w:t>
      </w:r>
      <w:r>
        <w:rPr>
          <w:color w:val="000000"/>
          <w:highlight w:val="yellow"/>
        </w:rPr>
        <w:t>[Guidance: to be deleted if Staff Transfer Schedule not used]</w:t>
      </w:r>
    </w:p>
    <w:p w14:paraId="03D14CBB" w14:textId="77777777" w:rsidR="007960A8" w:rsidRDefault="007960A8">
      <w:pPr>
        <w:pBdr>
          <w:top w:val="nil"/>
          <w:left w:val="nil"/>
          <w:bottom w:val="nil"/>
          <w:right w:val="nil"/>
          <w:between w:val="nil"/>
        </w:pBdr>
        <w:spacing w:before="8"/>
        <w:rPr>
          <w:color w:val="000000"/>
          <w:sz w:val="20"/>
          <w:szCs w:val="20"/>
        </w:rPr>
      </w:pPr>
    </w:p>
    <w:p w14:paraId="0F7941EE" w14:textId="77777777" w:rsidR="007960A8" w:rsidRDefault="00A26397">
      <w:pPr>
        <w:pStyle w:val="Heading1"/>
        <w:spacing w:before="203"/>
        <w:ind w:left="112"/>
      </w:pPr>
      <w:r>
        <w:t>Option Z3 - Prevention of fraud and bribery</w:t>
      </w:r>
    </w:p>
    <w:p w14:paraId="39E31071" w14:textId="77777777" w:rsidR="007960A8" w:rsidRDefault="007960A8">
      <w:pPr>
        <w:pBdr>
          <w:top w:val="nil"/>
          <w:left w:val="nil"/>
          <w:bottom w:val="nil"/>
          <w:right w:val="nil"/>
          <w:between w:val="nil"/>
        </w:pBdr>
        <w:spacing w:before="10"/>
        <w:rPr>
          <w:b/>
          <w:bCs/>
          <w:color w:val="000000"/>
        </w:rPr>
      </w:pPr>
    </w:p>
    <w:p w14:paraId="56FA95BE" w14:textId="77777777" w:rsidR="007960A8" w:rsidRDefault="00A26397">
      <w:pPr>
        <w:pBdr>
          <w:top w:val="nil"/>
          <w:left w:val="nil"/>
          <w:bottom w:val="nil"/>
          <w:right w:val="nil"/>
          <w:between w:val="nil"/>
        </w:pBdr>
        <w:ind w:left="112"/>
        <w:rPr>
          <w:color w:val="000000"/>
        </w:rPr>
      </w:pPr>
      <w:r>
        <w:rPr>
          <w:color w:val="000000"/>
        </w:rPr>
        <w:t>Insert new clauses:</w:t>
      </w:r>
    </w:p>
    <w:p w14:paraId="664F79EE" w14:textId="77777777" w:rsidR="007960A8" w:rsidRDefault="007960A8">
      <w:pPr>
        <w:pBdr>
          <w:top w:val="nil"/>
          <w:left w:val="nil"/>
          <w:bottom w:val="nil"/>
          <w:right w:val="nil"/>
          <w:between w:val="nil"/>
        </w:pBdr>
        <w:spacing w:before="5"/>
        <w:rPr>
          <w:color w:val="000000"/>
        </w:rPr>
      </w:pPr>
    </w:p>
    <w:p w14:paraId="12058C7C" w14:textId="77777777" w:rsidR="007960A8" w:rsidRDefault="00A26397">
      <w:pPr>
        <w:tabs>
          <w:tab w:val="left" w:pos="785"/>
        </w:tabs>
        <w:spacing w:line="259" w:lineRule="auto"/>
        <w:ind w:left="142" w:right="278"/>
      </w:pPr>
      <w:r>
        <w:t xml:space="preserve">19A.4.1 The </w:t>
      </w:r>
      <w:r>
        <w:rPr>
          <w:i/>
          <w:iCs/>
        </w:rPr>
        <w:t xml:space="preserve">Service Provider </w:t>
      </w:r>
      <w:r>
        <w:t>represents and warrants that neither it, nor to the best of its knowledge any of its people, have at any time prior to the date of the Contract.</w:t>
      </w:r>
    </w:p>
    <w:p w14:paraId="79EB2F89" w14:textId="77777777" w:rsidR="007960A8" w:rsidRDefault="007960A8">
      <w:pPr>
        <w:pBdr>
          <w:top w:val="nil"/>
          <w:left w:val="nil"/>
          <w:bottom w:val="nil"/>
          <w:right w:val="nil"/>
          <w:between w:val="nil"/>
        </w:pBdr>
        <w:spacing w:before="10"/>
        <w:rPr>
          <w:color w:val="000000"/>
          <w:sz w:val="20"/>
          <w:szCs w:val="20"/>
        </w:rPr>
      </w:pPr>
    </w:p>
    <w:p w14:paraId="4E8B8757" w14:textId="77777777" w:rsidR="007960A8" w:rsidRDefault="00A26397">
      <w:pPr>
        <w:numPr>
          <w:ilvl w:val="3"/>
          <w:numId w:val="52"/>
        </w:numPr>
        <w:pBdr>
          <w:top w:val="nil"/>
          <w:left w:val="nil"/>
          <w:bottom w:val="nil"/>
          <w:right w:val="nil"/>
          <w:between w:val="nil"/>
        </w:pBdr>
        <w:tabs>
          <w:tab w:val="left" w:pos="833"/>
        </w:tabs>
        <w:spacing w:line="237" w:lineRule="auto"/>
        <w:ind w:right="217"/>
        <w:jc w:val="both"/>
        <w:rPr>
          <w:color w:val="000000"/>
        </w:rPr>
      </w:pPr>
      <w:r>
        <w:rPr>
          <w:color w:val="000000"/>
        </w:rPr>
        <w:t>committed a Prohibited Act or been formally notified that it is subject to an investigation o</w:t>
      </w:r>
      <w:r>
        <w:rPr>
          <w:color w:val="000000"/>
        </w:rPr>
        <w:t>r prosecution which relates to an alleged Prohibited Act or</w:t>
      </w:r>
    </w:p>
    <w:p w14:paraId="59D3F616" w14:textId="77777777" w:rsidR="007960A8" w:rsidRDefault="007960A8">
      <w:pPr>
        <w:pBdr>
          <w:top w:val="nil"/>
          <w:left w:val="nil"/>
          <w:bottom w:val="nil"/>
          <w:right w:val="nil"/>
          <w:between w:val="nil"/>
        </w:pBdr>
        <w:spacing w:before="1"/>
        <w:rPr>
          <w:color w:val="000000"/>
          <w:sz w:val="21"/>
          <w:szCs w:val="21"/>
        </w:rPr>
      </w:pPr>
    </w:p>
    <w:p w14:paraId="33948FE5" w14:textId="77777777" w:rsidR="007960A8" w:rsidRDefault="00A26397">
      <w:pPr>
        <w:numPr>
          <w:ilvl w:val="3"/>
          <w:numId w:val="52"/>
        </w:numPr>
        <w:pBdr>
          <w:top w:val="nil"/>
          <w:left w:val="nil"/>
          <w:bottom w:val="nil"/>
          <w:right w:val="nil"/>
          <w:between w:val="nil"/>
        </w:pBdr>
        <w:tabs>
          <w:tab w:val="left" w:pos="833"/>
        </w:tabs>
        <w:ind w:right="218"/>
        <w:jc w:val="both"/>
        <w:rPr>
          <w:color w:val="000000"/>
        </w:rPr>
      </w:pPr>
      <w:r>
        <w:rPr>
          <w:color w:val="000000"/>
        </w:rPr>
        <w:t>been listed by any government department or agency as being debarred, suspended, proposed for suspension or debarment, or otherwise ineligible for participation in government procurement programmes or contracts on the grounds of a Prohibited Act.</w:t>
      </w:r>
    </w:p>
    <w:p w14:paraId="65611F3A" w14:textId="77777777" w:rsidR="007960A8" w:rsidRDefault="007960A8">
      <w:pPr>
        <w:pBdr>
          <w:top w:val="nil"/>
          <w:left w:val="nil"/>
          <w:bottom w:val="nil"/>
          <w:right w:val="nil"/>
          <w:between w:val="nil"/>
        </w:pBdr>
        <w:spacing w:before="10"/>
        <w:rPr>
          <w:color w:val="000000"/>
          <w:sz w:val="20"/>
          <w:szCs w:val="20"/>
        </w:rPr>
      </w:pPr>
    </w:p>
    <w:p w14:paraId="59F7E882" w14:textId="77777777" w:rsidR="007960A8" w:rsidRDefault="00A26397">
      <w:pPr>
        <w:tabs>
          <w:tab w:val="left" w:pos="787"/>
        </w:tabs>
        <w:ind w:left="142"/>
      </w:pPr>
      <w:r>
        <w:t>19</w:t>
      </w:r>
      <w:r>
        <w:rPr>
          <w:smallCaps/>
        </w:rPr>
        <w:t>A</w:t>
      </w:r>
      <w:r>
        <w:t>.4.2 During the carrying out of the s</w:t>
      </w:r>
      <w:r>
        <w:rPr>
          <w:i/>
          <w:iCs/>
        </w:rPr>
        <w:t xml:space="preserve">ervices </w:t>
      </w:r>
      <w:r>
        <w:t xml:space="preserve">the </w:t>
      </w:r>
      <w:r>
        <w:rPr>
          <w:i/>
          <w:iCs/>
        </w:rPr>
        <w:t xml:space="preserve">Service Provider </w:t>
      </w:r>
      <w:r>
        <w:t>does not</w:t>
      </w:r>
    </w:p>
    <w:p w14:paraId="169FA769" w14:textId="77777777" w:rsidR="007960A8" w:rsidRDefault="007960A8">
      <w:pPr>
        <w:pBdr>
          <w:top w:val="nil"/>
          <w:left w:val="nil"/>
          <w:bottom w:val="nil"/>
          <w:right w:val="nil"/>
          <w:between w:val="nil"/>
        </w:pBdr>
        <w:spacing w:before="7"/>
        <w:rPr>
          <w:color w:val="000000"/>
        </w:rPr>
      </w:pPr>
    </w:p>
    <w:p w14:paraId="05E61501" w14:textId="77777777" w:rsidR="007960A8" w:rsidRDefault="00A26397">
      <w:pPr>
        <w:numPr>
          <w:ilvl w:val="3"/>
          <w:numId w:val="52"/>
        </w:numPr>
        <w:pBdr>
          <w:top w:val="nil"/>
          <w:left w:val="nil"/>
          <w:bottom w:val="nil"/>
          <w:right w:val="nil"/>
          <w:between w:val="nil"/>
        </w:pBdr>
        <w:tabs>
          <w:tab w:val="left" w:pos="833"/>
        </w:tabs>
        <w:ind w:hanging="361"/>
        <w:rPr>
          <w:color w:val="000000"/>
        </w:rPr>
      </w:pPr>
      <w:r>
        <w:rPr>
          <w:color w:val="000000"/>
        </w:rPr>
        <w:t>commit a Prohibited Act and</w:t>
      </w:r>
    </w:p>
    <w:p w14:paraId="66C08122" w14:textId="77777777" w:rsidR="007960A8" w:rsidRDefault="007960A8">
      <w:pPr>
        <w:pBdr>
          <w:top w:val="nil"/>
          <w:left w:val="nil"/>
          <w:bottom w:val="nil"/>
          <w:right w:val="nil"/>
          <w:between w:val="nil"/>
        </w:pBdr>
        <w:spacing w:before="7"/>
        <w:rPr>
          <w:color w:val="000000"/>
          <w:sz w:val="20"/>
          <w:szCs w:val="20"/>
        </w:rPr>
      </w:pPr>
    </w:p>
    <w:p w14:paraId="0226D0EB" w14:textId="77777777" w:rsidR="007960A8" w:rsidRDefault="00A26397">
      <w:pPr>
        <w:numPr>
          <w:ilvl w:val="3"/>
          <w:numId w:val="52"/>
        </w:numPr>
        <w:pBdr>
          <w:top w:val="nil"/>
          <w:left w:val="nil"/>
          <w:bottom w:val="nil"/>
          <w:right w:val="nil"/>
          <w:between w:val="nil"/>
        </w:pBdr>
        <w:tabs>
          <w:tab w:val="left" w:pos="833"/>
        </w:tabs>
        <w:spacing w:before="7"/>
        <w:ind w:hanging="361"/>
        <w:rPr>
          <w:i/>
          <w:iCs/>
          <w:color w:val="000000"/>
          <w:sz w:val="19"/>
          <w:szCs w:val="19"/>
        </w:rPr>
      </w:pPr>
      <w:r>
        <w:rPr>
          <w:color w:val="000000"/>
        </w:rPr>
        <w:t xml:space="preserve">do or suffer anything to be done which would cause the </w:t>
      </w:r>
      <w:r>
        <w:rPr>
          <w:i/>
          <w:iCs/>
          <w:color w:val="000000"/>
        </w:rPr>
        <w:t xml:space="preserve">Client </w:t>
      </w:r>
      <w:r>
        <w:rPr>
          <w:color w:val="000000"/>
        </w:rPr>
        <w:t xml:space="preserve">or any of the </w:t>
      </w:r>
      <w:r>
        <w:rPr>
          <w:i/>
          <w:iCs/>
          <w:color w:val="000000"/>
        </w:rPr>
        <w:t>Client’s</w:t>
      </w:r>
    </w:p>
    <w:p w14:paraId="26297980" w14:textId="77777777" w:rsidR="007960A8" w:rsidRDefault="00A26397">
      <w:pPr>
        <w:pBdr>
          <w:top w:val="nil"/>
          <w:left w:val="nil"/>
          <w:bottom w:val="nil"/>
          <w:right w:val="nil"/>
          <w:between w:val="nil"/>
        </w:pBdr>
        <w:ind w:left="832" w:right="218"/>
        <w:jc w:val="both"/>
        <w:rPr>
          <w:color w:val="000000"/>
        </w:rPr>
      </w:pPr>
      <w:r>
        <w:rPr>
          <w:color w:val="000000"/>
        </w:rPr>
        <w:t>employees, consultants, contractors, Subcontractors or agents to contravene any of the Relevant Requirements or otherwise incur any liability in relation to the Relevant Requirements.</w:t>
      </w:r>
    </w:p>
    <w:p w14:paraId="2026EAD6" w14:textId="77777777" w:rsidR="007960A8" w:rsidRDefault="007960A8">
      <w:pPr>
        <w:pBdr>
          <w:top w:val="nil"/>
          <w:left w:val="nil"/>
          <w:bottom w:val="nil"/>
          <w:right w:val="nil"/>
          <w:between w:val="nil"/>
        </w:pBdr>
        <w:rPr>
          <w:color w:val="000000"/>
          <w:sz w:val="21"/>
          <w:szCs w:val="21"/>
        </w:rPr>
      </w:pPr>
    </w:p>
    <w:p w14:paraId="100BDB3A" w14:textId="77777777" w:rsidR="007960A8" w:rsidRDefault="00A26397">
      <w:pPr>
        <w:pBdr>
          <w:top w:val="nil"/>
          <w:left w:val="nil"/>
          <w:bottom w:val="nil"/>
          <w:right w:val="nil"/>
          <w:between w:val="nil"/>
        </w:pBdr>
        <w:tabs>
          <w:tab w:val="left" w:pos="851"/>
        </w:tabs>
        <w:spacing w:before="1"/>
        <w:ind w:left="142"/>
        <w:rPr>
          <w:i/>
          <w:iCs/>
          <w:color w:val="000000"/>
        </w:rPr>
      </w:pPr>
      <w:r>
        <w:rPr>
          <w:color w:val="000000"/>
        </w:rPr>
        <w:t>19A.4.3</w:t>
      </w:r>
      <w:r>
        <w:rPr>
          <w:color w:val="000000"/>
        </w:rPr>
        <w:tab/>
        <w:t>In providing the s</w:t>
      </w:r>
      <w:r>
        <w:rPr>
          <w:i/>
          <w:iCs/>
          <w:color w:val="000000"/>
        </w:rPr>
        <w:t>ervices</w:t>
      </w:r>
      <w:r>
        <w:rPr>
          <w:color w:val="000000"/>
        </w:rPr>
        <w:t xml:space="preserve"> the </w:t>
      </w:r>
      <w:r>
        <w:rPr>
          <w:i/>
          <w:iCs/>
          <w:color w:val="000000"/>
        </w:rPr>
        <w:t>Service Provider</w:t>
      </w:r>
    </w:p>
    <w:p w14:paraId="31E5FE7D" w14:textId="77777777" w:rsidR="007960A8" w:rsidRDefault="007960A8">
      <w:pPr>
        <w:pBdr>
          <w:top w:val="nil"/>
          <w:left w:val="nil"/>
          <w:bottom w:val="nil"/>
          <w:right w:val="nil"/>
          <w:between w:val="nil"/>
        </w:pBdr>
        <w:spacing w:before="9"/>
        <w:rPr>
          <w:i/>
          <w:iCs/>
          <w:color w:val="000000"/>
        </w:rPr>
      </w:pPr>
    </w:p>
    <w:p w14:paraId="5F60C0A6" w14:textId="77777777" w:rsidR="007960A8" w:rsidRDefault="00A26397">
      <w:pPr>
        <w:numPr>
          <w:ilvl w:val="3"/>
          <w:numId w:val="52"/>
        </w:numPr>
        <w:pBdr>
          <w:top w:val="nil"/>
          <w:left w:val="nil"/>
          <w:bottom w:val="nil"/>
          <w:right w:val="nil"/>
          <w:between w:val="nil"/>
        </w:pBdr>
        <w:tabs>
          <w:tab w:val="left" w:pos="851"/>
        </w:tabs>
        <w:spacing w:line="237" w:lineRule="auto"/>
        <w:ind w:left="851" w:right="219"/>
        <w:jc w:val="both"/>
        <w:rPr>
          <w:color w:val="000000"/>
        </w:rPr>
      </w:pPr>
      <w:r>
        <w:rPr>
          <w:color w:val="000000"/>
        </w:rPr>
        <w:t>establishes, maintains and enforces, and requires that its Subcontractors establish, maintain and enforce, policies and procedures which are adequate to ensure compliance with the Relevant Requirements and prevent the occurrence of a Prohibited Act,</w:t>
      </w:r>
    </w:p>
    <w:p w14:paraId="1DCB85D6" w14:textId="77777777" w:rsidR="007960A8" w:rsidRDefault="007960A8">
      <w:pPr>
        <w:pBdr>
          <w:top w:val="nil"/>
          <w:left w:val="nil"/>
          <w:bottom w:val="nil"/>
          <w:right w:val="nil"/>
          <w:between w:val="nil"/>
        </w:pBdr>
        <w:tabs>
          <w:tab w:val="left" w:pos="851"/>
        </w:tabs>
        <w:spacing w:before="4"/>
        <w:ind w:left="851"/>
        <w:rPr>
          <w:color w:val="000000"/>
          <w:sz w:val="21"/>
          <w:szCs w:val="21"/>
        </w:rPr>
      </w:pPr>
    </w:p>
    <w:p w14:paraId="23DA1AF1" w14:textId="77777777" w:rsidR="007960A8" w:rsidRDefault="00A26397">
      <w:pPr>
        <w:numPr>
          <w:ilvl w:val="3"/>
          <w:numId w:val="52"/>
        </w:numPr>
        <w:pBdr>
          <w:top w:val="nil"/>
          <w:left w:val="nil"/>
          <w:bottom w:val="nil"/>
          <w:right w:val="nil"/>
          <w:between w:val="nil"/>
        </w:pBdr>
        <w:tabs>
          <w:tab w:val="left" w:pos="851"/>
        </w:tabs>
        <w:spacing w:line="237" w:lineRule="auto"/>
        <w:ind w:left="851" w:right="212"/>
        <w:jc w:val="both"/>
        <w:rPr>
          <w:color w:val="000000"/>
        </w:rPr>
      </w:pPr>
      <w:r>
        <w:rPr>
          <w:color w:val="000000"/>
        </w:rPr>
        <w:t xml:space="preserve">keeps appropriate records of its compliance with this contract and make such records available to the </w:t>
      </w:r>
      <w:r>
        <w:rPr>
          <w:i/>
          <w:iCs/>
          <w:color w:val="000000"/>
        </w:rPr>
        <w:t xml:space="preserve">Client </w:t>
      </w:r>
      <w:r>
        <w:rPr>
          <w:color w:val="000000"/>
        </w:rPr>
        <w:t>on request and</w:t>
      </w:r>
    </w:p>
    <w:p w14:paraId="01484BDF" w14:textId="77777777" w:rsidR="007960A8" w:rsidRDefault="007960A8">
      <w:pPr>
        <w:pBdr>
          <w:top w:val="nil"/>
          <w:left w:val="nil"/>
          <w:bottom w:val="nil"/>
          <w:right w:val="nil"/>
          <w:between w:val="nil"/>
        </w:pBdr>
        <w:tabs>
          <w:tab w:val="left" w:pos="851"/>
        </w:tabs>
        <w:spacing w:before="2"/>
        <w:ind w:left="851"/>
        <w:rPr>
          <w:color w:val="000000"/>
          <w:sz w:val="21"/>
          <w:szCs w:val="21"/>
        </w:rPr>
      </w:pPr>
    </w:p>
    <w:p w14:paraId="4D9365F4" w14:textId="77777777" w:rsidR="007960A8" w:rsidRDefault="00A26397">
      <w:pPr>
        <w:numPr>
          <w:ilvl w:val="3"/>
          <w:numId w:val="52"/>
        </w:numPr>
        <w:pBdr>
          <w:top w:val="nil"/>
          <w:left w:val="nil"/>
          <w:bottom w:val="nil"/>
          <w:right w:val="nil"/>
          <w:between w:val="nil"/>
        </w:pBdr>
        <w:tabs>
          <w:tab w:val="left" w:pos="851"/>
        </w:tabs>
        <w:spacing w:line="237" w:lineRule="auto"/>
        <w:ind w:left="851" w:right="214"/>
        <w:jc w:val="both"/>
        <w:rPr>
          <w:color w:val="000000"/>
        </w:rPr>
      </w:pPr>
      <w:r>
        <w:rPr>
          <w:color w:val="000000"/>
        </w:rPr>
        <w:t xml:space="preserve">provides and maintains and where appropriate enforces an anti-bribery policy (which shall be disclosed to the </w:t>
      </w:r>
      <w:r>
        <w:rPr>
          <w:i/>
          <w:iCs/>
          <w:color w:val="000000"/>
        </w:rPr>
        <w:t xml:space="preserve">Client </w:t>
      </w:r>
      <w:r>
        <w:rPr>
          <w:color w:val="000000"/>
        </w:rPr>
        <w:t xml:space="preserve">on request) to prevent it and any </w:t>
      </w:r>
      <w:r>
        <w:rPr>
          <w:i/>
          <w:iCs/>
          <w:color w:val="000000"/>
        </w:rPr>
        <w:t xml:space="preserve">Service Provider’s </w:t>
      </w:r>
      <w:r>
        <w:rPr>
          <w:color w:val="000000"/>
        </w:rPr>
        <w:t xml:space="preserve">people or any person acting on the </w:t>
      </w:r>
      <w:r>
        <w:rPr>
          <w:i/>
          <w:iCs/>
          <w:color w:val="000000"/>
        </w:rPr>
        <w:t xml:space="preserve">Service Provider's </w:t>
      </w:r>
      <w:r>
        <w:rPr>
          <w:color w:val="000000"/>
        </w:rPr>
        <w:t>behalf from committing a Prohibi</w:t>
      </w:r>
      <w:r>
        <w:rPr>
          <w:color w:val="000000"/>
        </w:rPr>
        <w:t>ted Act.</w:t>
      </w:r>
    </w:p>
    <w:p w14:paraId="2ABB2779" w14:textId="77777777" w:rsidR="007960A8" w:rsidRDefault="007960A8">
      <w:pPr>
        <w:pBdr>
          <w:top w:val="nil"/>
          <w:left w:val="nil"/>
          <w:bottom w:val="nil"/>
          <w:right w:val="nil"/>
          <w:between w:val="nil"/>
        </w:pBdr>
        <w:spacing w:before="4"/>
        <w:rPr>
          <w:color w:val="000000"/>
          <w:sz w:val="21"/>
          <w:szCs w:val="21"/>
        </w:rPr>
      </w:pPr>
    </w:p>
    <w:p w14:paraId="68E60620" w14:textId="77777777" w:rsidR="007960A8" w:rsidRDefault="00A26397">
      <w:pPr>
        <w:pBdr>
          <w:top w:val="nil"/>
          <w:left w:val="nil"/>
          <w:bottom w:val="nil"/>
          <w:right w:val="nil"/>
          <w:between w:val="nil"/>
        </w:pBdr>
        <w:tabs>
          <w:tab w:val="left" w:pos="851"/>
        </w:tabs>
        <w:spacing w:before="1" w:line="259" w:lineRule="auto"/>
        <w:ind w:left="142" w:right="686"/>
        <w:jc w:val="both"/>
        <w:rPr>
          <w:color w:val="000000"/>
        </w:rPr>
      </w:pPr>
      <w:r>
        <w:rPr>
          <w:color w:val="000000"/>
        </w:rPr>
        <w:t xml:space="preserve">19A.4.4 The </w:t>
      </w:r>
      <w:r>
        <w:rPr>
          <w:i/>
          <w:iCs/>
          <w:color w:val="000000"/>
        </w:rPr>
        <w:t xml:space="preserve">Service Provider </w:t>
      </w:r>
      <w:r>
        <w:rPr>
          <w:color w:val="000000"/>
        </w:rPr>
        <w:t xml:space="preserve">immediately notifies the </w:t>
      </w:r>
      <w:r>
        <w:rPr>
          <w:i/>
          <w:iCs/>
          <w:color w:val="000000"/>
        </w:rPr>
        <w:t xml:space="preserve">Client </w:t>
      </w:r>
      <w:r>
        <w:rPr>
          <w:color w:val="000000"/>
        </w:rPr>
        <w:t>in writing if it becomes aware of any breach of clause 19A.4.1, or has reason to believe that it has or any of its people or Subcontractors have</w:t>
      </w:r>
    </w:p>
    <w:p w14:paraId="5B85EA2A" w14:textId="77777777" w:rsidR="007960A8" w:rsidRDefault="007960A8">
      <w:pPr>
        <w:pBdr>
          <w:top w:val="nil"/>
          <w:left w:val="nil"/>
          <w:bottom w:val="nil"/>
          <w:right w:val="nil"/>
          <w:between w:val="nil"/>
        </w:pBdr>
        <w:spacing w:before="8"/>
        <w:rPr>
          <w:color w:val="000000"/>
          <w:sz w:val="20"/>
          <w:szCs w:val="20"/>
        </w:rPr>
      </w:pPr>
    </w:p>
    <w:p w14:paraId="3B7546B8" w14:textId="77777777" w:rsidR="007960A8" w:rsidRDefault="00A26397">
      <w:pPr>
        <w:numPr>
          <w:ilvl w:val="3"/>
          <w:numId w:val="52"/>
        </w:numPr>
        <w:pBdr>
          <w:top w:val="nil"/>
          <w:left w:val="nil"/>
          <w:bottom w:val="nil"/>
          <w:right w:val="nil"/>
          <w:between w:val="nil"/>
        </w:pBdr>
        <w:tabs>
          <w:tab w:val="left" w:pos="851"/>
        </w:tabs>
        <w:ind w:left="851" w:hanging="361"/>
        <w:rPr>
          <w:color w:val="000000"/>
        </w:rPr>
      </w:pPr>
      <w:r>
        <w:rPr>
          <w:color w:val="000000"/>
        </w:rPr>
        <w:t>been subject to an investigation or prosecution which relates to an alleged Prohibited Act,</w:t>
      </w:r>
    </w:p>
    <w:p w14:paraId="1D26C52E" w14:textId="77777777" w:rsidR="007960A8" w:rsidRDefault="007960A8">
      <w:pPr>
        <w:pBdr>
          <w:top w:val="nil"/>
          <w:left w:val="nil"/>
          <w:bottom w:val="nil"/>
          <w:right w:val="nil"/>
          <w:between w:val="nil"/>
        </w:pBdr>
        <w:tabs>
          <w:tab w:val="left" w:pos="851"/>
        </w:tabs>
        <w:spacing w:before="7"/>
        <w:ind w:left="851"/>
        <w:rPr>
          <w:color w:val="000000"/>
          <w:sz w:val="20"/>
          <w:szCs w:val="20"/>
        </w:rPr>
      </w:pPr>
    </w:p>
    <w:p w14:paraId="7367425C" w14:textId="77777777" w:rsidR="007960A8" w:rsidRDefault="00A26397">
      <w:pPr>
        <w:numPr>
          <w:ilvl w:val="3"/>
          <w:numId w:val="52"/>
        </w:numPr>
        <w:pBdr>
          <w:top w:val="nil"/>
          <w:left w:val="nil"/>
          <w:bottom w:val="nil"/>
          <w:right w:val="nil"/>
          <w:between w:val="nil"/>
        </w:pBdr>
        <w:tabs>
          <w:tab w:val="left" w:pos="851"/>
        </w:tabs>
        <w:ind w:left="851" w:right="215"/>
        <w:jc w:val="both"/>
        <w:rPr>
          <w:color w:val="000000"/>
        </w:rPr>
      </w:pPr>
      <w:r>
        <w:rPr>
          <w:color w:val="000000"/>
        </w:rPr>
        <w:t>been listed by any government department or agency as being debarred, suspended, proposed for suspension or debarment, or otherwise ineligible for participation in government procurement programmes or contracts on the grounds of a Prohibited Act or</w:t>
      </w:r>
    </w:p>
    <w:p w14:paraId="5B69BCA8" w14:textId="77777777" w:rsidR="007960A8" w:rsidRDefault="007960A8">
      <w:pPr>
        <w:pBdr>
          <w:top w:val="nil"/>
          <w:left w:val="nil"/>
          <w:bottom w:val="nil"/>
          <w:right w:val="nil"/>
          <w:between w:val="nil"/>
        </w:pBdr>
        <w:tabs>
          <w:tab w:val="left" w:pos="851"/>
        </w:tabs>
        <w:ind w:left="851"/>
        <w:rPr>
          <w:color w:val="000000"/>
          <w:sz w:val="21"/>
          <w:szCs w:val="21"/>
        </w:rPr>
      </w:pPr>
    </w:p>
    <w:p w14:paraId="02774EFA" w14:textId="77777777" w:rsidR="007960A8" w:rsidRDefault="00A26397">
      <w:pPr>
        <w:numPr>
          <w:ilvl w:val="0"/>
          <w:numId w:val="51"/>
        </w:numPr>
        <w:pBdr>
          <w:top w:val="nil"/>
          <w:left w:val="nil"/>
          <w:bottom w:val="nil"/>
          <w:right w:val="nil"/>
          <w:between w:val="nil"/>
        </w:pBdr>
        <w:tabs>
          <w:tab w:val="left" w:pos="851"/>
          <w:tab w:val="left" w:pos="1276"/>
        </w:tabs>
        <w:spacing w:before="1" w:line="237" w:lineRule="auto"/>
        <w:ind w:left="851" w:right="216"/>
        <w:jc w:val="both"/>
        <w:rPr>
          <w:color w:val="000000"/>
        </w:rPr>
      </w:pPr>
      <w:r>
        <w:rPr>
          <w:color w:val="000000"/>
        </w:rPr>
        <w:t>receiv</w:t>
      </w:r>
      <w:r>
        <w:rPr>
          <w:color w:val="000000"/>
        </w:rPr>
        <w:t xml:space="preserve">ed a request or demand for any undue financial or other advantage of any kind in connection with the performance of this contract or otherwise suspects that any person or party directly or indirectly connected with this contract has committed or attempted </w:t>
      </w:r>
      <w:r>
        <w:rPr>
          <w:color w:val="000000"/>
        </w:rPr>
        <w:t>to commit a Prohibited Act.</w:t>
      </w:r>
    </w:p>
    <w:p w14:paraId="361D8D69" w14:textId="77777777" w:rsidR="007960A8" w:rsidRDefault="00A26397">
      <w:pPr>
        <w:pBdr>
          <w:top w:val="nil"/>
          <w:left w:val="nil"/>
          <w:bottom w:val="nil"/>
          <w:right w:val="nil"/>
          <w:between w:val="nil"/>
        </w:pBdr>
        <w:tabs>
          <w:tab w:val="left" w:pos="709"/>
        </w:tabs>
        <w:spacing w:before="209" w:line="259" w:lineRule="auto"/>
        <w:ind w:left="142" w:right="783"/>
        <w:rPr>
          <w:color w:val="000000"/>
        </w:rPr>
      </w:pPr>
      <w:r>
        <w:rPr>
          <w:color w:val="000000"/>
        </w:rPr>
        <w:t xml:space="preserve">19A.4.5 If the </w:t>
      </w:r>
      <w:r>
        <w:rPr>
          <w:i/>
          <w:iCs/>
          <w:color w:val="000000"/>
        </w:rPr>
        <w:t xml:space="preserve">Service Provider </w:t>
      </w:r>
      <w:r>
        <w:rPr>
          <w:color w:val="000000"/>
        </w:rPr>
        <w:t xml:space="preserve">makes a notification to the </w:t>
      </w:r>
      <w:r>
        <w:rPr>
          <w:i/>
          <w:iCs/>
          <w:color w:val="000000"/>
        </w:rPr>
        <w:t xml:space="preserve">Client </w:t>
      </w:r>
      <w:r>
        <w:rPr>
          <w:color w:val="000000"/>
        </w:rPr>
        <w:t xml:space="preserve">pursuant to clause 19A.4.4, the </w:t>
      </w:r>
      <w:r>
        <w:rPr>
          <w:i/>
          <w:iCs/>
          <w:color w:val="000000"/>
        </w:rPr>
        <w:t xml:space="preserve">Service Provider </w:t>
      </w:r>
      <w:r>
        <w:rPr>
          <w:color w:val="000000"/>
        </w:rPr>
        <w:t xml:space="preserve">responds promptly to the </w:t>
      </w:r>
      <w:r>
        <w:rPr>
          <w:i/>
          <w:iCs/>
          <w:color w:val="000000"/>
        </w:rPr>
        <w:t xml:space="preserve">Client's </w:t>
      </w:r>
      <w:r>
        <w:rPr>
          <w:color w:val="000000"/>
        </w:rPr>
        <w:t xml:space="preserve">enquiries, co-operates with any investigation, and allows the </w:t>
      </w:r>
      <w:r>
        <w:rPr>
          <w:i/>
          <w:iCs/>
          <w:color w:val="000000"/>
        </w:rPr>
        <w:t xml:space="preserve">Client </w:t>
      </w:r>
      <w:r>
        <w:rPr>
          <w:color w:val="000000"/>
        </w:rPr>
        <w:t>to audit any books, records and/or any other relevant documentation in accordance with this contract.</w:t>
      </w:r>
    </w:p>
    <w:p w14:paraId="26C6BEA7" w14:textId="77777777" w:rsidR="007960A8" w:rsidRDefault="007960A8">
      <w:pPr>
        <w:pBdr>
          <w:top w:val="nil"/>
          <w:left w:val="nil"/>
          <w:bottom w:val="nil"/>
          <w:right w:val="nil"/>
          <w:between w:val="nil"/>
        </w:pBdr>
        <w:spacing w:before="8"/>
        <w:rPr>
          <w:color w:val="000000"/>
          <w:sz w:val="20"/>
          <w:szCs w:val="20"/>
        </w:rPr>
      </w:pPr>
    </w:p>
    <w:p w14:paraId="318CDE6A" w14:textId="77777777" w:rsidR="007960A8" w:rsidRDefault="00A26397">
      <w:pPr>
        <w:pBdr>
          <w:top w:val="nil"/>
          <w:left w:val="nil"/>
          <w:bottom w:val="nil"/>
          <w:right w:val="nil"/>
          <w:between w:val="nil"/>
        </w:pBdr>
        <w:tabs>
          <w:tab w:val="left" w:pos="851"/>
        </w:tabs>
        <w:spacing w:before="1" w:line="259" w:lineRule="auto"/>
        <w:ind w:left="142" w:right="1021"/>
        <w:rPr>
          <w:color w:val="000000"/>
        </w:rPr>
      </w:pPr>
      <w:r>
        <w:rPr>
          <w:color w:val="000000"/>
        </w:rPr>
        <w:t xml:space="preserve">19A.4.6 If the </w:t>
      </w:r>
      <w:r>
        <w:rPr>
          <w:i/>
          <w:iCs/>
          <w:color w:val="000000"/>
        </w:rPr>
        <w:t xml:space="preserve">Service Provider </w:t>
      </w:r>
      <w:r>
        <w:rPr>
          <w:color w:val="000000"/>
        </w:rPr>
        <w:t xml:space="preserve">breaches Clause 19A.4.3, the </w:t>
      </w:r>
      <w:r>
        <w:rPr>
          <w:i/>
          <w:iCs/>
          <w:color w:val="000000"/>
        </w:rPr>
        <w:t xml:space="preserve">Client </w:t>
      </w:r>
      <w:r>
        <w:rPr>
          <w:color w:val="000000"/>
        </w:rPr>
        <w:t>may by notice re</w:t>
      </w:r>
      <w:r>
        <w:rPr>
          <w:color w:val="000000"/>
        </w:rPr>
        <w:t xml:space="preserve">quire the </w:t>
      </w:r>
      <w:r>
        <w:rPr>
          <w:i/>
          <w:iCs/>
          <w:color w:val="000000"/>
        </w:rPr>
        <w:t xml:space="preserve">Service Provider </w:t>
      </w:r>
      <w:r>
        <w:rPr>
          <w:color w:val="000000"/>
        </w:rPr>
        <w:t xml:space="preserve">to remove from carrying out the </w:t>
      </w:r>
      <w:r>
        <w:rPr>
          <w:i/>
          <w:iCs/>
          <w:color w:val="000000"/>
        </w:rPr>
        <w:t xml:space="preserve">service </w:t>
      </w:r>
      <w:r>
        <w:rPr>
          <w:color w:val="000000"/>
        </w:rPr>
        <w:t xml:space="preserve">any person whose acts or omissions have caused the </w:t>
      </w:r>
      <w:r>
        <w:rPr>
          <w:i/>
          <w:iCs/>
          <w:color w:val="000000"/>
        </w:rPr>
        <w:t>Service Provider</w:t>
      </w:r>
      <w:r>
        <w:rPr>
          <w:color w:val="000000"/>
        </w:rPr>
        <w:t>’s breach.</w:t>
      </w:r>
    </w:p>
    <w:p w14:paraId="043D68DF" w14:textId="77777777" w:rsidR="007960A8" w:rsidRDefault="007960A8">
      <w:pPr>
        <w:pBdr>
          <w:top w:val="nil"/>
          <w:left w:val="nil"/>
          <w:bottom w:val="nil"/>
          <w:right w:val="nil"/>
          <w:between w:val="nil"/>
        </w:pBdr>
        <w:tabs>
          <w:tab w:val="left" w:pos="851"/>
        </w:tabs>
        <w:spacing w:before="1" w:line="259" w:lineRule="auto"/>
        <w:ind w:left="142" w:right="1021"/>
        <w:rPr>
          <w:color w:val="000000"/>
        </w:rPr>
      </w:pPr>
    </w:p>
    <w:p w14:paraId="42ECD6C1" w14:textId="77777777" w:rsidR="007960A8" w:rsidRDefault="007960A8">
      <w:pPr>
        <w:pBdr>
          <w:top w:val="nil"/>
          <w:left w:val="nil"/>
          <w:bottom w:val="nil"/>
          <w:right w:val="nil"/>
          <w:between w:val="nil"/>
        </w:pBdr>
        <w:rPr>
          <w:color w:val="000000"/>
        </w:rPr>
      </w:pPr>
    </w:p>
    <w:p w14:paraId="12F7763E" w14:textId="77777777" w:rsidR="007960A8" w:rsidRDefault="00A26397">
      <w:pPr>
        <w:pBdr>
          <w:top w:val="nil"/>
          <w:left w:val="nil"/>
          <w:bottom w:val="nil"/>
          <w:right w:val="nil"/>
          <w:between w:val="nil"/>
        </w:pBdr>
        <w:ind w:left="142"/>
        <w:rPr>
          <w:b/>
          <w:bCs/>
          <w:color w:val="000000"/>
        </w:rPr>
      </w:pPr>
      <w:r>
        <w:rPr>
          <w:b/>
          <w:bCs/>
          <w:color w:val="000000"/>
        </w:rPr>
        <w:t xml:space="preserve">Option Z4 - Equality and diversity </w:t>
      </w:r>
    </w:p>
    <w:p w14:paraId="3A7FF0FB" w14:textId="77777777" w:rsidR="007960A8" w:rsidRDefault="007960A8">
      <w:pPr>
        <w:pBdr>
          <w:top w:val="nil"/>
          <w:left w:val="nil"/>
          <w:bottom w:val="nil"/>
          <w:right w:val="nil"/>
          <w:between w:val="nil"/>
        </w:pBdr>
        <w:ind w:left="142"/>
        <w:rPr>
          <w:color w:val="000000"/>
          <w:sz w:val="24"/>
          <w:szCs w:val="24"/>
        </w:rPr>
      </w:pPr>
    </w:p>
    <w:p w14:paraId="594C9976" w14:textId="77777777" w:rsidR="007960A8" w:rsidRDefault="00A26397">
      <w:pPr>
        <w:pBdr>
          <w:top w:val="nil"/>
          <w:left w:val="nil"/>
          <w:bottom w:val="nil"/>
          <w:right w:val="nil"/>
          <w:between w:val="nil"/>
        </w:pBdr>
        <w:ind w:left="142"/>
        <w:rPr>
          <w:color w:val="000000"/>
        </w:rPr>
      </w:pPr>
      <w:r>
        <w:rPr>
          <w:color w:val="000000"/>
        </w:rPr>
        <w:t>Insert new clauses:</w:t>
      </w:r>
    </w:p>
    <w:p w14:paraId="6AA81A42" w14:textId="77777777" w:rsidR="007960A8" w:rsidRDefault="007960A8">
      <w:pPr>
        <w:pBdr>
          <w:top w:val="nil"/>
          <w:left w:val="nil"/>
          <w:bottom w:val="nil"/>
          <w:right w:val="nil"/>
          <w:between w:val="nil"/>
        </w:pBdr>
        <w:ind w:left="142"/>
        <w:rPr>
          <w:color w:val="000000"/>
        </w:rPr>
      </w:pPr>
    </w:p>
    <w:p w14:paraId="4E044060" w14:textId="77777777" w:rsidR="007960A8" w:rsidRDefault="00A26397">
      <w:pPr>
        <w:pBdr>
          <w:top w:val="nil"/>
          <w:left w:val="nil"/>
          <w:bottom w:val="nil"/>
          <w:right w:val="nil"/>
          <w:between w:val="nil"/>
        </w:pBdr>
        <w:ind w:left="142"/>
        <w:rPr>
          <w:color w:val="000000"/>
        </w:rPr>
      </w:pPr>
      <w:r>
        <w:rPr>
          <w:color w:val="000000"/>
        </w:rPr>
        <w:t xml:space="preserve">22A.1 The </w:t>
      </w:r>
      <w:r>
        <w:rPr>
          <w:i/>
          <w:iCs/>
          <w:color w:val="000000"/>
        </w:rPr>
        <w:t xml:space="preserve">Service Provider </w:t>
      </w:r>
      <w:r>
        <w:rPr>
          <w:color w:val="000000"/>
        </w:rPr>
        <w:t>performs its obligations under this contract in accordance with</w:t>
      </w:r>
    </w:p>
    <w:p w14:paraId="14267A05" w14:textId="77777777" w:rsidR="007960A8" w:rsidRDefault="007960A8">
      <w:pPr>
        <w:pBdr>
          <w:top w:val="nil"/>
          <w:left w:val="nil"/>
          <w:bottom w:val="nil"/>
          <w:right w:val="nil"/>
          <w:between w:val="nil"/>
        </w:pBdr>
        <w:ind w:left="142"/>
        <w:rPr>
          <w:color w:val="000000"/>
        </w:rPr>
      </w:pPr>
    </w:p>
    <w:p w14:paraId="2323CECF" w14:textId="77777777" w:rsidR="007960A8" w:rsidRDefault="00A26397">
      <w:pPr>
        <w:numPr>
          <w:ilvl w:val="0"/>
          <w:numId w:val="59"/>
        </w:numPr>
        <w:pBdr>
          <w:top w:val="nil"/>
          <w:left w:val="nil"/>
          <w:bottom w:val="nil"/>
          <w:right w:val="nil"/>
          <w:between w:val="nil"/>
        </w:pBdr>
      </w:pPr>
      <w:r>
        <w:rPr>
          <w:color w:val="000000"/>
        </w:rPr>
        <w:t>all applicable equality Law</w:t>
      </w:r>
      <w:r>
        <w:rPr>
          <w:i/>
          <w:iCs/>
          <w:color w:val="000000"/>
        </w:rPr>
        <w:t xml:space="preserve"> </w:t>
      </w:r>
      <w:r>
        <w:rPr>
          <w:color w:val="000000"/>
        </w:rPr>
        <w:t xml:space="preserve">(whether in relation to race, sex, gender reassignment, religion or belief, disability, sexual orientation, pregnancy, maternity, age or otherwise); and </w:t>
      </w:r>
    </w:p>
    <w:p w14:paraId="2FC1AF7F" w14:textId="77777777" w:rsidR="007960A8" w:rsidRDefault="007960A8">
      <w:pPr>
        <w:pBdr>
          <w:top w:val="nil"/>
          <w:left w:val="nil"/>
          <w:bottom w:val="nil"/>
          <w:right w:val="nil"/>
          <w:between w:val="nil"/>
        </w:pBdr>
        <w:ind w:left="920"/>
        <w:rPr>
          <w:color w:val="000000"/>
        </w:rPr>
      </w:pPr>
    </w:p>
    <w:p w14:paraId="34765BE0" w14:textId="77777777" w:rsidR="007960A8" w:rsidRDefault="00A26397">
      <w:pPr>
        <w:numPr>
          <w:ilvl w:val="0"/>
          <w:numId w:val="59"/>
        </w:numPr>
        <w:pBdr>
          <w:top w:val="nil"/>
          <w:left w:val="nil"/>
          <w:bottom w:val="nil"/>
          <w:right w:val="nil"/>
          <w:between w:val="nil"/>
        </w:pBdr>
      </w:pPr>
      <w:r>
        <w:rPr>
          <w:color w:val="000000"/>
        </w:rPr>
        <w:t xml:space="preserve">any other requirements and instructions which the </w:t>
      </w:r>
      <w:r>
        <w:rPr>
          <w:i/>
          <w:iCs/>
          <w:color w:val="000000"/>
        </w:rPr>
        <w:t xml:space="preserve">Client </w:t>
      </w:r>
      <w:r>
        <w:rPr>
          <w:color w:val="000000"/>
        </w:rPr>
        <w:t xml:space="preserve">reasonably imposes in connection with any equality obligations imposed on the </w:t>
      </w:r>
      <w:r>
        <w:rPr>
          <w:i/>
          <w:iCs/>
          <w:color w:val="000000"/>
        </w:rPr>
        <w:t xml:space="preserve">Client </w:t>
      </w:r>
      <w:r>
        <w:rPr>
          <w:color w:val="000000"/>
        </w:rPr>
        <w:t>at any time under applicable equality Law</w:t>
      </w:r>
      <w:r>
        <w:rPr>
          <w:i/>
          <w:iCs/>
          <w:color w:val="000000"/>
        </w:rPr>
        <w:t xml:space="preserve">; </w:t>
      </w:r>
    </w:p>
    <w:p w14:paraId="3BAF77D1" w14:textId="77777777" w:rsidR="007960A8" w:rsidRDefault="00A26397">
      <w:pPr>
        <w:pStyle w:val="Heading1"/>
        <w:spacing w:before="198"/>
        <w:ind w:left="142"/>
        <w:rPr>
          <w:b w:val="0"/>
          <w:bCs w:val="0"/>
          <w:sz w:val="24"/>
          <w:szCs w:val="24"/>
        </w:rPr>
      </w:pPr>
      <w:r>
        <w:rPr>
          <w:b w:val="0"/>
          <w:bCs w:val="0"/>
        </w:rPr>
        <w:t xml:space="preserve">22A.2 The </w:t>
      </w:r>
      <w:r>
        <w:rPr>
          <w:b w:val="0"/>
          <w:bCs w:val="0"/>
          <w:i/>
          <w:iCs/>
        </w:rPr>
        <w:t>Service Provider</w:t>
      </w:r>
      <w:r>
        <w:rPr>
          <w:b w:val="0"/>
          <w:bCs w:val="0"/>
        </w:rPr>
        <w:t xml:space="preserve"> takes all necessary steps, and informs the </w:t>
      </w:r>
      <w:r>
        <w:rPr>
          <w:b w:val="0"/>
          <w:bCs w:val="0"/>
          <w:i/>
          <w:iCs/>
        </w:rPr>
        <w:t xml:space="preserve">Client </w:t>
      </w:r>
      <w:r>
        <w:rPr>
          <w:b w:val="0"/>
          <w:bCs w:val="0"/>
        </w:rPr>
        <w:t>of the steps taken, to prevent unlawful discrimination designated as such by any court or tribunal, or the Equality and Human Rights Commission or (any successor organisation)</w:t>
      </w:r>
      <w:r>
        <w:rPr>
          <w:b w:val="0"/>
          <w:bCs w:val="0"/>
          <w:sz w:val="24"/>
          <w:szCs w:val="24"/>
        </w:rPr>
        <w:t>.</w:t>
      </w:r>
    </w:p>
    <w:p w14:paraId="559465CA" w14:textId="77777777" w:rsidR="007960A8" w:rsidRDefault="00A26397">
      <w:pPr>
        <w:pStyle w:val="Heading1"/>
        <w:spacing w:before="198"/>
        <w:ind w:firstLine="220"/>
      </w:pPr>
      <w:r>
        <w:t>Option Z5 - Legislation and Official Secrets</w:t>
      </w:r>
    </w:p>
    <w:p w14:paraId="3911E08F" w14:textId="77777777" w:rsidR="007960A8" w:rsidRDefault="007960A8">
      <w:pPr>
        <w:pBdr>
          <w:top w:val="nil"/>
          <w:left w:val="nil"/>
          <w:bottom w:val="nil"/>
          <w:right w:val="nil"/>
          <w:between w:val="nil"/>
        </w:pBdr>
        <w:spacing w:before="8"/>
        <w:rPr>
          <w:b/>
          <w:bCs/>
          <w:color w:val="000000"/>
        </w:rPr>
      </w:pPr>
    </w:p>
    <w:p w14:paraId="7DE0902F" w14:textId="77777777" w:rsidR="007960A8" w:rsidRDefault="00A26397">
      <w:pPr>
        <w:pBdr>
          <w:top w:val="nil"/>
          <w:left w:val="nil"/>
          <w:bottom w:val="nil"/>
          <w:right w:val="nil"/>
          <w:between w:val="nil"/>
        </w:pBdr>
        <w:ind w:left="220"/>
        <w:rPr>
          <w:color w:val="000000"/>
        </w:rPr>
      </w:pPr>
      <w:r>
        <w:rPr>
          <w:color w:val="000000"/>
        </w:rPr>
        <w:t>Insert new clauses:</w:t>
      </w:r>
    </w:p>
    <w:p w14:paraId="2B084ACB" w14:textId="77777777" w:rsidR="007960A8" w:rsidRDefault="007960A8">
      <w:pPr>
        <w:pBdr>
          <w:top w:val="nil"/>
          <w:left w:val="nil"/>
          <w:bottom w:val="nil"/>
          <w:right w:val="nil"/>
          <w:between w:val="nil"/>
        </w:pBdr>
        <w:spacing w:before="7"/>
        <w:rPr>
          <w:color w:val="000000"/>
        </w:rPr>
      </w:pPr>
    </w:p>
    <w:p w14:paraId="782A20FD" w14:textId="77777777" w:rsidR="007960A8" w:rsidRDefault="00A26397">
      <w:pPr>
        <w:tabs>
          <w:tab w:val="left" w:pos="710"/>
        </w:tabs>
        <w:ind w:left="220"/>
        <w:rPr>
          <w:i/>
          <w:iCs/>
        </w:rPr>
      </w:pPr>
      <w:r>
        <w:t>28A.4</w:t>
      </w:r>
      <w:r>
        <w:tab/>
        <w:t xml:space="preserve">The </w:t>
      </w:r>
      <w:r>
        <w:rPr>
          <w:i/>
          <w:iCs/>
        </w:rPr>
        <w:t xml:space="preserve">Service Provider </w:t>
      </w:r>
      <w:r>
        <w:t xml:space="preserve">complies with Law in the carrying out of the </w:t>
      </w:r>
      <w:r>
        <w:rPr>
          <w:i/>
          <w:iCs/>
        </w:rPr>
        <w:t>service.</w:t>
      </w:r>
    </w:p>
    <w:p w14:paraId="0340828C" w14:textId="77777777" w:rsidR="007960A8" w:rsidRDefault="007960A8">
      <w:pPr>
        <w:pBdr>
          <w:top w:val="nil"/>
          <w:left w:val="nil"/>
          <w:bottom w:val="nil"/>
          <w:right w:val="nil"/>
          <w:between w:val="nil"/>
        </w:pBdr>
        <w:spacing w:before="9"/>
        <w:rPr>
          <w:i/>
          <w:iCs/>
          <w:color w:val="000000"/>
          <w:sz w:val="19"/>
          <w:szCs w:val="19"/>
        </w:rPr>
      </w:pPr>
    </w:p>
    <w:p w14:paraId="5CDCF96B" w14:textId="77777777" w:rsidR="007960A8" w:rsidRDefault="00A26397">
      <w:pPr>
        <w:pBdr>
          <w:top w:val="nil"/>
          <w:left w:val="nil"/>
          <w:bottom w:val="nil"/>
          <w:right w:val="nil"/>
          <w:between w:val="nil"/>
        </w:pBdr>
        <w:tabs>
          <w:tab w:val="left" w:pos="710"/>
        </w:tabs>
        <w:spacing w:before="1" w:line="259" w:lineRule="auto"/>
        <w:ind w:left="1435" w:right="950" w:hanging="1215"/>
        <w:rPr>
          <w:color w:val="000000"/>
        </w:rPr>
      </w:pPr>
      <w:r>
        <w:rPr>
          <w:color w:val="000000"/>
        </w:rPr>
        <w:t>28A.5</w:t>
      </w:r>
      <w:r>
        <w:rPr>
          <w:color w:val="000000"/>
        </w:rPr>
        <w:tab/>
      </w:r>
      <w:r>
        <w:rPr>
          <w:color w:val="000000"/>
        </w:rPr>
        <w:t>The Official Secrets Acts 1911 to 1989, section 182 of the Finance Act 1989 and, where appropriate, the provisions of section 11 of the Atomic Energy Act 1946 apply to this contract.</w:t>
      </w:r>
    </w:p>
    <w:p w14:paraId="24595F6F" w14:textId="77777777" w:rsidR="007960A8" w:rsidRDefault="007960A8">
      <w:pPr>
        <w:pBdr>
          <w:top w:val="nil"/>
          <w:left w:val="nil"/>
          <w:bottom w:val="nil"/>
          <w:right w:val="nil"/>
          <w:between w:val="nil"/>
        </w:pBdr>
        <w:spacing w:before="10"/>
        <w:rPr>
          <w:color w:val="000000"/>
          <w:sz w:val="20"/>
          <w:szCs w:val="20"/>
        </w:rPr>
      </w:pPr>
    </w:p>
    <w:p w14:paraId="13AEDC79" w14:textId="77777777" w:rsidR="007960A8" w:rsidRDefault="00A26397">
      <w:pPr>
        <w:pBdr>
          <w:top w:val="nil"/>
          <w:left w:val="nil"/>
          <w:bottom w:val="nil"/>
          <w:right w:val="nil"/>
          <w:between w:val="nil"/>
        </w:pBdr>
        <w:tabs>
          <w:tab w:val="left" w:pos="710"/>
        </w:tabs>
        <w:spacing w:line="256" w:lineRule="auto"/>
        <w:ind w:left="1435" w:right="267" w:hanging="1215"/>
        <w:rPr>
          <w:color w:val="000000"/>
        </w:rPr>
      </w:pPr>
      <w:r>
        <w:rPr>
          <w:color w:val="000000"/>
        </w:rPr>
        <w:t>28A.6</w:t>
      </w:r>
      <w:r>
        <w:rPr>
          <w:color w:val="000000"/>
        </w:rPr>
        <w:tab/>
        <w:t xml:space="preserve">The </w:t>
      </w:r>
      <w:r>
        <w:rPr>
          <w:i/>
          <w:iCs/>
          <w:color w:val="000000"/>
        </w:rPr>
        <w:t xml:space="preserve">Service Provider </w:t>
      </w:r>
      <w:r>
        <w:rPr>
          <w:color w:val="000000"/>
        </w:rPr>
        <w:t>notifies its employees and its Subcontractors</w:t>
      </w:r>
      <w:r>
        <w:rPr>
          <w:color w:val="000000"/>
        </w:rPr>
        <w:t xml:space="preserve"> of their duties under these Acts.</w:t>
      </w:r>
    </w:p>
    <w:p w14:paraId="364CDBCF" w14:textId="77777777" w:rsidR="007960A8" w:rsidRDefault="007960A8">
      <w:pPr>
        <w:pBdr>
          <w:top w:val="nil"/>
          <w:left w:val="nil"/>
          <w:bottom w:val="nil"/>
          <w:right w:val="nil"/>
          <w:between w:val="nil"/>
        </w:pBdr>
        <w:rPr>
          <w:color w:val="000000"/>
          <w:sz w:val="24"/>
          <w:szCs w:val="24"/>
        </w:rPr>
      </w:pPr>
    </w:p>
    <w:p w14:paraId="3D996379" w14:textId="77777777" w:rsidR="007960A8" w:rsidRDefault="00A26397">
      <w:pPr>
        <w:pStyle w:val="Heading1"/>
        <w:spacing w:before="203"/>
        <w:ind w:firstLine="220"/>
      </w:pPr>
      <w:r>
        <w:t>Option Z6 – Conflicts of interest</w:t>
      </w:r>
    </w:p>
    <w:p w14:paraId="4089F98A" w14:textId="77777777" w:rsidR="007960A8" w:rsidRDefault="00A26397">
      <w:pPr>
        <w:pStyle w:val="Heading1"/>
        <w:spacing w:before="203"/>
        <w:ind w:firstLine="220"/>
        <w:rPr>
          <w:b w:val="0"/>
          <w:bCs w:val="0"/>
        </w:rPr>
      </w:pPr>
      <w:r>
        <w:rPr>
          <w:b w:val="0"/>
          <w:bCs w:val="0"/>
        </w:rPr>
        <w:t>Insert new clauses:</w:t>
      </w:r>
    </w:p>
    <w:p w14:paraId="08370225" w14:textId="77777777" w:rsidR="007960A8" w:rsidRDefault="00A26397">
      <w:pPr>
        <w:pStyle w:val="Heading1"/>
        <w:spacing w:before="203"/>
        <w:ind w:firstLine="220"/>
        <w:rPr>
          <w:b w:val="0"/>
          <w:bCs w:val="0"/>
        </w:rPr>
      </w:pPr>
      <w:r>
        <w:rPr>
          <w:b w:val="0"/>
          <w:bCs w:val="0"/>
        </w:rPr>
        <w:t xml:space="preserve">29A.1. The </w:t>
      </w:r>
      <w:r>
        <w:rPr>
          <w:b w:val="0"/>
          <w:bCs w:val="0"/>
          <w:i/>
          <w:iCs/>
        </w:rPr>
        <w:t>Service Provider</w:t>
      </w:r>
      <w:r>
        <w:rPr>
          <w:b w:val="0"/>
          <w:bCs w:val="0"/>
        </w:rPr>
        <w:t xml:space="preserve"> takes appropriate steps to ensure that neither the </w:t>
      </w:r>
      <w:r>
        <w:rPr>
          <w:b w:val="0"/>
          <w:bCs w:val="0"/>
          <w:i/>
          <w:iCs/>
        </w:rPr>
        <w:t xml:space="preserve">Service Provider </w:t>
      </w:r>
      <w:r>
        <w:rPr>
          <w:b w:val="0"/>
          <w:bCs w:val="0"/>
        </w:rPr>
        <w:t xml:space="preserve">nor any of its personnel are placed in a position where (in the reasonable opinion of the </w:t>
      </w:r>
      <w:r>
        <w:rPr>
          <w:b w:val="0"/>
          <w:bCs w:val="0"/>
          <w:i/>
          <w:iCs/>
        </w:rPr>
        <w:t>Client</w:t>
      </w:r>
      <w:r>
        <w:rPr>
          <w:b w:val="0"/>
          <w:bCs w:val="0"/>
        </w:rPr>
        <w:t xml:space="preserve">) there is or may be an actual conflict, or a potential conflict, between the pecuniary or personal interests of the </w:t>
      </w:r>
      <w:r>
        <w:rPr>
          <w:b w:val="0"/>
          <w:bCs w:val="0"/>
          <w:i/>
          <w:iCs/>
        </w:rPr>
        <w:t>Service Provider</w:t>
      </w:r>
      <w:r>
        <w:rPr>
          <w:b w:val="0"/>
          <w:bCs w:val="0"/>
        </w:rPr>
        <w:t xml:space="preserve"> or its personnel and the d</w:t>
      </w:r>
      <w:r>
        <w:rPr>
          <w:b w:val="0"/>
          <w:bCs w:val="0"/>
        </w:rPr>
        <w:t xml:space="preserve">uties owed to the </w:t>
      </w:r>
      <w:r>
        <w:rPr>
          <w:b w:val="0"/>
          <w:bCs w:val="0"/>
          <w:i/>
          <w:iCs/>
        </w:rPr>
        <w:t>Client</w:t>
      </w:r>
      <w:r>
        <w:rPr>
          <w:b w:val="0"/>
          <w:bCs w:val="0"/>
        </w:rPr>
        <w:t xml:space="preserve"> under this contract.</w:t>
      </w:r>
    </w:p>
    <w:p w14:paraId="415A0535" w14:textId="77777777" w:rsidR="007960A8" w:rsidRDefault="00A26397">
      <w:pPr>
        <w:pStyle w:val="Heading1"/>
        <w:spacing w:before="203"/>
        <w:ind w:firstLine="220"/>
        <w:rPr>
          <w:b w:val="0"/>
          <w:bCs w:val="0"/>
        </w:rPr>
      </w:pPr>
      <w:r>
        <w:rPr>
          <w:b w:val="0"/>
          <w:bCs w:val="0"/>
        </w:rPr>
        <w:t xml:space="preserve">29A.2. The </w:t>
      </w:r>
      <w:r>
        <w:rPr>
          <w:b w:val="0"/>
          <w:bCs w:val="0"/>
          <w:i/>
          <w:iCs/>
        </w:rPr>
        <w:t>Service Provider</w:t>
      </w:r>
      <w:r>
        <w:rPr>
          <w:b w:val="0"/>
          <w:bCs w:val="0"/>
        </w:rPr>
        <w:t xml:space="preserve"> promptly notifies and provides full particulars to the Client if such conflict referred to in clause 29A.1 arises or may reasonably been foreseen as arising.</w:t>
      </w:r>
    </w:p>
    <w:p w14:paraId="35868BD6" w14:textId="77777777" w:rsidR="007960A8" w:rsidRDefault="00A26397">
      <w:pPr>
        <w:pStyle w:val="Heading1"/>
        <w:spacing w:before="203"/>
        <w:ind w:firstLine="220"/>
        <w:rPr>
          <w:b w:val="0"/>
          <w:bCs w:val="0"/>
        </w:rPr>
      </w:pPr>
      <w:r>
        <w:rPr>
          <w:b w:val="0"/>
          <w:bCs w:val="0"/>
        </w:rPr>
        <w:t xml:space="preserve">29A.3. The </w:t>
      </w:r>
      <w:r>
        <w:rPr>
          <w:b w:val="0"/>
          <w:bCs w:val="0"/>
          <w:i/>
          <w:iCs/>
        </w:rPr>
        <w:t>Client</w:t>
      </w:r>
      <w:r>
        <w:rPr>
          <w:b w:val="0"/>
          <w:bCs w:val="0"/>
        </w:rPr>
        <w:t xml:space="preserve"> may te</w:t>
      </w:r>
      <w:r>
        <w:rPr>
          <w:b w:val="0"/>
          <w:bCs w:val="0"/>
        </w:rPr>
        <w:t xml:space="preserve">rminate the </w:t>
      </w:r>
      <w:r>
        <w:rPr>
          <w:b w:val="0"/>
          <w:bCs w:val="0"/>
          <w:i/>
          <w:iCs/>
        </w:rPr>
        <w:t>Service Provider’s</w:t>
      </w:r>
      <w:r>
        <w:rPr>
          <w:b w:val="0"/>
          <w:bCs w:val="0"/>
        </w:rPr>
        <w:t xml:space="preserve"> obligation to Provide the </w:t>
      </w:r>
      <w:r>
        <w:rPr>
          <w:b w:val="0"/>
          <w:bCs w:val="0"/>
          <w:i/>
          <w:iCs/>
        </w:rPr>
        <w:t>service</w:t>
      </w:r>
      <w:r>
        <w:rPr>
          <w:b w:val="0"/>
          <w:bCs w:val="0"/>
        </w:rPr>
        <w:t xml:space="preserve"> immediately under reason R11 if the NEC4 Facilities Management Contract is being used or 90.3 Reason 2 if the NEC4 Facilities Management Short Contract is being used and/or to take such other</w:t>
      </w:r>
      <w:r>
        <w:rPr>
          <w:b w:val="0"/>
          <w:bCs w:val="0"/>
        </w:rPr>
        <w:t xml:space="preserve"> steps the </w:t>
      </w:r>
      <w:r>
        <w:rPr>
          <w:b w:val="0"/>
          <w:bCs w:val="0"/>
          <w:i/>
          <w:iCs/>
        </w:rPr>
        <w:t>Client</w:t>
      </w:r>
      <w:r>
        <w:rPr>
          <w:b w:val="0"/>
          <w:bCs w:val="0"/>
        </w:rPr>
        <w:t xml:space="preserve"> deems necessary where, in the reasonable opinion of the </w:t>
      </w:r>
      <w:r>
        <w:rPr>
          <w:b w:val="0"/>
          <w:bCs w:val="0"/>
          <w:i/>
          <w:iCs/>
        </w:rPr>
        <w:t>Client</w:t>
      </w:r>
      <w:r>
        <w:rPr>
          <w:b w:val="0"/>
          <w:bCs w:val="0"/>
        </w:rPr>
        <w:t xml:space="preserve">, there is or may be an actual conflict, or a potential conflict, between the pecuniary or personal interests of the </w:t>
      </w:r>
      <w:r>
        <w:rPr>
          <w:b w:val="0"/>
          <w:bCs w:val="0"/>
          <w:i/>
          <w:iCs/>
        </w:rPr>
        <w:t>Service Provider</w:t>
      </w:r>
      <w:r>
        <w:rPr>
          <w:b w:val="0"/>
          <w:bCs w:val="0"/>
        </w:rPr>
        <w:t xml:space="preserve"> and the duties owed to the </w:t>
      </w:r>
      <w:r>
        <w:rPr>
          <w:b w:val="0"/>
          <w:bCs w:val="0"/>
          <w:i/>
          <w:iCs/>
        </w:rPr>
        <w:t>Client</w:t>
      </w:r>
      <w:r>
        <w:rPr>
          <w:b w:val="0"/>
          <w:bCs w:val="0"/>
        </w:rPr>
        <w:t xml:space="preserve"> under this contract. </w:t>
      </w:r>
    </w:p>
    <w:p w14:paraId="05AF5275" w14:textId="77777777" w:rsidR="007960A8" w:rsidRDefault="007960A8">
      <w:pPr>
        <w:pStyle w:val="Heading1"/>
        <w:spacing w:before="203"/>
        <w:ind w:firstLine="220"/>
        <w:rPr>
          <w:b w:val="0"/>
          <w:bCs w:val="0"/>
        </w:rPr>
      </w:pPr>
    </w:p>
    <w:p w14:paraId="31FB1172" w14:textId="77777777" w:rsidR="007960A8" w:rsidRDefault="00A26397">
      <w:pPr>
        <w:pStyle w:val="Heading1"/>
        <w:spacing w:before="203"/>
        <w:ind w:firstLine="220"/>
      </w:pPr>
      <w:r>
        <w:t>Option Z7 – Publicity and Branding</w:t>
      </w:r>
    </w:p>
    <w:p w14:paraId="07D90C13" w14:textId="77777777" w:rsidR="007960A8" w:rsidRDefault="00A26397">
      <w:pPr>
        <w:pStyle w:val="Heading1"/>
        <w:spacing w:before="203"/>
        <w:ind w:firstLine="220"/>
        <w:rPr>
          <w:b w:val="0"/>
          <w:bCs w:val="0"/>
        </w:rPr>
      </w:pPr>
      <w:r>
        <w:rPr>
          <w:b w:val="0"/>
          <w:bCs w:val="0"/>
        </w:rPr>
        <w:t>Insert new clauses:</w:t>
      </w:r>
    </w:p>
    <w:p w14:paraId="2CB0D739" w14:textId="77777777" w:rsidR="007960A8" w:rsidRDefault="007960A8">
      <w:pPr>
        <w:ind w:left="284"/>
      </w:pPr>
    </w:p>
    <w:p w14:paraId="173D6087" w14:textId="77777777" w:rsidR="007960A8" w:rsidRDefault="00A26397">
      <w:pPr>
        <w:ind w:left="284"/>
      </w:pPr>
      <w:r>
        <w:t xml:space="preserve">29B.1 The </w:t>
      </w:r>
      <w:r>
        <w:rPr>
          <w:i/>
          <w:iCs/>
        </w:rPr>
        <w:t xml:space="preserve">Service Provider </w:t>
      </w:r>
      <w:r>
        <w:t xml:space="preserve">does not </w:t>
      </w:r>
    </w:p>
    <w:p w14:paraId="28ACE513" w14:textId="77777777" w:rsidR="007960A8" w:rsidRDefault="007960A8">
      <w:pPr>
        <w:ind w:left="284"/>
      </w:pPr>
    </w:p>
    <w:p w14:paraId="0BDCCF11" w14:textId="77777777" w:rsidR="007960A8" w:rsidRDefault="00A26397">
      <w:pPr>
        <w:numPr>
          <w:ilvl w:val="0"/>
          <w:numId w:val="60"/>
        </w:numPr>
        <w:pBdr>
          <w:top w:val="nil"/>
          <w:left w:val="nil"/>
          <w:bottom w:val="nil"/>
          <w:right w:val="nil"/>
          <w:between w:val="nil"/>
        </w:pBdr>
        <w:rPr>
          <w:color w:val="000000"/>
        </w:rPr>
      </w:pPr>
      <w:r>
        <w:rPr>
          <w:color w:val="000000"/>
        </w:rPr>
        <w:t>make any press announcements or publicise this contract in any way</w:t>
      </w:r>
    </w:p>
    <w:p w14:paraId="31006564" w14:textId="77777777" w:rsidR="007960A8" w:rsidRDefault="007960A8">
      <w:pPr>
        <w:pBdr>
          <w:top w:val="nil"/>
          <w:left w:val="nil"/>
          <w:bottom w:val="nil"/>
          <w:right w:val="nil"/>
          <w:between w:val="nil"/>
        </w:pBdr>
        <w:ind w:left="1070"/>
        <w:rPr>
          <w:color w:val="000000"/>
        </w:rPr>
      </w:pPr>
    </w:p>
    <w:p w14:paraId="773E793A" w14:textId="77777777" w:rsidR="007960A8" w:rsidRDefault="00A26397">
      <w:pPr>
        <w:numPr>
          <w:ilvl w:val="0"/>
          <w:numId w:val="60"/>
        </w:numPr>
        <w:pBdr>
          <w:top w:val="nil"/>
          <w:left w:val="nil"/>
          <w:bottom w:val="nil"/>
          <w:right w:val="nil"/>
          <w:between w:val="nil"/>
        </w:pBdr>
        <w:rPr>
          <w:color w:val="000000"/>
        </w:rPr>
      </w:pPr>
      <w:r>
        <w:rPr>
          <w:color w:val="000000"/>
        </w:rPr>
        <w:t xml:space="preserve">use the </w:t>
      </w:r>
      <w:r>
        <w:rPr>
          <w:i/>
          <w:iCs/>
          <w:color w:val="000000"/>
        </w:rPr>
        <w:t xml:space="preserve">Client's </w:t>
      </w:r>
      <w:r>
        <w:rPr>
          <w:color w:val="000000"/>
        </w:rPr>
        <w:t>name or brand in any promotion or marketing or announ</w:t>
      </w:r>
      <w:r>
        <w:rPr>
          <w:color w:val="000000"/>
        </w:rPr>
        <w:t>cement of the contract</w:t>
      </w:r>
    </w:p>
    <w:p w14:paraId="32BDA659" w14:textId="77777777" w:rsidR="007960A8" w:rsidRDefault="007960A8">
      <w:pPr>
        <w:pBdr>
          <w:top w:val="nil"/>
          <w:left w:val="nil"/>
          <w:bottom w:val="nil"/>
          <w:right w:val="nil"/>
          <w:between w:val="nil"/>
        </w:pBdr>
        <w:ind w:left="940"/>
        <w:rPr>
          <w:i/>
          <w:iCs/>
          <w:color w:val="000000"/>
        </w:rPr>
      </w:pPr>
    </w:p>
    <w:p w14:paraId="30A37CF9" w14:textId="77777777" w:rsidR="007960A8" w:rsidRDefault="00A26397">
      <w:pPr>
        <w:ind w:left="284"/>
      </w:pPr>
      <w:r>
        <w:t xml:space="preserve">without approval of the </w:t>
      </w:r>
      <w:r>
        <w:rPr>
          <w:i/>
          <w:iCs/>
        </w:rPr>
        <w:t>Client</w:t>
      </w:r>
      <w:r>
        <w:t xml:space="preserve">. </w:t>
      </w:r>
    </w:p>
    <w:p w14:paraId="0AFE31BB" w14:textId="77777777" w:rsidR="007960A8" w:rsidRDefault="007960A8">
      <w:pPr>
        <w:ind w:left="284"/>
      </w:pPr>
    </w:p>
    <w:p w14:paraId="54C67B2B" w14:textId="77777777" w:rsidR="007960A8" w:rsidRDefault="00A26397">
      <w:pPr>
        <w:ind w:left="284"/>
      </w:pPr>
      <w:r>
        <w:t xml:space="preserve">29B.2. The </w:t>
      </w:r>
      <w:r>
        <w:rPr>
          <w:i/>
          <w:iCs/>
        </w:rPr>
        <w:t xml:space="preserve">Client </w:t>
      </w:r>
      <w:r>
        <w:t>is entitled to publicise the contract</w:t>
      </w:r>
      <w:r>
        <w:rPr>
          <w:i/>
          <w:iCs/>
        </w:rPr>
        <w:t xml:space="preserve"> </w:t>
      </w:r>
      <w:r>
        <w:t xml:space="preserve">in accordance with any legal obligation upon the </w:t>
      </w:r>
      <w:r>
        <w:rPr>
          <w:i/>
          <w:iCs/>
        </w:rPr>
        <w:t>Client</w:t>
      </w:r>
      <w:r>
        <w:t>, including any examination of the contract</w:t>
      </w:r>
      <w:r>
        <w:rPr>
          <w:i/>
          <w:iCs/>
        </w:rPr>
        <w:t xml:space="preserve"> </w:t>
      </w:r>
      <w:r>
        <w:t xml:space="preserve">by the National Audit Office pursuant to the National Audit Act 1983 or otherwise. </w:t>
      </w:r>
    </w:p>
    <w:p w14:paraId="5D700F37" w14:textId="77777777" w:rsidR="007960A8" w:rsidRDefault="007960A8">
      <w:pPr>
        <w:ind w:left="284"/>
      </w:pPr>
    </w:p>
    <w:p w14:paraId="2F048EB8" w14:textId="77777777" w:rsidR="007960A8" w:rsidRDefault="00A26397">
      <w:pPr>
        <w:pStyle w:val="Heading1"/>
        <w:spacing w:before="203"/>
        <w:ind w:firstLine="220"/>
      </w:pPr>
      <w:r>
        <w:t>Option Z8 - Freedom of information</w:t>
      </w:r>
    </w:p>
    <w:p w14:paraId="5CE3E53C" w14:textId="77777777" w:rsidR="007960A8" w:rsidRDefault="007960A8">
      <w:pPr>
        <w:pBdr>
          <w:top w:val="nil"/>
          <w:left w:val="nil"/>
          <w:bottom w:val="nil"/>
          <w:right w:val="nil"/>
          <w:between w:val="nil"/>
        </w:pBdr>
        <w:spacing w:before="10"/>
        <w:rPr>
          <w:b/>
          <w:bCs/>
          <w:color w:val="000000"/>
        </w:rPr>
      </w:pPr>
    </w:p>
    <w:p w14:paraId="2DDE1813" w14:textId="77777777" w:rsidR="007960A8" w:rsidRDefault="00A26397">
      <w:pPr>
        <w:pBdr>
          <w:top w:val="nil"/>
          <w:left w:val="nil"/>
          <w:bottom w:val="nil"/>
          <w:right w:val="nil"/>
          <w:between w:val="nil"/>
        </w:pBdr>
        <w:ind w:left="220"/>
        <w:rPr>
          <w:color w:val="000000"/>
        </w:rPr>
      </w:pPr>
      <w:r>
        <w:rPr>
          <w:color w:val="000000"/>
        </w:rPr>
        <w:t>Insert new clauses:</w:t>
      </w:r>
    </w:p>
    <w:p w14:paraId="3C4E4C3F" w14:textId="77777777" w:rsidR="007960A8" w:rsidRDefault="007960A8">
      <w:pPr>
        <w:pBdr>
          <w:top w:val="nil"/>
          <w:left w:val="nil"/>
          <w:bottom w:val="nil"/>
          <w:right w:val="nil"/>
          <w:between w:val="nil"/>
        </w:pBdr>
        <w:spacing w:before="6"/>
        <w:rPr>
          <w:color w:val="000000"/>
        </w:rPr>
      </w:pPr>
    </w:p>
    <w:p w14:paraId="22CFE155" w14:textId="77777777" w:rsidR="007960A8" w:rsidRDefault="00A26397">
      <w:pPr>
        <w:tabs>
          <w:tab w:val="left" w:pos="711"/>
        </w:tabs>
        <w:spacing w:line="259" w:lineRule="auto"/>
        <w:ind w:left="284" w:right="411"/>
      </w:pPr>
      <w:r>
        <w:t xml:space="preserve">27A.1 The </w:t>
      </w:r>
      <w:r>
        <w:rPr>
          <w:i/>
          <w:iCs/>
        </w:rPr>
        <w:t xml:space="preserve">Service Provider </w:t>
      </w:r>
      <w:r>
        <w:t xml:space="preserve">acknowledges that unless the </w:t>
      </w:r>
      <w:r>
        <w:rPr>
          <w:i/>
          <w:iCs/>
        </w:rPr>
        <w:t xml:space="preserve">Client’s Agent/Service Manager </w:t>
      </w:r>
      <w:r>
        <w:t xml:space="preserve">has notified the </w:t>
      </w:r>
      <w:r>
        <w:rPr>
          <w:i/>
          <w:iCs/>
        </w:rPr>
        <w:t xml:space="preserve">Service Provider </w:t>
      </w:r>
      <w:r>
        <w:t xml:space="preserve">that the </w:t>
      </w:r>
      <w:r>
        <w:rPr>
          <w:i/>
          <w:iCs/>
        </w:rPr>
        <w:t xml:space="preserve">Client </w:t>
      </w:r>
      <w:r>
        <w:t xml:space="preserve">is exempt from the provisions of the FOIA, the </w:t>
      </w:r>
      <w:r>
        <w:rPr>
          <w:i/>
          <w:iCs/>
        </w:rPr>
        <w:t xml:space="preserve">Client </w:t>
      </w:r>
      <w:r>
        <w:t xml:space="preserve">is subject to the requirements of the Code of Practice on Government Information, the FOIA and the Environmental Information Regulations. The </w:t>
      </w:r>
      <w:r>
        <w:rPr>
          <w:i/>
          <w:iCs/>
        </w:rPr>
        <w:t xml:space="preserve">Service Provider </w:t>
      </w:r>
      <w:r>
        <w:t xml:space="preserve">cooperates with and assists the </w:t>
      </w:r>
      <w:r>
        <w:rPr>
          <w:i/>
          <w:iCs/>
        </w:rPr>
        <w:t xml:space="preserve">Client </w:t>
      </w:r>
      <w:r>
        <w:t xml:space="preserve">so as to enable the </w:t>
      </w:r>
      <w:r>
        <w:rPr>
          <w:i/>
          <w:iCs/>
        </w:rPr>
        <w:t xml:space="preserve">Client </w:t>
      </w:r>
      <w:r>
        <w:t xml:space="preserve">to comply with its information </w:t>
      </w:r>
      <w:r>
        <w:t>disclosure obligations.</w:t>
      </w:r>
    </w:p>
    <w:p w14:paraId="1C04488E" w14:textId="77777777" w:rsidR="007960A8" w:rsidRDefault="007960A8">
      <w:pPr>
        <w:pBdr>
          <w:top w:val="nil"/>
          <w:left w:val="nil"/>
          <w:bottom w:val="nil"/>
          <w:right w:val="nil"/>
          <w:between w:val="nil"/>
        </w:pBdr>
        <w:spacing w:before="9"/>
        <w:rPr>
          <w:color w:val="000000"/>
          <w:sz w:val="20"/>
          <w:szCs w:val="20"/>
        </w:rPr>
      </w:pPr>
    </w:p>
    <w:p w14:paraId="6B603EC8" w14:textId="77777777" w:rsidR="007960A8" w:rsidRDefault="00A26397">
      <w:pPr>
        <w:tabs>
          <w:tab w:val="left" w:pos="710"/>
        </w:tabs>
        <w:spacing w:before="1"/>
        <w:ind w:left="284"/>
        <w:rPr>
          <w:i/>
          <w:iCs/>
        </w:rPr>
      </w:pPr>
      <w:r>
        <w:t xml:space="preserve">27A.2 The </w:t>
      </w:r>
      <w:r>
        <w:rPr>
          <w:i/>
          <w:iCs/>
        </w:rPr>
        <w:t>Service Provider</w:t>
      </w:r>
    </w:p>
    <w:p w14:paraId="66557EA2" w14:textId="77777777" w:rsidR="007960A8" w:rsidRDefault="007960A8">
      <w:pPr>
        <w:pBdr>
          <w:top w:val="nil"/>
          <w:left w:val="nil"/>
          <w:bottom w:val="nil"/>
          <w:right w:val="nil"/>
          <w:between w:val="nil"/>
        </w:pBdr>
        <w:spacing w:before="4"/>
        <w:rPr>
          <w:i/>
          <w:iCs/>
          <w:color w:val="000000"/>
        </w:rPr>
      </w:pPr>
    </w:p>
    <w:p w14:paraId="78E7EFFB" w14:textId="77777777" w:rsidR="007960A8" w:rsidRDefault="00A26397">
      <w:pPr>
        <w:numPr>
          <w:ilvl w:val="0"/>
          <w:numId w:val="50"/>
        </w:numPr>
        <w:pBdr>
          <w:top w:val="nil"/>
          <w:left w:val="nil"/>
          <w:bottom w:val="nil"/>
          <w:right w:val="nil"/>
          <w:between w:val="nil"/>
        </w:pBdr>
        <w:tabs>
          <w:tab w:val="left" w:pos="941"/>
        </w:tabs>
        <w:ind w:right="214"/>
        <w:jc w:val="both"/>
        <w:rPr>
          <w:color w:val="000000"/>
        </w:rPr>
      </w:pPr>
      <w:r>
        <w:rPr>
          <w:color w:val="000000"/>
        </w:rPr>
        <w:t xml:space="preserve">transfers to the </w:t>
      </w:r>
      <w:r>
        <w:rPr>
          <w:i/>
          <w:iCs/>
          <w:color w:val="000000"/>
        </w:rPr>
        <w:t xml:space="preserve">Client’s Agent/Service Manager </w:t>
      </w:r>
      <w:r>
        <w:rPr>
          <w:color w:val="000000"/>
        </w:rPr>
        <w:t>all Requests for Information that it receives as soon as practicable and in any event within two working days of receiving a Request for Information,</w:t>
      </w:r>
    </w:p>
    <w:p w14:paraId="74EE55EF" w14:textId="77777777" w:rsidR="007960A8" w:rsidRDefault="007960A8">
      <w:pPr>
        <w:pBdr>
          <w:top w:val="nil"/>
          <w:left w:val="nil"/>
          <w:bottom w:val="nil"/>
          <w:right w:val="nil"/>
          <w:between w:val="nil"/>
        </w:pBdr>
        <w:spacing w:before="1"/>
        <w:rPr>
          <w:color w:val="000000"/>
          <w:sz w:val="21"/>
          <w:szCs w:val="21"/>
        </w:rPr>
      </w:pPr>
    </w:p>
    <w:p w14:paraId="7663A570" w14:textId="77777777" w:rsidR="007960A8" w:rsidRDefault="00A26397">
      <w:pPr>
        <w:numPr>
          <w:ilvl w:val="0"/>
          <w:numId w:val="50"/>
        </w:numPr>
        <w:pBdr>
          <w:top w:val="nil"/>
          <w:left w:val="nil"/>
          <w:bottom w:val="nil"/>
          <w:right w:val="nil"/>
          <w:between w:val="nil"/>
        </w:pBdr>
        <w:tabs>
          <w:tab w:val="left" w:pos="941"/>
        </w:tabs>
        <w:spacing w:line="237" w:lineRule="auto"/>
        <w:ind w:right="215"/>
        <w:jc w:val="both"/>
        <w:rPr>
          <w:color w:val="000000"/>
        </w:rPr>
      </w:pPr>
      <w:r>
        <w:rPr>
          <w:color w:val="000000"/>
        </w:rPr>
        <w:t xml:space="preserve">provides the </w:t>
      </w:r>
      <w:r>
        <w:rPr>
          <w:i/>
          <w:iCs/>
          <w:color w:val="000000"/>
        </w:rPr>
        <w:t xml:space="preserve">Client’s Agent/Service Manager </w:t>
      </w:r>
      <w:r>
        <w:rPr>
          <w:color w:val="000000"/>
        </w:rPr>
        <w:t>with a copy of all information in its possession, or power in</w:t>
      </w:r>
      <w:r>
        <w:rPr>
          <w:color w:val="000000"/>
        </w:rPr>
        <w:t xml:space="preserve"> the form that the </w:t>
      </w:r>
      <w:r>
        <w:rPr>
          <w:i/>
          <w:iCs/>
          <w:color w:val="000000"/>
        </w:rPr>
        <w:t xml:space="preserve">Client’s Agent/Service Manager/ </w:t>
      </w:r>
      <w:r>
        <w:rPr>
          <w:color w:val="000000"/>
        </w:rPr>
        <w:t xml:space="preserve">requires within five working days (or such other period as the </w:t>
      </w:r>
      <w:r>
        <w:rPr>
          <w:i/>
          <w:iCs/>
          <w:color w:val="000000"/>
        </w:rPr>
        <w:t xml:space="preserve">Client’s Agent/Service Manager </w:t>
      </w:r>
      <w:r>
        <w:rPr>
          <w:color w:val="000000"/>
        </w:rPr>
        <w:t xml:space="preserve">may specify) of the </w:t>
      </w:r>
      <w:r>
        <w:rPr>
          <w:i/>
          <w:iCs/>
          <w:color w:val="000000"/>
        </w:rPr>
        <w:t xml:space="preserve">Client’s Agent/Service Manager’s </w:t>
      </w:r>
      <w:r>
        <w:rPr>
          <w:color w:val="000000"/>
        </w:rPr>
        <w:t>request,</w:t>
      </w:r>
    </w:p>
    <w:p w14:paraId="67CE9E04" w14:textId="77777777" w:rsidR="007960A8" w:rsidRDefault="007960A8">
      <w:pPr>
        <w:pBdr>
          <w:top w:val="nil"/>
          <w:left w:val="nil"/>
          <w:bottom w:val="nil"/>
          <w:right w:val="nil"/>
          <w:between w:val="nil"/>
        </w:pBdr>
        <w:spacing w:before="1"/>
        <w:rPr>
          <w:color w:val="000000"/>
          <w:sz w:val="21"/>
          <w:szCs w:val="21"/>
        </w:rPr>
      </w:pPr>
    </w:p>
    <w:p w14:paraId="7C90E1AE" w14:textId="77777777" w:rsidR="007960A8" w:rsidRDefault="00A26397">
      <w:pPr>
        <w:numPr>
          <w:ilvl w:val="0"/>
          <w:numId w:val="50"/>
        </w:numPr>
        <w:pBdr>
          <w:top w:val="nil"/>
          <w:left w:val="nil"/>
          <w:bottom w:val="nil"/>
          <w:right w:val="nil"/>
          <w:between w:val="nil"/>
        </w:pBdr>
        <w:tabs>
          <w:tab w:val="left" w:pos="941"/>
        </w:tabs>
        <w:spacing w:before="1"/>
        <w:ind w:right="213"/>
        <w:jc w:val="both"/>
        <w:rPr>
          <w:color w:val="000000"/>
        </w:rPr>
      </w:pPr>
      <w:r>
        <w:rPr>
          <w:color w:val="000000"/>
        </w:rPr>
        <w:t xml:space="preserve">provides all necessary assistance as reasonably requested by the </w:t>
      </w:r>
      <w:r>
        <w:rPr>
          <w:i/>
          <w:iCs/>
          <w:color w:val="000000"/>
        </w:rPr>
        <w:t xml:space="preserve">Client’s Agent/Service Manager </w:t>
      </w:r>
      <w:r>
        <w:rPr>
          <w:color w:val="000000"/>
        </w:rPr>
        <w:t xml:space="preserve">to enable the </w:t>
      </w:r>
      <w:r>
        <w:rPr>
          <w:i/>
          <w:iCs/>
          <w:color w:val="000000"/>
        </w:rPr>
        <w:t xml:space="preserve">Client </w:t>
      </w:r>
      <w:r>
        <w:rPr>
          <w:color w:val="000000"/>
        </w:rPr>
        <w:t>to respond to the Request for Information within the time for compliance set out in section 10 of the FOIA or regulation 5 of the Environme</w:t>
      </w:r>
      <w:r>
        <w:rPr>
          <w:color w:val="000000"/>
        </w:rPr>
        <w:t>ntal Information Regulations and</w:t>
      </w:r>
    </w:p>
    <w:p w14:paraId="5D2ED56F" w14:textId="77777777" w:rsidR="007960A8" w:rsidRDefault="007960A8">
      <w:pPr>
        <w:pBdr>
          <w:top w:val="nil"/>
          <w:left w:val="nil"/>
          <w:bottom w:val="nil"/>
          <w:right w:val="nil"/>
          <w:between w:val="nil"/>
        </w:pBdr>
        <w:spacing w:before="8"/>
        <w:rPr>
          <w:color w:val="000000"/>
          <w:sz w:val="20"/>
          <w:szCs w:val="20"/>
        </w:rPr>
      </w:pPr>
    </w:p>
    <w:p w14:paraId="68BEDBAA" w14:textId="77777777" w:rsidR="007960A8" w:rsidRDefault="00A26397">
      <w:pPr>
        <w:numPr>
          <w:ilvl w:val="0"/>
          <w:numId w:val="50"/>
        </w:numPr>
        <w:pBdr>
          <w:top w:val="nil"/>
          <w:left w:val="nil"/>
          <w:bottom w:val="nil"/>
          <w:right w:val="nil"/>
          <w:between w:val="nil"/>
        </w:pBdr>
        <w:tabs>
          <w:tab w:val="left" w:pos="941"/>
        </w:tabs>
        <w:ind w:hanging="721"/>
        <w:rPr>
          <w:color w:val="000000"/>
        </w:rPr>
      </w:pPr>
      <w:r>
        <w:rPr>
          <w:color w:val="000000"/>
        </w:rPr>
        <w:t>procures that its Subcontractors do likewise.</w:t>
      </w:r>
    </w:p>
    <w:p w14:paraId="7CFDE883" w14:textId="77777777" w:rsidR="007960A8" w:rsidRDefault="007960A8">
      <w:pPr>
        <w:pBdr>
          <w:top w:val="nil"/>
          <w:left w:val="nil"/>
          <w:bottom w:val="nil"/>
          <w:right w:val="nil"/>
          <w:between w:val="nil"/>
        </w:pBdr>
        <w:spacing w:before="10"/>
        <w:rPr>
          <w:color w:val="000000"/>
          <w:sz w:val="20"/>
          <w:szCs w:val="20"/>
        </w:rPr>
      </w:pPr>
    </w:p>
    <w:p w14:paraId="33CDEF0A" w14:textId="77777777" w:rsidR="007960A8" w:rsidRDefault="00A26397">
      <w:pPr>
        <w:pBdr>
          <w:top w:val="nil"/>
          <w:left w:val="nil"/>
          <w:bottom w:val="nil"/>
          <w:right w:val="nil"/>
          <w:between w:val="nil"/>
        </w:pBdr>
        <w:tabs>
          <w:tab w:val="left" w:pos="710"/>
        </w:tabs>
        <w:spacing w:line="259" w:lineRule="auto"/>
        <w:ind w:left="220" w:right="539"/>
        <w:rPr>
          <w:color w:val="000000"/>
        </w:rPr>
      </w:pPr>
      <w:r>
        <w:rPr>
          <w:color w:val="000000"/>
        </w:rPr>
        <w:t xml:space="preserve">27A.3 The </w:t>
      </w:r>
      <w:r>
        <w:rPr>
          <w:i/>
          <w:iCs/>
          <w:color w:val="000000"/>
        </w:rPr>
        <w:t xml:space="preserve">Client </w:t>
      </w:r>
      <w:r>
        <w:rPr>
          <w:color w:val="000000"/>
        </w:rPr>
        <w:t>is responsible for determining in its absolute discretion whether any information is exempt from disclosure in accordance with the provisions of the Code of Practice on Government Information, FOIA or the Environmental Information Regulations.</w:t>
      </w:r>
    </w:p>
    <w:p w14:paraId="7E581970" w14:textId="77777777" w:rsidR="007960A8" w:rsidRDefault="007960A8">
      <w:pPr>
        <w:pBdr>
          <w:top w:val="nil"/>
          <w:left w:val="nil"/>
          <w:bottom w:val="nil"/>
          <w:right w:val="nil"/>
          <w:between w:val="nil"/>
        </w:pBdr>
        <w:spacing w:before="9"/>
        <w:rPr>
          <w:color w:val="000000"/>
          <w:sz w:val="20"/>
          <w:szCs w:val="20"/>
        </w:rPr>
      </w:pPr>
    </w:p>
    <w:p w14:paraId="14D4D07B" w14:textId="77777777" w:rsidR="007960A8" w:rsidRDefault="00A26397">
      <w:pPr>
        <w:pBdr>
          <w:top w:val="nil"/>
          <w:left w:val="nil"/>
          <w:bottom w:val="nil"/>
          <w:right w:val="nil"/>
          <w:between w:val="nil"/>
        </w:pBdr>
        <w:tabs>
          <w:tab w:val="left" w:pos="711"/>
        </w:tabs>
        <w:spacing w:line="259" w:lineRule="auto"/>
        <w:ind w:left="220" w:right="681"/>
        <w:rPr>
          <w:color w:val="000000"/>
        </w:rPr>
      </w:pPr>
      <w:r>
        <w:rPr>
          <w:color w:val="000000"/>
        </w:rPr>
        <w:t xml:space="preserve">27A.4 The </w:t>
      </w:r>
      <w:r>
        <w:rPr>
          <w:i/>
          <w:iCs/>
          <w:color w:val="000000"/>
        </w:rPr>
        <w:t xml:space="preserve">Service Provider </w:t>
      </w:r>
      <w:r>
        <w:rPr>
          <w:color w:val="000000"/>
        </w:rPr>
        <w:t xml:space="preserve">does not respond directly to a Request for Information unless authorised to do so by the </w:t>
      </w:r>
      <w:r>
        <w:rPr>
          <w:i/>
          <w:iCs/>
          <w:color w:val="000000"/>
        </w:rPr>
        <w:t>Client’s Agent/Service Manager</w:t>
      </w:r>
      <w:r>
        <w:rPr>
          <w:color w:val="000000"/>
        </w:rPr>
        <w:t>.</w:t>
      </w:r>
    </w:p>
    <w:p w14:paraId="434EBCA6" w14:textId="77777777" w:rsidR="007960A8" w:rsidRDefault="007960A8">
      <w:pPr>
        <w:pBdr>
          <w:top w:val="nil"/>
          <w:left w:val="nil"/>
          <w:bottom w:val="nil"/>
          <w:right w:val="nil"/>
          <w:between w:val="nil"/>
        </w:pBdr>
        <w:rPr>
          <w:color w:val="000000"/>
          <w:sz w:val="21"/>
          <w:szCs w:val="21"/>
        </w:rPr>
      </w:pPr>
    </w:p>
    <w:p w14:paraId="3EA80E76" w14:textId="77777777" w:rsidR="007960A8" w:rsidRDefault="00A26397">
      <w:pPr>
        <w:pBdr>
          <w:top w:val="nil"/>
          <w:left w:val="nil"/>
          <w:bottom w:val="nil"/>
          <w:right w:val="nil"/>
          <w:between w:val="nil"/>
        </w:pBdr>
        <w:tabs>
          <w:tab w:val="left" w:pos="711"/>
        </w:tabs>
        <w:spacing w:line="259" w:lineRule="auto"/>
        <w:ind w:left="220" w:right="444"/>
        <w:rPr>
          <w:color w:val="000000"/>
        </w:rPr>
      </w:pPr>
      <w:r>
        <w:rPr>
          <w:color w:val="000000"/>
        </w:rPr>
        <w:t xml:space="preserve">27A.5 The </w:t>
      </w:r>
      <w:r>
        <w:rPr>
          <w:i/>
          <w:iCs/>
          <w:color w:val="000000"/>
        </w:rPr>
        <w:t xml:space="preserve">Service Provider </w:t>
      </w:r>
      <w:r>
        <w:rPr>
          <w:color w:val="000000"/>
        </w:rPr>
        <w:t xml:space="preserve">acknowledges that the </w:t>
      </w:r>
      <w:r>
        <w:rPr>
          <w:i/>
          <w:iCs/>
          <w:color w:val="000000"/>
        </w:rPr>
        <w:t xml:space="preserve">Client </w:t>
      </w:r>
      <w:r>
        <w:rPr>
          <w:color w:val="000000"/>
        </w:rPr>
        <w:t xml:space="preserve">may, acting in accordance with Cabinet Office Freedom of Information Code of Practice, be obliged to disclose information without consulting or obtaining consent from the </w:t>
      </w:r>
      <w:r>
        <w:rPr>
          <w:i/>
          <w:iCs/>
          <w:color w:val="000000"/>
        </w:rPr>
        <w:t xml:space="preserve">Service Provider </w:t>
      </w:r>
      <w:r>
        <w:rPr>
          <w:color w:val="000000"/>
        </w:rPr>
        <w:t xml:space="preserve">or despite the </w:t>
      </w:r>
      <w:r>
        <w:rPr>
          <w:i/>
          <w:iCs/>
          <w:color w:val="000000"/>
        </w:rPr>
        <w:t xml:space="preserve">Service Provider </w:t>
      </w:r>
      <w:r>
        <w:rPr>
          <w:color w:val="000000"/>
        </w:rPr>
        <w:t>having expressed negative views when</w:t>
      </w:r>
      <w:r>
        <w:rPr>
          <w:color w:val="000000"/>
        </w:rPr>
        <w:t xml:space="preserve"> consulted.</w:t>
      </w:r>
    </w:p>
    <w:p w14:paraId="503F9CC2" w14:textId="77777777" w:rsidR="007960A8" w:rsidRDefault="007960A8">
      <w:pPr>
        <w:pBdr>
          <w:top w:val="nil"/>
          <w:left w:val="nil"/>
          <w:bottom w:val="nil"/>
          <w:right w:val="nil"/>
          <w:between w:val="nil"/>
        </w:pBdr>
        <w:tabs>
          <w:tab w:val="left" w:pos="711"/>
        </w:tabs>
        <w:spacing w:line="259" w:lineRule="auto"/>
        <w:ind w:left="220" w:right="444"/>
        <w:rPr>
          <w:color w:val="000000"/>
        </w:rPr>
      </w:pPr>
    </w:p>
    <w:p w14:paraId="336D9ACA" w14:textId="77777777" w:rsidR="007960A8" w:rsidRDefault="00A26397">
      <w:pPr>
        <w:pBdr>
          <w:top w:val="nil"/>
          <w:left w:val="nil"/>
          <w:bottom w:val="nil"/>
          <w:right w:val="nil"/>
          <w:between w:val="nil"/>
        </w:pBdr>
        <w:tabs>
          <w:tab w:val="left" w:pos="711"/>
        </w:tabs>
        <w:spacing w:line="259" w:lineRule="auto"/>
        <w:ind w:left="220" w:right="444"/>
        <w:rPr>
          <w:color w:val="000000"/>
        </w:rPr>
      </w:pPr>
      <w:r>
        <w:rPr>
          <w:color w:val="000000"/>
        </w:rPr>
        <w:t xml:space="preserve">27A.6 The </w:t>
      </w:r>
      <w:r>
        <w:rPr>
          <w:i/>
          <w:iCs/>
          <w:color w:val="000000"/>
        </w:rPr>
        <w:t xml:space="preserve">Service Provider </w:t>
      </w:r>
      <w:r>
        <w:rPr>
          <w:color w:val="000000"/>
        </w:rPr>
        <w:t xml:space="preserve">ensures that all information is retained for disclosure throughout the </w:t>
      </w:r>
      <w:r>
        <w:rPr>
          <w:i/>
          <w:iCs/>
          <w:color w:val="000000"/>
        </w:rPr>
        <w:t xml:space="preserve">period for retention </w:t>
      </w:r>
      <w:r>
        <w:rPr>
          <w:color w:val="000000"/>
        </w:rPr>
        <w:t xml:space="preserve">and permits the </w:t>
      </w:r>
      <w:r>
        <w:rPr>
          <w:i/>
          <w:iCs/>
          <w:color w:val="000000"/>
        </w:rPr>
        <w:t xml:space="preserve">Client’s Agent/Service Manager </w:t>
      </w:r>
      <w:r>
        <w:rPr>
          <w:color w:val="000000"/>
        </w:rPr>
        <w:t>to inspect such records as and when reasonably requested from time to time.</w:t>
      </w:r>
    </w:p>
    <w:p w14:paraId="0ED808D5" w14:textId="77777777" w:rsidR="007960A8" w:rsidRDefault="007960A8">
      <w:pPr>
        <w:pBdr>
          <w:top w:val="nil"/>
          <w:left w:val="nil"/>
          <w:bottom w:val="nil"/>
          <w:right w:val="nil"/>
          <w:between w:val="nil"/>
        </w:pBdr>
        <w:rPr>
          <w:color w:val="000000"/>
          <w:sz w:val="24"/>
          <w:szCs w:val="24"/>
        </w:rPr>
      </w:pPr>
    </w:p>
    <w:p w14:paraId="10D797DE" w14:textId="77777777" w:rsidR="007960A8" w:rsidRDefault="00A26397">
      <w:pPr>
        <w:pStyle w:val="Heading1"/>
        <w:spacing w:before="198"/>
        <w:ind w:firstLine="220"/>
      </w:pPr>
      <w:r>
        <w:t>Option Z9 - Confidentiality and Information Sharing</w:t>
      </w:r>
    </w:p>
    <w:p w14:paraId="39E9D3E0" w14:textId="77777777" w:rsidR="007960A8" w:rsidRDefault="007960A8">
      <w:pPr>
        <w:pBdr>
          <w:top w:val="nil"/>
          <w:left w:val="nil"/>
          <w:bottom w:val="nil"/>
          <w:right w:val="nil"/>
          <w:between w:val="nil"/>
        </w:pBdr>
        <w:spacing w:before="10"/>
        <w:rPr>
          <w:b/>
          <w:bCs/>
          <w:color w:val="000000"/>
        </w:rPr>
      </w:pPr>
    </w:p>
    <w:p w14:paraId="5A720301" w14:textId="77777777" w:rsidR="007960A8" w:rsidRDefault="00A26397">
      <w:pPr>
        <w:pBdr>
          <w:top w:val="nil"/>
          <w:left w:val="nil"/>
          <w:bottom w:val="nil"/>
          <w:right w:val="nil"/>
          <w:between w:val="nil"/>
        </w:pBdr>
        <w:ind w:left="220"/>
        <w:rPr>
          <w:color w:val="000000"/>
        </w:rPr>
      </w:pPr>
      <w:r>
        <w:rPr>
          <w:color w:val="000000"/>
        </w:rPr>
        <w:t>Insert a new clause</w:t>
      </w:r>
    </w:p>
    <w:p w14:paraId="62EA13E7" w14:textId="77777777" w:rsidR="007960A8" w:rsidRDefault="007960A8">
      <w:pPr>
        <w:pBdr>
          <w:top w:val="nil"/>
          <w:left w:val="nil"/>
          <w:bottom w:val="nil"/>
          <w:right w:val="nil"/>
          <w:between w:val="nil"/>
        </w:pBdr>
        <w:spacing w:before="7"/>
        <w:rPr>
          <w:color w:val="000000"/>
        </w:rPr>
      </w:pPr>
    </w:p>
    <w:p w14:paraId="490A7D41" w14:textId="77777777" w:rsidR="007960A8" w:rsidRDefault="00A26397">
      <w:pPr>
        <w:pBdr>
          <w:top w:val="nil"/>
          <w:left w:val="nil"/>
          <w:bottom w:val="nil"/>
          <w:right w:val="nil"/>
          <w:between w:val="nil"/>
        </w:pBdr>
        <w:tabs>
          <w:tab w:val="left" w:pos="713"/>
        </w:tabs>
        <w:spacing w:line="256" w:lineRule="auto"/>
        <w:ind w:left="220" w:right="598"/>
        <w:rPr>
          <w:color w:val="000000"/>
        </w:rPr>
      </w:pPr>
      <w:r>
        <w:rPr>
          <w:color w:val="000000"/>
        </w:rPr>
        <w:t>27A.7 Except to the extent set out in this clause or where disclosure is expressly permitted elsewhere in this contract, each Party shall</w:t>
      </w:r>
    </w:p>
    <w:p w14:paraId="3273F584" w14:textId="77777777" w:rsidR="007960A8" w:rsidRDefault="007960A8">
      <w:pPr>
        <w:pBdr>
          <w:top w:val="nil"/>
          <w:left w:val="nil"/>
          <w:bottom w:val="nil"/>
          <w:right w:val="nil"/>
          <w:between w:val="nil"/>
        </w:pBdr>
        <w:spacing w:before="5"/>
        <w:rPr>
          <w:color w:val="000000"/>
          <w:sz w:val="21"/>
          <w:szCs w:val="21"/>
        </w:rPr>
      </w:pPr>
    </w:p>
    <w:p w14:paraId="259E86B2" w14:textId="77777777" w:rsidR="007960A8" w:rsidRDefault="00A26397">
      <w:pPr>
        <w:numPr>
          <w:ilvl w:val="0"/>
          <w:numId w:val="50"/>
        </w:numPr>
        <w:pBdr>
          <w:top w:val="nil"/>
          <w:left w:val="nil"/>
          <w:bottom w:val="nil"/>
          <w:right w:val="nil"/>
          <w:between w:val="nil"/>
        </w:pBdr>
        <w:tabs>
          <w:tab w:val="left" w:pos="941"/>
        </w:tabs>
        <w:spacing w:line="237" w:lineRule="auto"/>
        <w:ind w:right="220"/>
        <w:rPr>
          <w:color w:val="000000"/>
        </w:rPr>
      </w:pPr>
      <w:r>
        <w:rPr>
          <w:color w:val="000000"/>
        </w:rPr>
        <w:t>treat the other Party's Confidential Information as confidential and safeguard it accordingly,</w:t>
      </w:r>
    </w:p>
    <w:p w14:paraId="4DA227EA" w14:textId="77777777" w:rsidR="007960A8" w:rsidRDefault="007960A8">
      <w:pPr>
        <w:pBdr>
          <w:top w:val="nil"/>
          <w:left w:val="nil"/>
          <w:bottom w:val="nil"/>
          <w:right w:val="nil"/>
          <w:between w:val="nil"/>
        </w:pBdr>
        <w:spacing w:before="2"/>
        <w:rPr>
          <w:color w:val="000000"/>
          <w:sz w:val="21"/>
          <w:szCs w:val="21"/>
        </w:rPr>
      </w:pPr>
    </w:p>
    <w:p w14:paraId="60E22043" w14:textId="77777777" w:rsidR="007960A8" w:rsidRDefault="00A26397">
      <w:pPr>
        <w:numPr>
          <w:ilvl w:val="0"/>
          <w:numId w:val="50"/>
        </w:numPr>
        <w:pBdr>
          <w:top w:val="nil"/>
          <w:left w:val="nil"/>
          <w:bottom w:val="nil"/>
          <w:right w:val="nil"/>
          <w:between w:val="nil"/>
        </w:pBdr>
        <w:tabs>
          <w:tab w:val="left" w:pos="941"/>
        </w:tabs>
        <w:spacing w:line="237" w:lineRule="auto"/>
        <w:ind w:right="220"/>
        <w:rPr>
          <w:color w:val="000000"/>
        </w:rPr>
      </w:pPr>
      <w:r>
        <w:rPr>
          <w:color w:val="000000"/>
        </w:rPr>
        <w:t>not disclose the other Party's Confidential Information to any other person without prior written consent,</w:t>
      </w:r>
    </w:p>
    <w:p w14:paraId="5DFC8587" w14:textId="77777777" w:rsidR="007960A8" w:rsidRDefault="007960A8">
      <w:pPr>
        <w:pBdr>
          <w:top w:val="nil"/>
          <w:left w:val="nil"/>
          <w:bottom w:val="nil"/>
          <w:right w:val="nil"/>
          <w:between w:val="nil"/>
        </w:pBdr>
        <w:spacing w:before="2"/>
        <w:rPr>
          <w:color w:val="000000"/>
          <w:sz w:val="21"/>
          <w:szCs w:val="21"/>
        </w:rPr>
      </w:pPr>
    </w:p>
    <w:p w14:paraId="3B9B680E" w14:textId="77777777" w:rsidR="007960A8" w:rsidRDefault="00A26397">
      <w:pPr>
        <w:numPr>
          <w:ilvl w:val="0"/>
          <w:numId w:val="50"/>
        </w:numPr>
        <w:pBdr>
          <w:top w:val="nil"/>
          <w:left w:val="nil"/>
          <w:bottom w:val="nil"/>
          <w:right w:val="nil"/>
          <w:between w:val="nil"/>
        </w:pBdr>
        <w:tabs>
          <w:tab w:val="left" w:pos="941"/>
        </w:tabs>
        <w:spacing w:line="237" w:lineRule="auto"/>
        <w:ind w:right="294"/>
        <w:rPr>
          <w:color w:val="000000"/>
        </w:rPr>
      </w:pPr>
      <w:r>
        <w:rPr>
          <w:color w:val="000000"/>
        </w:rPr>
        <w:t>immediately notify the other Party if it suspects un</w:t>
      </w:r>
      <w:r>
        <w:rPr>
          <w:color w:val="000000"/>
        </w:rPr>
        <w:t>authorised access, copying, use or disclosure of the Confidential Information and</w:t>
      </w:r>
    </w:p>
    <w:p w14:paraId="53F3BD06" w14:textId="77777777" w:rsidR="007960A8" w:rsidRDefault="007960A8">
      <w:pPr>
        <w:pBdr>
          <w:top w:val="nil"/>
          <w:left w:val="nil"/>
          <w:bottom w:val="nil"/>
          <w:right w:val="nil"/>
          <w:between w:val="nil"/>
        </w:pBdr>
        <w:spacing w:before="2"/>
        <w:rPr>
          <w:color w:val="000000"/>
          <w:sz w:val="21"/>
          <w:szCs w:val="21"/>
        </w:rPr>
      </w:pPr>
    </w:p>
    <w:p w14:paraId="48A76426" w14:textId="77777777" w:rsidR="007960A8" w:rsidRDefault="00A26397">
      <w:pPr>
        <w:numPr>
          <w:ilvl w:val="0"/>
          <w:numId w:val="50"/>
        </w:numPr>
        <w:pBdr>
          <w:top w:val="nil"/>
          <w:left w:val="nil"/>
          <w:bottom w:val="nil"/>
          <w:right w:val="nil"/>
          <w:between w:val="nil"/>
        </w:pBdr>
        <w:tabs>
          <w:tab w:val="left" w:pos="941"/>
        </w:tabs>
        <w:spacing w:line="237" w:lineRule="auto"/>
        <w:ind w:right="527"/>
        <w:rPr>
          <w:color w:val="000000"/>
        </w:rPr>
      </w:pPr>
      <w:r>
        <w:rPr>
          <w:color w:val="000000"/>
        </w:rPr>
        <w:t>notify the Serious Fraud Office where the Party has reasonable grounds to believe that the other Party is involved in activity that may be a criminal offence under the Bribery Act 2010.</w:t>
      </w:r>
    </w:p>
    <w:p w14:paraId="58B9DEE5" w14:textId="77777777" w:rsidR="007960A8" w:rsidRDefault="007960A8">
      <w:pPr>
        <w:pBdr>
          <w:top w:val="nil"/>
          <w:left w:val="nil"/>
          <w:bottom w:val="nil"/>
          <w:right w:val="nil"/>
          <w:between w:val="nil"/>
        </w:pBdr>
        <w:spacing w:before="2"/>
        <w:rPr>
          <w:color w:val="000000"/>
          <w:sz w:val="21"/>
          <w:szCs w:val="21"/>
        </w:rPr>
      </w:pPr>
    </w:p>
    <w:p w14:paraId="6DA8CFE7" w14:textId="77777777" w:rsidR="007960A8" w:rsidRDefault="00A26397">
      <w:pPr>
        <w:tabs>
          <w:tab w:val="left" w:pos="893"/>
        </w:tabs>
        <w:ind w:left="142"/>
      </w:pPr>
      <w:r>
        <w:t>27A.8 The clause above shall not apply to the extent that</w:t>
      </w:r>
    </w:p>
    <w:p w14:paraId="003CD386" w14:textId="77777777" w:rsidR="007960A8" w:rsidRDefault="007960A8">
      <w:pPr>
        <w:pBdr>
          <w:top w:val="nil"/>
          <w:left w:val="nil"/>
          <w:bottom w:val="nil"/>
          <w:right w:val="nil"/>
          <w:between w:val="nil"/>
        </w:pBdr>
        <w:spacing w:before="7"/>
        <w:rPr>
          <w:color w:val="000000"/>
        </w:rPr>
      </w:pPr>
    </w:p>
    <w:p w14:paraId="388B5FDF" w14:textId="77777777" w:rsidR="007960A8" w:rsidRDefault="00A26397">
      <w:pPr>
        <w:numPr>
          <w:ilvl w:val="0"/>
          <w:numId w:val="50"/>
        </w:numPr>
        <w:pBdr>
          <w:top w:val="nil"/>
          <w:left w:val="nil"/>
          <w:bottom w:val="nil"/>
          <w:right w:val="nil"/>
          <w:between w:val="nil"/>
        </w:pBdr>
        <w:tabs>
          <w:tab w:val="left" w:pos="941"/>
        </w:tabs>
        <w:ind w:right="215"/>
        <w:jc w:val="both"/>
        <w:rPr>
          <w:color w:val="000000"/>
        </w:rPr>
      </w:pPr>
      <w:r>
        <w:rPr>
          <w:color w:val="000000"/>
        </w:rPr>
        <w:t>such disclosure is a requirement of the Law placed upon the party making the disclosure, including any requirements for disclosure under the FOIA or the Environmental Information Regulations pursuant to clause Z10 (Freedom of Information),</w:t>
      </w:r>
    </w:p>
    <w:p w14:paraId="55E9BD96" w14:textId="77777777" w:rsidR="007960A8" w:rsidRDefault="007960A8">
      <w:pPr>
        <w:pBdr>
          <w:top w:val="nil"/>
          <w:left w:val="nil"/>
          <w:bottom w:val="nil"/>
          <w:right w:val="nil"/>
          <w:between w:val="nil"/>
        </w:pBdr>
        <w:rPr>
          <w:color w:val="000000"/>
          <w:sz w:val="21"/>
          <w:szCs w:val="21"/>
        </w:rPr>
      </w:pPr>
    </w:p>
    <w:p w14:paraId="031B07FA" w14:textId="77777777" w:rsidR="007960A8" w:rsidRDefault="00A26397">
      <w:pPr>
        <w:numPr>
          <w:ilvl w:val="0"/>
          <w:numId w:val="50"/>
        </w:numPr>
        <w:pBdr>
          <w:top w:val="nil"/>
          <w:left w:val="nil"/>
          <w:bottom w:val="nil"/>
          <w:right w:val="nil"/>
          <w:between w:val="nil"/>
        </w:pBdr>
        <w:tabs>
          <w:tab w:val="left" w:pos="941"/>
        </w:tabs>
        <w:spacing w:line="237" w:lineRule="auto"/>
        <w:ind w:right="215"/>
        <w:jc w:val="both"/>
        <w:rPr>
          <w:color w:val="000000"/>
        </w:rPr>
      </w:pPr>
      <w:r>
        <w:rPr>
          <w:color w:val="000000"/>
        </w:rPr>
        <w:t>such informatio</w:t>
      </w:r>
      <w:r>
        <w:rPr>
          <w:color w:val="000000"/>
        </w:rPr>
        <w:t>n was in the possession of the party making the disclosure without obligation of confidentiality prior to its disclosure by the information owner,</w:t>
      </w:r>
    </w:p>
    <w:p w14:paraId="3F0DA530" w14:textId="77777777" w:rsidR="007960A8" w:rsidRDefault="007960A8">
      <w:pPr>
        <w:pBdr>
          <w:top w:val="nil"/>
          <w:left w:val="nil"/>
          <w:bottom w:val="nil"/>
          <w:right w:val="nil"/>
          <w:between w:val="nil"/>
        </w:pBdr>
        <w:spacing w:before="11"/>
        <w:rPr>
          <w:color w:val="000000"/>
          <w:sz w:val="20"/>
          <w:szCs w:val="20"/>
        </w:rPr>
      </w:pPr>
    </w:p>
    <w:p w14:paraId="0986F218" w14:textId="77777777" w:rsidR="007960A8" w:rsidRDefault="00A26397">
      <w:pPr>
        <w:numPr>
          <w:ilvl w:val="0"/>
          <w:numId w:val="50"/>
        </w:numPr>
        <w:pBdr>
          <w:top w:val="nil"/>
          <w:left w:val="nil"/>
          <w:bottom w:val="nil"/>
          <w:right w:val="nil"/>
          <w:between w:val="nil"/>
        </w:pBdr>
        <w:tabs>
          <w:tab w:val="left" w:pos="941"/>
        </w:tabs>
        <w:ind w:hanging="721"/>
        <w:rPr>
          <w:color w:val="000000"/>
        </w:rPr>
      </w:pPr>
      <w:r>
        <w:rPr>
          <w:color w:val="000000"/>
        </w:rPr>
        <w:t>such information was obtained from a third party without obligation of confidentiality,</w:t>
      </w:r>
    </w:p>
    <w:p w14:paraId="19022A0F" w14:textId="77777777" w:rsidR="007960A8" w:rsidRDefault="007960A8">
      <w:pPr>
        <w:pBdr>
          <w:top w:val="nil"/>
          <w:left w:val="nil"/>
          <w:bottom w:val="nil"/>
          <w:right w:val="nil"/>
          <w:between w:val="nil"/>
        </w:pBdr>
        <w:spacing w:before="9"/>
        <w:rPr>
          <w:color w:val="000000"/>
          <w:sz w:val="20"/>
          <w:szCs w:val="20"/>
        </w:rPr>
      </w:pPr>
    </w:p>
    <w:p w14:paraId="031442CA" w14:textId="77777777" w:rsidR="007960A8" w:rsidRDefault="00A26397">
      <w:pPr>
        <w:numPr>
          <w:ilvl w:val="0"/>
          <w:numId w:val="50"/>
        </w:numPr>
        <w:pBdr>
          <w:top w:val="nil"/>
          <w:left w:val="nil"/>
          <w:bottom w:val="nil"/>
          <w:right w:val="nil"/>
          <w:between w:val="nil"/>
        </w:pBdr>
        <w:tabs>
          <w:tab w:val="left" w:pos="941"/>
        </w:tabs>
        <w:spacing w:line="237" w:lineRule="auto"/>
        <w:ind w:right="218"/>
        <w:jc w:val="both"/>
        <w:rPr>
          <w:color w:val="000000"/>
        </w:rPr>
      </w:pPr>
      <w:r>
        <w:rPr>
          <w:color w:val="000000"/>
        </w:rPr>
        <w:t>such information was already in the public domain at the time of disclosure otherwise than by a breach of this contract or</w:t>
      </w:r>
    </w:p>
    <w:p w14:paraId="3B5301D8" w14:textId="77777777" w:rsidR="007960A8" w:rsidRDefault="007960A8">
      <w:pPr>
        <w:pBdr>
          <w:top w:val="nil"/>
          <w:left w:val="nil"/>
          <w:bottom w:val="nil"/>
          <w:right w:val="nil"/>
          <w:between w:val="nil"/>
        </w:pBdr>
        <w:spacing w:before="3"/>
        <w:rPr>
          <w:color w:val="000000"/>
          <w:sz w:val="21"/>
          <w:szCs w:val="21"/>
        </w:rPr>
      </w:pPr>
    </w:p>
    <w:p w14:paraId="7A7A99BA" w14:textId="77777777" w:rsidR="007960A8" w:rsidRDefault="00A26397">
      <w:pPr>
        <w:numPr>
          <w:ilvl w:val="0"/>
          <w:numId w:val="50"/>
        </w:numPr>
        <w:pBdr>
          <w:top w:val="nil"/>
          <w:left w:val="nil"/>
          <w:bottom w:val="nil"/>
          <w:right w:val="nil"/>
          <w:between w:val="nil"/>
        </w:pBdr>
        <w:tabs>
          <w:tab w:val="left" w:pos="941"/>
        </w:tabs>
        <w:spacing w:line="237" w:lineRule="auto"/>
        <w:ind w:right="219"/>
        <w:jc w:val="both"/>
        <w:rPr>
          <w:color w:val="000000"/>
        </w:rPr>
      </w:pPr>
      <w:r>
        <w:rPr>
          <w:color w:val="000000"/>
        </w:rPr>
        <w:t>it is independently developed without access to the other party's Confidential Information.</w:t>
      </w:r>
    </w:p>
    <w:p w14:paraId="4C6878BE" w14:textId="77777777" w:rsidR="007960A8" w:rsidRDefault="007960A8">
      <w:pPr>
        <w:pBdr>
          <w:top w:val="nil"/>
          <w:left w:val="nil"/>
          <w:bottom w:val="nil"/>
          <w:right w:val="nil"/>
          <w:between w:val="nil"/>
        </w:pBdr>
        <w:spacing w:before="2"/>
        <w:rPr>
          <w:color w:val="000000"/>
          <w:sz w:val="21"/>
          <w:szCs w:val="21"/>
        </w:rPr>
      </w:pPr>
    </w:p>
    <w:p w14:paraId="5EECFABF" w14:textId="77777777" w:rsidR="007960A8" w:rsidRDefault="00A26397">
      <w:pPr>
        <w:pBdr>
          <w:top w:val="nil"/>
          <w:left w:val="nil"/>
          <w:bottom w:val="nil"/>
          <w:right w:val="nil"/>
          <w:between w:val="nil"/>
        </w:pBdr>
        <w:tabs>
          <w:tab w:val="left" w:pos="833"/>
        </w:tabs>
        <w:spacing w:line="259" w:lineRule="auto"/>
        <w:ind w:left="220" w:right="302"/>
        <w:rPr>
          <w:color w:val="000000"/>
        </w:rPr>
      </w:pPr>
      <w:r>
        <w:rPr>
          <w:color w:val="000000"/>
        </w:rPr>
        <w:t xml:space="preserve">27A.9 The </w:t>
      </w:r>
      <w:r>
        <w:rPr>
          <w:i/>
          <w:iCs/>
          <w:color w:val="000000"/>
        </w:rPr>
        <w:t xml:space="preserve">Service Provider </w:t>
      </w:r>
      <w:r>
        <w:rPr>
          <w:color w:val="000000"/>
        </w:rPr>
        <w:t xml:space="preserve">may only disclose the Client Confidential Information to the people who are directly involved in providing the </w:t>
      </w:r>
      <w:r>
        <w:rPr>
          <w:i/>
          <w:iCs/>
          <w:color w:val="000000"/>
        </w:rPr>
        <w:t>service</w:t>
      </w:r>
      <w:r>
        <w:rPr>
          <w:color w:val="000000"/>
        </w:rPr>
        <w:t xml:space="preserve"> and who need to k</w:t>
      </w:r>
      <w:r>
        <w:rPr>
          <w:color w:val="000000"/>
        </w:rPr>
        <w:t xml:space="preserve">now the information, and shall ensure that such people are aware of and shall comply with these obligations as to confidentiality. The </w:t>
      </w:r>
      <w:r>
        <w:rPr>
          <w:i/>
          <w:iCs/>
          <w:color w:val="000000"/>
        </w:rPr>
        <w:t xml:space="preserve">Service Provider </w:t>
      </w:r>
      <w:r>
        <w:rPr>
          <w:color w:val="000000"/>
        </w:rPr>
        <w:t xml:space="preserve">shall not, and shall procure that the </w:t>
      </w:r>
      <w:r>
        <w:rPr>
          <w:i/>
          <w:iCs/>
          <w:color w:val="000000"/>
        </w:rPr>
        <w:t xml:space="preserve">Service Provider’s </w:t>
      </w:r>
      <w:r>
        <w:rPr>
          <w:color w:val="000000"/>
        </w:rPr>
        <w:t>people do not, use any of the Client Confidenti</w:t>
      </w:r>
      <w:r>
        <w:rPr>
          <w:color w:val="000000"/>
        </w:rPr>
        <w:t>al Information received otherwise than for the purposes of this contract.</w:t>
      </w:r>
    </w:p>
    <w:p w14:paraId="445C568A" w14:textId="77777777" w:rsidR="007960A8" w:rsidRDefault="007960A8">
      <w:pPr>
        <w:pBdr>
          <w:top w:val="nil"/>
          <w:left w:val="nil"/>
          <w:bottom w:val="nil"/>
          <w:right w:val="nil"/>
          <w:between w:val="nil"/>
        </w:pBdr>
        <w:spacing w:before="10"/>
        <w:rPr>
          <w:color w:val="000000"/>
          <w:sz w:val="20"/>
          <w:szCs w:val="20"/>
        </w:rPr>
      </w:pPr>
    </w:p>
    <w:p w14:paraId="2570CE37" w14:textId="77777777" w:rsidR="007960A8" w:rsidRDefault="00A26397">
      <w:pPr>
        <w:pBdr>
          <w:top w:val="nil"/>
          <w:left w:val="nil"/>
          <w:bottom w:val="nil"/>
          <w:right w:val="nil"/>
          <w:between w:val="nil"/>
        </w:pBdr>
        <w:tabs>
          <w:tab w:val="left" w:pos="833"/>
        </w:tabs>
        <w:spacing w:line="259" w:lineRule="auto"/>
        <w:ind w:left="220" w:right="293"/>
        <w:rPr>
          <w:color w:val="000000"/>
        </w:rPr>
      </w:pPr>
      <w:r>
        <w:rPr>
          <w:color w:val="000000"/>
        </w:rPr>
        <w:t xml:space="preserve">27A.10 The </w:t>
      </w:r>
      <w:r>
        <w:rPr>
          <w:i/>
          <w:iCs/>
          <w:color w:val="000000"/>
        </w:rPr>
        <w:t xml:space="preserve">Service Provider </w:t>
      </w:r>
      <w:r>
        <w:rPr>
          <w:color w:val="000000"/>
        </w:rPr>
        <w:t xml:space="preserve">may only disclose the Client Confidential Information to </w:t>
      </w:r>
      <w:r>
        <w:rPr>
          <w:i/>
          <w:iCs/>
          <w:color w:val="000000"/>
        </w:rPr>
        <w:t xml:space="preserve">Service Provider’s </w:t>
      </w:r>
      <w:r>
        <w:rPr>
          <w:color w:val="000000"/>
        </w:rPr>
        <w:t xml:space="preserve">people who need to know the information, and shall ensure that such people are aware of, acknowledge the importance of, and comply with these obligations as to confidentiality. In the event that any default, act or omission of any </w:t>
      </w:r>
      <w:r>
        <w:rPr>
          <w:i/>
          <w:iCs/>
          <w:color w:val="000000"/>
        </w:rPr>
        <w:t xml:space="preserve">Service Provider’s </w:t>
      </w:r>
      <w:r>
        <w:rPr>
          <w:color w:val="000000"/>
        </w:rPr>
        <w:t>people</w:t>
      </w:r>
      <w:r>
        <w:rPr>
          <w:color w:val="000000"/>
        </w:rPr>
        <w:t xml:space="preserve"> causes or contributes (or could cause or contribute) to the </w:t>
      </w:r>
      <w:r>
        <w:rPr>
          <w:i/>
          <w:iCs/>
          <w:color w:val="000000"/>
        </w:rPr>
        <w:t xml:space="preserve">Service Provider </w:t>
      </w:r>
      <w:r>
        <w:rPr>
          <w:color w:val="000000"/>
        </w:rPr>
        <w:t xml:space="preserve">breaching its obligations as to confidentiality under or in connection with this contract, the </w:t>
      </w:r>
      <w:r>
        <w:rPr>
          <w:i/>
          <w:iCs/>
          <w:color w:val="000000"/>
        </w:rPr>
        <w:t xml:space="preserve">Service Provider </w:t>
      </w:r>
      <w:r>
        <w:rPr>
          <w:color w:val="000000"/>
        </w:rPr>
        <w:t>shall take such action as may be appropriate in the circumstances,</w:t>
      </w:r>
      <w:r>
        <w:rPr>
          <w:color w:val="000000"/>
        </w:rPr>
        <w:t xml:space="preserve"> including the use of disciplinary procedures in serious cases. To the fullest extent permitted by its own obligations of confidentiality to any </w:t>
      </w:r>
      <w:r>
        <w:rPr>
          <w:i/>
          <w:iCs/>
          <w:color w:val="000000"/>
        </w:rPr>
        <w:t xml:space="preserve">Service Provider’s </w:t>
      </w:r>
      <w:r>
        <w:rPr>
          <w:color w:val="000000"/>
        </w:rPr>
        <w:t xml:space="preserve">people , the </w:t>
      </w:r>
      <w:r>
        <w:rPr>
          <w:i/>
          <w:iCs/>
          <w:color w:val="000000"/>
        </w:rPr>
        <w:t xml:space="preserve">Service Provider </w:t>
      </w:r>
      <w:r>
        <w:rPr>
          <w:color w:val="000000"/>
        </w:rPr>
        <w:t xml:space="preserve">shall provide such evidence to the </w:t>
      </w:r>
      <w:r>
        <w:rPr>
          <w:i/>
          <w:iCs/>
          <w:color w:val="000000"/>
        </w:rPr>
        <w:t xml:space="preserve">Client </w:t>
      </w:r>
      <w:r>
        <w:rPr>
          <w:color w:val="000000"/>
        </w:rPr>
        <w:t xml:space="preserve">as the </w:t>
      </w:r>
      <w:r>
        <w:rPr>
          <w:i/>
          <w:iCs/>
          <w:color w:val="000000"/>
        </w:rPr>
        <w:t xml:space="preserve">Client </w:t>
      </w:r>
      <w:r>
        <w:rPr>
          <w:color w:val="000000"/>
        </w:rPr>
        <w:t>may re</w:t>
      </w:r>
      <w:r>
        <w:rPr>
          <w:color w:val="000000"/>
        </w:rPr>
        <w:t xml:space="preserve">asonably require (though not so as to risk compromising or prejudicing the case) to demonstrate that the </w:t>
      </w:r>
      <w:r>
        <w:rPr>
          <w:i/>
          <w:iCs/>
          <w:color w:val="000000"/>
        </w:rPr>
        <w:t xml:space="preserve">Service Provider </w:t>
      </w:r>
      <w:r>
        <w:rPr>
          <w:color w:val="000000"/>
        </w:rPr>
        <w:t xml:space="preserve">is taking appropriate steps to comply with this clause, including copies of any written communications to and/or from </w:t>
      </w:r>
      <w:r>
        <w:rPr>
          <w:i/>
          <w:iCs/>
          <w:color w:val="000000"/>
        </w:rPr>
        <w:t>Service Provider</w:t>
      </w:r>
      <w:r>
        <w:rPr>
          <w:i/>
          <w:iCs/>
          <w:color w:val="000000"/>
        </w:rPr>
        <w:t xml:space="preserve">’s </w:t>
      </w:r>
      <w:r>
        <w:rPr>
          <w:color w:val="000000"/>
        </w:rPr>
        <w:t xml:space="preserve">people, and any minutes of meetings and any other records which provide an audit trail of any discussions or exchanges with </w:t>
      </w:r>
      <w:r>
        <w:rPr>
          <w:i/>
          <w:iCs/>
          <w:color w:val="000000"/>
        </w:rPr>
        <w:t xml:space="preserve">Service Provider’s </w:t>
      </w:r>
      <w:r>
        <w:rPr>
          <w:color w:val="000000"/>
        </w:rPr>
        <w:t>people in connection with obligations as to confidentiality.</w:t>
      </w:r>
    </w:p>
    <w:p w14:paraId="73A3E4E6" w14:textId="77777777" w:rsidR="007960A8" w:rsidRDefault="007960A8">
      <w:pPr>
        <w:pBdr>
          <w:top w:val="nil"/>
          <w:left w:val="nil"/>
          <w:bottom w:val="nil"/>
          <w:right w:val="nil"/>
          <w:between w:val="nil"/>
        </w:pBdr>
        <w:spacing w:before="7"/>
        <w:rPr>
          <w:color w:val="000000"/>
          <w:sz w:val="20"/>
          <w:szCs w:val="20"/>
        </w:rPr>
      </w:pPr>
    </w:p>
    <w:p w14:paraId="71915259" w14:textId="77777777" w:rsidR="007960A8" w:rsidRDefault="00A26397">
      <w:pPr>
        <w:pBdr>
          <w:top w:val="nil"/>
          <w:left w:val="nil"/>
          <w:bottom w:val="nil"/>
          <w:right w:val="nil"/>
          <w:between w:val="nil"/>
        </w:pBdr>
        <w:tabs>
          <w:tab w:val="left" w:pos="835"/>
        </w:tabs>
        <w:spacing w:line="259" w:lineRule="auto"/>
        <w:ind w:left="220" w:right="231"/>
        <w:rPr>
          <w:color w:val="000000"/>
        </w:rPr>
      </w:pPr>
      <w:r>
        <w:rPr>
          <w:color w:val="000000"/>
        </w:rPr>
        <w:t xml:space="preserve">27A.11 At the written request of the </w:t>
      </w:r>
      <w:r>
        <w:rPr>
          <w:i/>
          <w:iCs/>
          <w:color w:val="000000"/>
        </w:rPr>
        <w:t>Client</w:t>
      </w:r>
      <w:r>
        <w:rPr>
          <w:color w:val="000000"/>
        </w:rPr>
        <w:t>, the</w:t>
      </w:r>
      <w:r>
        <w:rPr>
          <w:color w:val="000000"/>
        </w:rPr>
        <w:t xml:space="preserve"> </w:t>
      </w:r>
      <w:r>
        <w:rPr>
          <w:i/>
          <w:iCs/>
          <w:color w:val="000000"/>
        </w:rPr>
        <w:t xml:space="preserve">Service Provider </w:t>
      </w:r>
      <w:r>
        <w:rPr>
          <w:color w:val="000000"/>
        </w:rPr>
        <w:t xml:space="preserve">shall procure that those members of the </w:t>
      </w:r>
      <w:r>
        <w:rPr>
          <w:i/>
          <w:iCs/>
          <w:color w:val="000000"/>
        </w:rPr>
        <w:t xml:space="preserve">Service Provider’s </w:t>
      </w:r>
      <w:r>
        <w:rPr>
          <w:color w:val="000000"/>
        </w:rPr>
        <w:t xml:space="preserve">people identified in the </w:t>
      </w:r>
      <w:r>
        <w:rPr>
          <w:i/>
          <w:iCs/>
          <w:color w:val="000000"/>
        </w:rPr>
        <w:t>Client</w:t>
      </w:r>
      <w:r>
        <w:rPr>
          <w:color w:val="000000"/>
        </w:rPr>
        <w:t>'s request signs a confidentiality undertaking prior to commencing any work in accordance with this contract.</w:t>
      </w:r>
    </w:p>
    <w:p w14:paraId="6F1117D7" w14:textId="77777777" w:rsidR="007960A8" w:rsidRDefault="007960A8">
      <w:pPr>
        <w:pBdr>
          <w:top w:val="nil"/>
          <w:left w:val="nil"/>
          <w:bottom w:val="nil"/>
          <w:right w:val="nil"/>
          <w:between w:val="nil"/>
        </w:pBdr>
        <w:spacing w:before="8"/>
        <w:rPr>
          <w:color w:val="000000"/>
          <w:sz w:val="20"/>
          <w:szCs w:val="20"/>
        </w:rPr>
      </w:pPr>
    </w:p>
    <w:p w14:paraId="7DCC8884" w14:textId="77777777" w:rsidR="007960A8" w:rsidRDefault="00A26397">
      <w:pPr>
        <w:pBdr>
          <w:top w:val="nil"/>
          <w:left w:val="nil"/>
          <w:bottom w:val="nil"/>
          <w:right w:val="nil"/>
          <w:between w:val="nil"/>
        </w:pBdr>
        <w:tabs>
          <w:tab w:val="left" w:pos="835"/>
        </w:tabs>
        <w:spacing w:before="1" w:line="259" w:lineRule="auto"/>
        <w:ind w:left="220" w:right="256"/>
        <w:rPr>
          <w:color w:val="000000"/>
        </w:rPr>
      </w:pPr>
      <w:r>
        <w:rPr>
          <w:color w:val="000000"/>
        </w:rPr>
        <w:t xml:space="preserve">27A.12 Nothing in this contract shall prevent the </w:t>
      </w:r>
      <w:r>
        <w:rPr>
          <w:i/>
          <w:iCs/>
          <w:color w:val="000000"/>
        </w:rPr>
        <w:t xml:space="preserve">Client </w:t>
      </w:r>
      <w:r>
        <w:rPr>
          <w:color w:val="000000"/>
        </w:rPr>
        <w:t>from disclosing the Service Provider's Confidential Information</w:t>
      </w:r>
    </w:p>
    <w:p w14:paraId="2A9E2212" w14:textId="77777777" w:rsidR="007960A8" w:rsidRDefault="007960A8">
      <w:pPr>
        <w:pBdr>
          <w:top w:val="nil"/>
          <w:left w:val="nil"/>
          <w:bottom w:val="nil"/>
          <w:right w:val="nil"/>
          <w:between w:val="nil"/>
        </w:pBdr>
        <w:spacing w:before="8"/>
        <w:rPr>
          <w:color w:val="000000"/>
          <w:sz w:val="20"/>
          <w:szCs w:val="20"/>
        </w:rPr>
      </w:pPr>
    </w:p>
    <w:p w14:paraId="0F8DD898" w14:textId="77777777" w:rsidR="007960A8" w:rsidRDefault="00A26397">
      <w:pPr>
        <w:numPr>
          <w:ilvl w:val="0"/>
          <w:numId w:val="50"/>
        </w:numPr>
        <w:pBdr>
          <w:top w:val="nil"/>
          <w:left w:val="nil"/>
          <w:bottom w:val="nil"/>
          <w:right w:val="nil"/>
          <w:between w:val="nil"/>
        </w:pBdr>
        <w:tabs>
          <w:tab w:val="left" w:pos="941"/>
        </w:tabs>
        <w:ind w:right="216"/>
        <w:jc w:val="both"/>
        <w:rPr>
          <w:color w:val="000000"/>
        </w:rPr>
      </w:pPr>
      <w:r>
        <w:rPr>
          <w:color w:val="000000"/>
        </w:rPr>
        <w:t>to any Crown Body or any other Contracting Bodies. All Crown Bodies or Contracting Bodies receiving such Confidential Information shal</w:t>
      </w:r>
      <w:r>
        <w:rPr>
          <w:color w:val="000000"/>
        </w:rPr>
        <w:t>l be entitled to further disclose the Service Provider’s Confidential Information to other Crown Bodies or other Contracting Bodies on the basis that the information is confidential and is not to be disclosed to a third party which is not part of any Crown</w:t>
      </w:r>
      <w:r>
        <w:rPr>
          <w:color w:val="000000"/>
        </w:rPr>
        <w:t xml:space="preserve"> Body or any Contracting Body,</w:t>
      </w:r>
    </w:p>
    <w:p w14:paraId="4FBB00B5" w14:textId="77777777" w:rsidR="007960A8" w:rsidRDefault="007960A8">
      <w:pPr>
        <w:pBdr>
          <w:top w:val="nil"/>
          <w:left w:val="nil"/>
          <w:bottom w:val="nil"/>
          <w:right w:val="nil"/>
          <w:between w:val="nil"/>
        </w:pBdr>
        <w:spacing w:before="10"/>
        <w:rPr>
          <w:color w:val="000000"/>
          <w:sz w:val="20"/>
          <w:szCs w:val="20"/>
        </w:rPr>
      </w:pPr>
    </w:p>
    <w:p w14:paraId="5416F027" w14:textId="77777777" w:rsidR="007960A8" w:rsidRDefault="00A26397">
      <w:pPr>
        <w:numPr>
          <w:ilvl w:val="0"/>
          <w:numId w:val="50"/>
        </w:numPr>
        <w:pBdr>
          <w:top w:val="nil"/>
          <w:left w:val="nil"/>
          <w:bottom w:val="nil"/>
          <w:right w:val="nil"/>
          <w:between w:val="nil"/>
        </w:pBdr>
        <w:tabs>
          <w:tab w:val="left" w:pos="941"/>
        </w:tabs>
        <w:ind w:right="214"/>
        <w:jc w:val="both"/>
        <w:rPr>
          <w:color w:val="000000"/>
        </w:rPr>
      </w:pPr>
      <w:r>
        <w:rPr>
          <w:color w:val="000000"/>
        </w:rPr>
        <w:t xml:space="preserve">to a professional adviser, contractor, consultant, Subcontractor, supplier or other person engaged by the </w:t>
      </w:r>
      <w:r>
        <w:rPr>
          <w:i/>
          <w:iCs/>
          <w:color w:val="000000"/>
        </w:rPr>
        <w:t xml:space="preserve">Client </w:t>
      </w:r>
      <w:r>
        <w:rPr>
          <w:color w:val="000000"/>
        </w:rPr>
        <w:t>or any Crown Body (including any benchmarking organisation) for any purpose connected with this contract, or any person conducting an Office of Government Commerce Gateway Review,</w:t>
      </w:r>
    </w:p>
    <w:p w14:paraId="0F07DE30" w14:textId="77777777" w:rsidR="007960A8" w:rsidRDefault="007960A8">
      <w:pPr>
        <w:pBdr>
          <w:top w:val="nil"/>
          <w:left w:val="nil"/>
          <w:bottom w:val="nil"/>
          <w:right w:val="nil"/>
          <w:between w:val="nil"/>
        </w:pBdr>
        <w:spacing w:before="9"/>
        <w:rPr>
          <w:color w:val="000000"/>
          <w:sz w:val="20"/>
          <w:szCs w:val="20"/>
        </w:rPr>
      </w:pPr>
    </w:p>
    <w:p w14:paraId="3BE39EFF" w14:textId="77777777" w:rsidR="007960A8" w:rsidRDefault="00A26397">
      <w:pPr>
        <w:numPr>
          <w:ilvl w:val="0"/>
          <w:numId w:val="50"/>
        </w:numPr>
        <w:pBdr>
          <w:top w:val="nil"/>
          <w:left w:val="nil"/>
          <w:bottom w:val="nil"/>
          <w:right w:val="nil"/>
          <w:between w:val="nil"/>
        </w:pBdr>
        <w:tabs>
          <w:tab w:val="left" w:pos="941"/>
        </w:tabs>
        <w:ind w:hanging="721"/>
        <w:rPr>
          <w:color w:val="000000"/>
        </w:rPr>
      </w:pPr>
      <w:r>
        <w:rPr>
          <w:color w:val="000000"/>
        </w:rPr>
        <w:t xml:space="preserve">for the purpose of the examination and certification of the </w:t>
      </w:r>
      <w:r>
        <w:rPr>
          <w:i/>
          <w:iCs/>
          <w:color w:val="000000"/>
        </w:rPr>
        <w:t>Client</w:t>
      </w:r>
      <w:r>
        <w:rPr>
          <w:color w:val="000000"/>
        </w:rPr>
        <w:t>'s accoun</w:t>
      </w:r>
      <w:r>
        <w:rPr>
          <w:color w:val="000000"/>
        </w:rPr>
        <w:t>ts,</w:t>
      </w:r>
    </w:p>
    <w:p w14:paraId="26576206" w14:textId="77777777" w:rsidR="007960A8" w:rsidRDefault="007960A8">
      <w:pPr>
        <w:pBdr>
          <w:top w:val="nil"/>
          <w:left w:val="nil"/>
          <w:bottom w:val="nil"/>
          <w:right w:val="nil"/>
          <w:between w:val="nil"/>
        </w:pBdr>
        <w:spacing w:before="9"/>
        <w:rPr>
          <w:color w:val="000000"/>
          <w:sz w:val="20"/>
          <w:szCs w:val="20"/>
        </w:rPr>
      </w:pPr>
    </w:p>
    <w:p w14:paraId="01583B4D" w14:textId="77777777" w:rsidR="007960A8" w:rsidRDefault="00A26397">
      <w:pPr>
        <w:numPr>
          <w:ilvl w:val="0"/>
          <w:numId w:val="50"/>
        </w:numPr>
        <w:pBdr>
          <w:top w:val="nil"/>
          <w:left w:val="nil"/>
          <w:bottom w:val="nil"/>
          <w:right w:val="nil"/>
          <w:between w:val="nil"/>
        </w:pBdr>
        <w:tabs>
          <w:tab w:val="left" w:pos="941"/>
        </w:tabs>
        <w:spacing w:line="237" w:lineRule="auto"/>
        <w:ind w:right="219"/>
        <w:jc w:val="both"/>
        <w:rPr>
          <w:color w:val="000000"/>
        </w:rPr>
      </w:pPr>
      <w:r>
        <w:rPr>
          <w:color w:val="000000"/>
        </w:rPr>
        <w:t xml:space="preserve">for any examination pursuant to Section 6(1) of the National Audit Act 1983 of the economy, efficiency and effectiveness with which the </w:t>
      </w:r>
      <w:r>
        <w:rPr>
          <w:i/>
          <w:iCs/>
          <w:color w:val="000000"/>
        </w:rPr>
        <w:t xml:space="preserve">Client </w:t>
      </w:r>
      <w:r>
        <w:rPr>
          <w:color w:val="000000"/>
        </w:rPr>
        <w:t>has used its resources,</w:t>
      </w:r>
    </w:p>
    <w:p w14:paraId="30E7B883" w14:textId="77777777" w:rsidR="007960A8" w:rsidRDefault="007960A8">
      <w:pPr>
        <w:pBdr>
          <w:top w:val="nil"/>
          <w:left w:val="nil"/>
          <w:bottom w:val="nil"/>
          <w:right w:val="nil"/>
          <w:between w:val="nil"/>
        </w:pBdr>
        <w:rPr>
          <w:color w:val="000000"/>
          <w:sz w:val="21"/>
          <w:szCs w:val="21"/>
        </w:rPr>
      </w:pPr>
    </w:p>
    <w:p w14:paraId="449E54A1" w14:textId="77777777" w:rsidR="007960A8" w:rsidRDefault="00A26397">
      <w:pPr>
        <w:numPr>
          <w:ilvl w:val="0"/>
          <w:numId w:val="50"/>
        </w:numPr>
        <w:pBdr>
          <w:top w:val="nil"/>
          <w:left w:val="nil"/>
          <w:bottom w:val="nil"/>
          <w:right w:val="nil"/>
          <w:between w:val="nil"/>
        </w:pBdr>
        <w:tabs>
          <w:tab w:val="left" w:pos="941"/>
        </w:tabs>
        <w:ind w:hanging="721"/>
        <w:rPr>
          <w:color w:val="000000"/>
        </w:rPr>
      </w:pPr>
      <w:r>
        <w:rPr>
          <w:color w:val="000000"/>
        </w:rPr>
        <w:t>for the purpose of the exercise of its rights under this contract or</w:t>
      </w:r>
    </w:p>
    <w:p w14:paraId="09217E12" w14:textId="77777777" w:rsidR="007960A8" w:rsidRDefault="007960A8">
      <w:pPr>
        <w:pBdr>
          <w:top w:val="nil"/>
          <w:left w:val="nil"/>
          <w:bottom w:val="nil"/>
          <w:right w:val="nil"/>
          <w:between w:val="nil"/>
        </w:pBdr>
        <w:rPr>
          <w:color w:val="000000"/>
          <w:sz w:val="21"/>
          <w:szCs w:val="21"/>
        </w:rPr>
      </w:pPr>
    </w:p>
    <w:p w14:paraId="64EE1E9A" w14:textId="77777777" w:rsidR="007960A8" w:rsidRDefault="00A26397">
      <w:pPr>
        <w:numPr>
          <w:ilvl w:val="0"/>
          <w:numId w:val="50"/>
        </w:numPr>
        <w:pBdr>
          <w:top w:val="nil"/>
          <w:left w:val="nil"/>
          <w:bottom w:val="nil"/>
          <w:right w:val="nil"/>
          <w:between w:val="nil"/>
        </w:pBdr>
        <w:tabs>
          <w:tab w:val="left" w:pos="941"/>
        </w:tabs>
        <w:spacing w:line="237" w:lineRule="auto"/>
        <w:ind w:right="218"/>
        <w:jc w:val="both"/>
        <w:rPr>
          <w:color w:val="000000"/>
        </w:rPr>
      </w:pPr>
      <w:r>
        <w:rPr>
          <w:color w:val="000000"/>
        </w:rPr>
        <w:t xml:space="preserve">to a proposed successor body of the </w:t>
      </w:r>
      <w:r>
        <w:rPr>
          <w:i/>
          <w:iCs/>
          <w:color w:val="000000"/>
        </w:rPr>
        <w:t xml:space="preserve">Client </w:t>
      </w:r>
      <w:r>
        <w:rPr>
          <w:color w:val="000000"/>
        </w:rPr>
        <w:t>in connection with any assignment, novation or disposal of any of its rights, obligations or liabilities under this contract,</w:t>
      </w:r>
    </w:p>
    <w:p w14:paraId="1E18DE47" w14:textId="77777777" w:rsidR="007960A8" w:rsidRDefault="007960A8">
      <w:pPr>
        <w:pBdr>
          <w:top w:val="nil"/>
          <w:left w:val="nil"/>
          <w:bottom w:val="nil"/>
          <w:right w:val="nil"/>
          <w:between w:val="nil"/>
        </w:pBdr>
        <w:spacing w:before="1"/>
        <w:rPr>
          <w:color w:val="000000"/>
          <w:sz w:val="21"/>
          <w:szCs w:val="21"/>
        </w:rPr>
      </w:pPr>
    </w:p>
    <w:p w14:paraId="3B140596" w14:textId="77777777" w:rsidR="007960A8" w:rsidRDefault="00A26397">
      <w:pPr>
        <w:pBdr>
          <w:top w:val="nil"/>
          <w:left w:val="nil"/>
          <w:bottom w:val="nil"/>
          <w:right w:val="nil"/>
          <w:between w:val="nil"/>
        </w:pBdr>
        <w:spacing w:line="259" w:lineRule="auto"/>
        <w:ind w:left="220" w:right="265"/>
        <w:rPr>
          <w:color w:val="000000"/>
        </w:rPr>
      </w:pPr>
      <w:r>
        <w:rPr>
          <w:color w:val="000000"/>
        </w:rPr>
        <w:t>and for the purposes of the foregoing, disclosure of the Service Provider’s Confidenti</w:t>
      </w:r>
      <w:r>
        <w:rPr>
          <w:color w:val="000000"/>
        </w:rPr>
        <w:t xml:space="preserve">al Information shall be on a confidential basis and subject to a confidentiality agreement or arrangement containing terms no less stringent than those placed on the </w:t>
      </w:r>
      <w:r>
        <w:rPr>
          <w:i/>
          <w:iCs/>
          <w:color w:val="000000"/>
        </w:rPr>
        <w:t xml:space="preserve">Client </w:t>
      </w:r>
      <w:r>
        <w:rPr>
          <w:color w:val="000000"/>
        </w:rPr>
        <w:t>under this clause 26.13.</w:t>
      </w:r>
    </w:p>
    <w:p w14:paraId="0A272363" w14:textId="77777777" w:rsidR="007960A8" w:rsidRDefault="00A26397">
      <w:pPr>
        <w:pBdr>
          <w:top w:val="nil"/>
          <w:left w:val="nil"/>
          <w:bottom w:val="nil"/>
          <w:right w:val="nil"/>
          <w:between w:val="nil"/>
        </w:pBdr>
        <w:spacing w:line="259" w:lineRule="auto"/>
        <w:ind w:left="220" w:right="265"/>
        <w:rPr>
          <w:color w:val="000000"/>
        </w:rPr>
      </w:pPr>
      <w:r>
        <w:rPr>
          <w:color w:val="000000"/>
        </w:rPr>
        <w:t xml:space="preserve"> </w:t>
      </w:r>
    </w:p>
    <w:p w14:paraId="1A8542EA" w14:textId="77777777" w:rsidR="007960A8" w:rsidRDefault="00A26397">
      <w:pPr>
        <w:pBdr>
          <w:top w:val="nil"/>
          <w:left w:val="nil"/>
          <w:bottom w:val="nil"/>
          <w:right w:val="nil"/>
          <w:between w:val="nil"/>
        </w:pBdr>
        <w:spacing w:line="259" w:lineRule="auto"/>
        <w:ind w:left="220" w:right="265"/>
        <w:rPr>
          <w:color w:val="000000"/>
        </w:rPr>
      </w:pPr>
      <w:r>
        <w:rPr>
          <w:color w:val="000000"/>
        </w:rPr>
        <w:t xml:space="preserve">27A.13 The </w:t>
      </w:r>
      <w:r>
        <w:rPr>
          <w:i/>
          <w:iCs/>
          <w:color w:val="000000"/>
        </w:rPr>
        <w:t xml:space="preserve">Client </w:t>
      </w:r>
      <w:r>
        <w:rPr>
          <w:color w:val="000000"/>
        </w:rPr>
        <w:t>shall use all reasonable endeavours to</w:t>
      </w:r>
      <w:r>
        <w:rPr>
          <w:color w:val="000000"/>
        </w:rPr>
        <w:t xml:space="preserve"> ensure that any government department, Contracting Body, people, third party or subcontractor to whom the Service Provider's Confidential Information is disclosed pursuant to the above clause is made aware of the </w:t>
      </w:r>
      <w:r>
        <w:rPr>
          <w:i/>
          <w:iCs/>
          <w:color w:val="000000"/>
        </w:rPr>
        <w:t>Client</w:t>
      </w:r>
      <w:r>
        <w:rPr>
          <w:color w:val="000000"/>
        </w:rPr>
        <w:t>'s obligations of confidentiality.</w:t>
      </w:r>
    </w:p>
    <w:p w14:paraId="0564DC75" w14:textId="77777777" w:rsidR="007960A8" w:rsidRDefault="007960A8">
      <w:pPr>
        <w:pBdr>
          <w:top w:val="nil"/>
          <w:left w:val="nil"/>
          <w:bottom w:val="nil"/>
          <w:right w:val="nil"/>
          <w:between w:val="nil"/>
        </w:pBdr>
        <w:spacing w:line="259" w:lineRule="auto"/>
        <w:ind w:left="220" w:right="265"/>
        <w:rPr>
          <w:color w:val="000000"/>
        </w:rPr>
      </w:pPr>
    </w:p>
    <w:p w14:paraId="096A38FE" w14:textId="77777777" w:rsidR="007960A8" w:rsidRDefault="00A26397">
      <w:pPr>
        <w:pBdr>
          <w:top w:val="nil"/>
          <w:left w:val="nil"/>
          <w:bottom w:val="nil"/>
          <w:right w:val="nil"/>
          <w:between w:val="nil"/>
        </w:pBdr>
        <w:spacing w:line="259" w:lineRule="auto"/>
        <w:ind w:left="220" w:right="265"/>
        <w:rPr>
          <w:color w:val="000000"/>
        </w:rPr>
      </w:pPr>
      <w:r>
        <w:rPr>
          <w:color w:val="000000"/>
        </w:rPr>
        <w:t>27A.14 Nothing in this clause shall prevent either party from using any techniques, ideas or know-how gained during the performance of the contract in the course of its normal business to the extent that this use does not result in a disclosure of the othe</w:t>
      </w:r>
      <w:r>
        <w:rPr>
          <w:color w:val="000000"/>
        </w:rPr>
        <w:t>r party's Confidential Information or an infringement of IPR.</w:t>
      </w:r>
    </w:p>
    <w:p w14:paraId="4B191C80" w14:textId="77777777" w:rsidR="007960A8" w:rsidRDefault="007960A8">
      <w:pPr>
        <w:pBdr>
          <w:top w:val="nil"/>
          <w:left w:val="nil"/>
          <w:bottom w:val="nil"/>
          <w:right w:val="nil"/>
          <w:between w:val="nil"/>
        </w:pBdr>
        <w:spacing w:line="259" w:lineRule="auto"/>
        <w:ind w:left="220" w:right="265"/>
        <w:rPr>
          <w:color w:val="000000"/>
        </w:rPr>
      </w:pPr>
    </w:p>
    <w:p w14:paraId="1D672522" w14:textId="77777777" w:rsidR="007960A8" w:rsidRDefault="00A26397">
      <w:pPr>
        <w:pBdr>
          <w:top w:val="nil"/>
          <w:left w:val="nil"/>
          <w:bottom w:val="nil"/>
          <w:right w:val="nil"/>
          <w:between w:val="nil"/>
        </w:pBdr>
        <w:spacing w:line="259" w:lineRule="auto"/>
        <w:ind w:left="220" w:right="265"/>
        <w:rPr>
          <w:i/>
          <w:iCs/>
          <w:color w:val="000000"/>
        </w:rPr>
      </w:pPr>
      <w:r>
        <w:rPr>
          <w:color w:val="000000"/>
        </w:rPr>
        <w:t xml:space="preserve">27A.15 The </w:t>
      </w:r>
      <w:r>
        <w:rPr>
          <w:i/>
          <w:iCs/>
          <w:color w:val="000000"/>
        </w:rPr>
        <w:t xml:space="preserve">Client </w:t>
      </w:r>
      <w:r>
        <w:rPr>
          <w:color w:val="000000"/>
        </w:rPr>
        <w:t>may disclose the Service Provider’s Confidential Information</w:t>
      </w:r>
    </w:p>
    <w:p w14:paraId="19083988" w14:textId="77777777" w:rsidR="007960A8" w:rsidRDefault="007960A8">
      <w:pPr>
        <w:pBdr>
          <w:top w:val="nil"/>
          <w:left w:val="nil"/>
          <w:bottom w:val="nil"/>
          <w:right w:val="nil"/>
          <w:between w:val="nil"/>
        </w:pBdr>
        <w:spacing w:before="7"/>
        <w:rPr>
          <w:i/>
          <w:iCs/>
          <w:color w:val="000000"/>
        </w:rPr>
      </w:pPr>
    </w:p>
    <w:p w14:paraId="6B93E860" w14:textId="77777777" w:rsidR="007960A8" w:rsidRDefault="00A26397">
      <w:pPr>
        <w:numPr>
          <w:ilvl w:val="0"/>
          <w:numId w:val="50"/>
        </w:numPr>
        <w:pBdr>
          <w:top w:val="nil"/>
          <w:left w:val="nil"/>
          <w:bottom w:val="nil"/>
          <w:right w:val="nil"/>
          <w:between w:val="nil"/>
        </w:pBdr>
        <w:tabs>
          <w:tab w:val="left" w:pos="941"/>
        </w:tabs>
        <w:spacing w:before="1" w:line="237" w:lineRule="auto"/>
        <w:ind w:right="215" w:hanging="687"/>
        <w:rPr>
          <w:color w:val="000000"/>
        </w:rPr>
      </w:pPr>
      <w:r>
        <w:rPr>
          <w:color w:val="000000"/>
        </w:rPr>
        <w:t>to Parliament and Parliamentary Committees or if required by any Parliamentary reporting requirement,</w:t>
      </w:r>
    </w:p>
    <w:p w14:paraId="2446A024" w14:textId="77777777" w:rsidR="007960A8" w:rsidRDefault="007960A8">
      <w:pPr>
        <w:pBdr>
          <w:top w:val="nil"/>
          <w:left w:val="nil"/>
          <w:bottom w:val="nil"/>
          <w:right w:val="nil"/>
          <w:between w:val="nil"/>
        </w:pBdr>
        <w:spacing w:before="1"/>
        <w:rPr>
          <w:color w:val="000000"/>
          <w:sz w:val="21"/>
          <w:szCs w:val="21"/>
        </w:rPr>
      </w:pPr>
    </w:p>
    <w:p w14:paraId="447A42E5" w14:textId="77777777" w:rsidR="007960A8" w:rsidRDefault="00A26397">
      <w:pPr>
        <w:numPr>
          <w:ilvl w:val="0"/>
          <w:numId w:val="50"/>
        </w:numPr>
        <w:pBdr>
          <w:top w:val="nil"/>
          <w:left w:val="nil"/>
          <w:bottom w:val="nil"/>
          <w:right w:val="nil"/>
          <w:between w:val="nil"/>
        </w:pBdr>
        <w:tabs>
          <w:tab w:val="left" w:pos="941"/>
        </w:tabs>
        <w:spacing w:before="1" w:line="237" w:lineRule="auto"/>
        <w:ind w:right="217" w:hanging="687"/>
        <w:rPr>
          <w:color w:val="000000"/>
        </w:rPr>
      </w:pPr>
      <w:r>
        <w:rPr>
          <w:color w:val="000000"/>
        </w:rPr>
        <w:t xml:space="preserve">to the extent that the </w:t>
      </w:r>
      <w:r>
        <w:rPr>
          <w:i/>
          <w:iCs/>
          <w:color w:val="000000"/>
        </w:rPr>
        <w:t xml:space="preserve">Client </w:t>
      </w:r>
      <w:r>
        <w:rPr>
          <w:color w:val="000000"/>
        </w:rPr>
        <w:t>(acting reasonably) deems disclosure necessary or appropriate in the course of carrying out its public functions.</w:t>
      </w:r>
    </w:p>
    <w:p w14:paraId="21651F6A" w14:textId="77777777" w:rsidR="007960A8" w:rsidRDefault="007960A8">
      <w:pPr>
        <w:pBdr>
          <w:top w:val="nil"/>
          <w:left w:val="nil"/>
          <w:bottom w:val="nil"/>
          <w:right w:val="nil"/>
          <w:between w:val="nil"/>
        </w:pBdr>
        <w:rPr>
          <w:color w:val="000000"/>
          <w:sz w:val="24"/>
          <w:szCs w:val="24"/>
        </w:rPr>
      </w:pPr>
    </w:p>
    <w:p w14:paraId="3F72DF47" w14:textId="77777777" w:rsidR="007960A8" w:rsidRDefault="00A26397">
      <w:pPr>
        <w:pStyle w:val="Heading1"/>
        <w:spacing w:before="203"/>
        <w:ind w:firstLine="220"/>
      </w:pPr>
      <w:r>
        <w:t>Option Z10 - Security Requirements</w:t>
      </w:r>
    </w:p>
    <w:p w14:paraId="34EC825B" w14:textId="77777777" w:rsidR="007960A8" w:rsidRDefault="007960A8">
      <w:pPr>
        <w:pBdr>
          <w:top w:val="nil"/>
          <w:left w:val="nil"/>
          <w:bottom w:val="nil"/>
          <w:right w:val="nil"/>
          <w:between w:val="nil"/>
        </w:pBdr>
        <w:spacing w:before="7"/>
        <w:rPr>
          <w:b/>
          <w:bCs/>
          <w:color w:val="000000"/>
        </w:rPr>
      </w:pPr>
    </w:p>
    <w:p w14:paraId="7051B58C" w14:textId="77777777" w:rsidR="007960A8" w:rsidRDefault="00A26397">
      <w:pPr>
        <w:pBdr>
          <w:top w:val="nil"/>
          <w:left w:val="nil"/>
          <w:bottom w:val="nil"/>
          <w:right w:val="nil"/>
          <w:between w:val="nil"/>
        </w:pBdr>
        <w:spacing w:before="1" w:line="259" w:lineRule="auto"/>
        <w:ind w:left="220" w:right="352"/>
        <w:jc w:val="both"/>
        <w:rPr>
          <w:color w:val="000000"/>
          <w:sz w:val="24"/>
          <w:szCs w:val="24"/>
        </w:rPr>
      </w:pPr>
      <w:r>
        <w:rPr>
          <w:color w:val="000000"/>
        </w:rPr>
        <w:t xml:space="preserve">The </w:t>
      </w:r>
      <w:r>
        <w:rPr>
          <w:i/>
          <w:iCs/>
          <w:color w:val="000000"/>
        </w:rPr>
        <w:t xml:space="preserve">Service Provider </w:t>
      </w:r>
      <w:r>
        <w:rPr>
          <w:color w:val="000000"/>
        </w:rPr>
        <w:t xml:space="preserve">complies with, and procures the compliance of the </w:t>
      </w:r>
      <w:r>
        <w:rPr>
          <w:i/>
          <w:iCs/>
          <w:color w:val="000000"/>
        </w:rPr>
        <w:t xml:space="preserve">Service Provider’s </w:t>
      </w:r>
      <w:r>
        <w:rPr>
          <w:color w:val="000000"/>
        </w:rPr>
        <w:t xml:space="preserve">people, with the Security Policy and the Security Management Plan produced by the </w:t>
      </w:r>
      <w:r>
        <w:rPr>
          <w:i/>
          <w:iCs/>
          <w:color w:val="000000"/>
        </w:rPr>
        <w:t xml:space="preserve">Service Provider </w:t>
      </w:r>
      <w:r>
        <w:rPr>
          <w:color w:val="000000"/>
        </w:rPr>
        <w:t xml:space="preserve">and the </w:t>
      </w:r>
      <w:r>
        <w:rPr>
          <w:i/>
          <w:iCs/>
          <w:color w:val="000000"/>
        </w:rPr>
        <w:t xml:space="preserve">Service Provider </w:t>
      </w:r>
      <w:r>
        <w:rPr>
          <w:color w:val="000000"/>
        </w:rPr>
        <w:t>shall ensure that the Security Management Plan fully complies w</w:t>
      </w:r>
      <w:r>
        <w:rPr>
          <w:color w:val="000000"/>
        </w:rPr>
        <w:t>ith the Security Policy and Contract Schedule [Guidance: insert schedule ref here].</w:t>
      </w:r>
    </w:p>
    <w:p w14:paraId="09AEA98F" w14:textId="77777777" w:rsidR="007960A8" w:rsidRDefault="007960A8">
      <w:pPr>
        <w:pBdr>
          <w:top w:val="nil"/>
          <w:left w:val="nil"/>
          <w:bottom w:val="nil"/>
          <w:right w:val="nil"/>
          <w:between w:val="nil"/>
        </w:pBdr>
        <w:rPr>
          <w:color w:val="000000"/>
          <w:sz w:val="24"/>
          <w:szCs w:val="24"/>
        </w:rPr>
      </w:pPr>
    </w:p>
    <w:p w14:paraId="0CAB836E" w14:textId="77777777" w:rsidR="007960A8" w:rsidRDefault="00A26397">
      <w:pPr>
        <w:pStyle w:val="Heading1"/>
        <w:spacing w:before="198"/>
        <w:ind w:firstLine="220"/>
      </w:pPr>
      <w:r>
        <w:t>Option Z11 - Tax Compliance</w:t>
      </w:r>
    </w:p>
    <w:p w14:paraId="2ADDDA72" w14:textId="77777777" w:rsidR="007960A8" w:rsidRDefault="007960A8">
      <w:pPr>
        <w:pBdr>
          <w:top w:val="nil"/>
          <w:left w:val="nil"/>
          <w:bottom w:val="nil"/>
          <w:right w:val="nil"/>
          <w:between w:val="nil"/>
        </w:pBdr>
        <w:spacing w:before="10"/>
        <w:rPr>
          <w:b/>
          <w:bCs/>
          <w:color w:val="000000"/>
        </w:rPr>
      </w:pPr>
    </w:p>
    <w:p w14:paraId="1C1205D5" w14:textId="77777777" w:rsidR="007960A8" w:rsidRDefault="00A26397">
      <w:pPr>
        <w:pBdr>
          <w:top w:val="nil"/>
          <w:left w:val="nil"/>
          <w:bottom w:val="nil"/>
          <w:right w:val="nil"/>
          <w:between w:val="nil"/>
        </w:pBdr>
        <w:spacing w:before="1"/>
        <w:ind w:left="220"/>
        <w:rPr>
          <w:color w:val="000000"/>
        </w:rPr>
      </w:pPr>
      <w:r>
        <w:rPr>
          <w:color w:val="000000"/>
        </w:rPr>
        <w:t>Insert new clauses:</w:t>
      </w:r>
    </w:p>
    <w:p w14:paraId="7A767B9D" w14:textId="77777777" w:rsidR="007960A8" w:rsidRDefault="007960A8">
      <w:pPr>
        <w:pBdr>
          <w:top w:val="nil"/>
          <w:left w:val="nil"/>
          <w:bottom w:val="nil"/>
          <w:right w:val="nil"/>
          <w:between w:val="nil"/>
        </w:pBdr>
        <w:spacing w:before="7"/>
        <w:rPr>
          <w:color w:val="000000"/>
        </w:rPr>
      </w:pPr>
    </w:p>
    <w:p w14:paraId="2E7141ED" w14:textId="77777777" w:rsidR="007960A8" w:rsidRDefault="00A26397">
      <w:pPr>
        <w:pBdr>
          <w:top w:val="nil"/>
          <w:left w:val="nil"/>
          <w:bottom w:val="nil"/>
          <w:right w:val="nil"/>
          <w:between w:val="nil"/>
        </w:pBdr>
        <w:tabs>
          <w:tab w:val="left" w:pos="833"/>
        </w:tabs>
        <w:spacing w:line="259" w:lineRule="auto"/>
        <w:ind w:left="220" w:right="405"/>
        <w:rPr>
          <w:color w:val="000000"/>
        </w:rPr>
      </w:pPr>
      <w:r>
        <w:rPr>
          <w:color w:val="000000"/>
        </w:rPr>
        <w:t xml:space="preserve">27A.16 The </w:t>
      </w:r>
      <w:r>
        <w:rPr>
          <w:i/>
          <w:iCs/>
          <w:color w:val="000000"/>
        </w:rPr>
        <w:t xml:space="preserve">Service Provider </w:t>
      </w:r>
      <w:r>
        <w:rPr>
          <w:color w:val="000000"/>
        </w:rPr>
        <w:t xml:space="preserve">represents and warrants that at the date of this Contract, it has notified the </w:t>
      </w:r>
      <w:r>
        <w:rPr>
          <w:i/>
          <w:iCs/>
          <w:color w:val="000000"/>
        </w:rPr>
        <w:t xml:space="preserve">Client </w:t>
      </w:r>
      <w:r>
        <w:rPr>
          <w:color w:val="000000"/>
        </w:rPr>
        <w:t>in writing of any occasions of tax non-compliance or any litigation that it is involved in that is in connection with any occasions of tax non-compliance.</w:t>
      </w:r>
    </w:p>
    <w:p w14:paraId="49FAFFBB" w14:textId="77777777" w:rsidR="007960A8" w:rsidRDefault="007960A8">
      <w:pPr>
        <w:pBdr>
          <w:top w:val="nil"/>
          <w:left w:val="nil"/>
          <w:bottom w:val="nil"/>
          <w:right w:val="nil"/>
          <w:between w:val="nil"/>
        </w:pBdr>
        <w:spacing w:before="9"/>
        <w:rPr>
          <w:color w:val="000000"/>
          <w:sz w:val="20"/>
          <w:szCs w:val="20"/>
        </w:rPr>
      </w:pPr>
    </w:p>
    <w:p w14:paraId="3D319295" w14:textId="77777777" w:rsidR="007960A8" w:rsidRDefault="00A26397">
      <w:pPr>
        <w:pBdr>
          <w:top w:val="nil"/>
          <w:left w:val="nil"/>
          <w:bottom w:val="nil"/>
          <w:right w:val="nil"/>
          <w:between w:val="nil"/>
        </w:pBdr>
        <w:tabs>
          <w:tab w:val="left" w:pos="833"/>
        </w:tabs>
        <w:spacing w:line="259" w:lineRule="auto"/>
        <w:ind w:left="220" w:right="385"/>
        <w:rPr>
          <w:color w:val="000000"/>
        </w:rPr>
      </w:pPr>
      <w:r>
        <w:rPr>
          <w:color w:val="000000"/>
        </w:rPr>
        <w:t xml:space="preserve">27A.17 If, at </w:t>
      </w:r>
      <w:r>
        <w:rPr>
          <w:color w:val="000000"/>
        </w:rPr>
        <w:t>any point prior to the end of the s</w:t>
      </w:r>
      <w:r>
        <w:rPr>
          <w:i/>
          <w:iCs/>
          <w:color w:val="000000"/>
        </w:rPr>
        <w:t>ervice period</w:t>
      </w:r>
      <w:r>
        <w:rPr>
          <w:color w:val="000000"/>
        </w:rPr>
        <w:t xml:space="preserve">, an occasion of tax non-compliance occurs, the </w:t>
      </w:r>
      <w:r>
        <w:rPr>
          <w:i/>
          <w:iCs/>
          <w:color w:val="000000"/>
        </w:rPr>
        <w:t xml:space="preserve">Service Provider </w:t>
      </w:r>
      <w:r>
        <w:rPr>
          <w:color w:val="000000"/>
        </w:rPr>
        <w:t>shall</w:t>
      </w:r>
    </w:p>
    <w:p w14:paraId="31D13C51" w14:textId="77777777" w:rsidR="007960A8" w:rsidRDefault="007960A8">
      <w:pPr>
        <w:pBdr>
          <w:top w:val="nil"/>
          <w:left w:val="nil"/>
          <w:bottom w:val="nil"/>
          <w:right w:val="nil"/>
          <w:between w:val="nil"/>
        </w:pBdr>
        <w:spacing w:before="8"/>
        <w:rPr>
          <w:color w:val="000000"/>
          <w:sz w:val="20"/>
          <w:szCs w:val="20"/>
        </w:rPr>
      </w:pPr>
    </w:p>
    <w:p w14:paraId="4303AF44" w14:textId="77777777" w:rsidR="007960A8" w:rsidRDefault="00A26397">
      <w:pPr>
        <w:numPr>
          <w:ilvl w:val="0"/>
          <w:numId w:val="50"/>
        </w:numPr>
        <w:pBdr>
          <w:top w:val="nil"/>
          <w:left w:val="nil"/>
          <w:bottom w:val="nil"/>
          <w:right w:val="nil"/>
          <w:between w:val="nil"/>
        </w:pBdr>
        <w:tabs>
          <w:tab w:val="left" w:pos="941"/>
        </w:tabs>
        <w:ind w:hanging="721"/>
        <w:rPr>
          <w:color w:val="000000"/>
        </w:rPr>
      </w:pPr>
      <w:r>
        <w:rPr>
          <w:color w:val="000000"/>
        </w:rPr>
        <w:t xml:space="preserve">notify the </w:t>
      </w:r>
      <w:r>
        <w:rPr>
          <w:i/>
          <w:iCs/>
          <w:color w:val="000000"/>
        </w:rPr>
        <w:t xml:space="preserve">Client </w:t>
      </w:r>
      <w:r>
        <w:rPr>
          <w:color w:val="000000"/>
        </w:rPr>
        <w:t>in writing of such fact within 5 days of its occurrence and</w:t>
      </w:r>
    </w:p>
    <w:p w14:paraId="7F67943F" w14:textId="77777777" w:rsidR="007960A8" w:rsidRDefault="007960A8">
      <w:pPr>
        <w:pBdr>
          <w:top w:val="nil"/>
          <w:left w:val="nil"/>
          <w:bottom w:val="nil"/>
          <w:right w:val="nil"/>
          <w:between w:val="nil"/>
        </w:pBdr>
        <w:spacing w:before="10"/>
        <w:rPr>
          <w:color w:val="000000"/>
          <w:sz w:val="20"/>
          <w:szCs w:val="20"/>
        </w:rPr>
      </w:pPr>
    </w:p>
    <w:p w14:paraId="43AF3F34" w14:textId="77777777" w:rsidR="007960A8" w:rsidRDefault="00A26397">
      <w:pPr>
        <w:numPr>
          <w:ilvl w:val="0"/>
          <w:numId w:val="50"/>
        </w:numPr>
        <w:pBdr>
          <w:top w:val="nil"/>
          <w:left w:val="nil"/>
          <w:bottom w:val="nil"/>
          <w:right w:val="nil"/>
          <w:between w:val="nil"/>
        </w:pBdr>
        <w:tabs>
          <w:tab w:val="left" w:pos="941"/>
        </w:tabs>
        <w:ind w:hanging="721"/>
        <w:rPr>
          <w:i/>
          <w:iCs/>
          <w:color w:val="000000"/>
        </w:rPr>
      </w:pPr>
      <w:r>
        <w:rPr>
          <w:color w:val="000000"/>
        </w:rPr>
        <w:t xml:space="preserve">promptly provide to the </w:t>
      </w:r>
      <w:r>
        <w:rPr>
          <w:i/>
          <w:iCs/>
          <w:color w:val="000000"/>
        </w:rPr>
        <w:t>Client</w:t>
      </w:r>
    </w:p>
    <w:p w14:paraId="351893B8" w14:textId="77777777" w:rsidR="007960A8" w:rsidRDefault="007960A8">
      <w:pPr>
        <w:pBdr>
          <w:top w:val="nil"/>
          <w:left w:val="nil"/>
          <w:bottom w:val="nil"/>
          <w:right w:val="nil"/>
          <w:between w:val="nil"/>
        </w:pBdr>
        <w:spacing w:before="6"/>
        <w:rPr>
          <w:i/>
          <w:iCs/>
          <w:color w:val="000000"/>
          <w:sz w:val="20"/>
          <w:szCs w:val="20"/>
        </w:rPr>
      </w:pPr>
    </w:p>
    <w:p w14:paraId="0AE7CDEB" w14:textId="77777777" w:rsidR="007960A8" w:rsidRDefault="00A26397">
      <w:pPr>
        <w:numPr>
          <w:ilvl w:val="1"/>
          <w:numId w:val="50"/>
        </w:numPr>
        <w:pBdr>
          <w:top w:val="nil"/>
          <w:left w:val="nil"/>
          <w:bottom w:val="nil"/>
          <w:right w:val="nil"/>
          <w:between w:val="nil"/>
        </w:pBdr>
        <w:tabs>
          <w:tab w:val="left" w:pos="1661"/>
        </w:tabs>
        <w:spacing w:before="1"/>
        <w:ind w:right="215"/>
        <w:jc w:val="both"/>
        <w:rPr>
          <w:color w:val="000000"/>
        </w:rPr>
      </w:pPr>
      <w:r>
        <w:rPr>
          <w:color w:val="000000"/>
        </w:rPr>
        <w:t xml:space="preserve">details of the steps which the </w:t>
      </w:r>
      <w:r>
        <w:rPr>
          <w:i/>
          <w:iCs/>
          <w:color w:val="000000"/>
        </w:rPr>
        <w:t xml:space="preserve">Service Provider </w:t>
      </w:r>
      <w:r>
        <w:rPr>
          <w:color w:val="000000"/>
        </w:rPr>
        <w:t>is taking to address the occasions of tax non-compliance and to prevent the same from recurring, together with any mitigating factors that it considers relevant and</w:t>
      </w:r>
    </w:p>
    <w:p w14:paraId="79D35C33" w14:textId="77777777" w:rsidR="007960A8" w:rsidRDefault="007960A8">
      <w:pPr>
        <w:pBdr>
          <w:top w:val="nil"/>
          <w:left w:val="nil"/>
          <w:bottom w:val="nil"/>
          <w:right w:val="nil"/>
          <w:between w:val="nil"/>
        </w:pBdr>
        <w:spacing w:before="9"/>
        <w:rPr>
          <w:color w:val="000000"/>
          <w:sz w:val="20"/>
          <w:szCs w:val="20"/>
        </w:rPr>
      </w:pPr>
    </w:p>
    <w:p w14:paraId="3C851AB2" w14:textId="77777777" w:rsidR="007960A8" w:rsidRDefault="00A26397">
      <w:pPr>
        <w:numPr>
          <w:ilvl w:val="1"/>
          <w:numId w:val="50"/>
        </w:numPr>
        <w:pBdr>
          <w:top w:val="nil"/>
          <w:left w:val="nil"/>
          <w:bottom w:val="nil"/>
          <w:right w:val="nil"/>
          <w:between w:val="nil"/>
        </w:pBdr>
        <w:tabs>
          <w:tab w:val="left" w:pos="1661"/>
        </w:tabs>
        <w:ind w:hanging="721"/>
        <w:rPr>
          <w:color w:val="000000"/>
        </w:rPr>
      </w:pPr>
      <w:r>
        <w:rPr>
          <w:color w:val="000000"/>
        </w:rPr>
        <w:t xml:space="preserve">such other information in relation to the </w:t>
      </w:r>
      <w:r>
        <w:rPr>
          <w:color w:val="000000"/>
        </w:rPr>
        <w:t>Occasion of Tax Non-Compliance as</w:t>
      </w:r>
    </w:p>
    <w:p w14:paraId="595DF667" w14:textId="77777777" w:rsidR="007960A8" w:rsidRDefault="00A26397">
      <w:pPr>
        <w:pBdr>
          <w:top w:val="nil"/>
          <w:left w:val="nil"/>
          <w:bottom w:val="nil"/>
          <w:right w:val="nil"/>
          <w:between w:val="nil"/>
        </w:pBdr>
        <w:ind w:left="1660"/>
        <w:rPr>
          <w:color w:val="000000"/>
        </w:rPr>
      </w:pPr>
      <w:r>
        <w:rPr>
          <w:color w:val="000000"/>
        </w:rPr>
        <w:t xml:space="preserve">the </w:t>
      </w:r>
      <w:r>
        <w:rPr>
          <w:i/>
          <w:iCs/>
          <w:color w:val="000000"/>
        </w:rPr>
        <w:t xml:space="preserve">Client </w:t>
      </w:r>
      <w:r>
        <w:rPr>
          <w:color w:val="000000"/>
        </w:rPr>
        <w:t>may reasonably require.</w:t>
      </w:r>
    </w:p>
    <w:p w14:paraId="04C2C229" w14:textId="77777777" w:rsidR="007960A8" w:rsidRDefault="007960A8">
      <w:pPr>
        <w:pBdr>
          <w:top w:val="nil"/>
          <w:left w:val="nil"/>
          <w:bottom w:val="nil"/>
          <w:right w:val="nil"/>
          <w:between w:val="nil"/>
        </w:pBdr>
        <w:rPr>
          <w:color w:val="000000"/>
          <w:sz w:val="24"/>
          <w:szCs w:val="24"/>
        </w:rPr>
      </w:pPr>
    </w:p>
    <w:p w14:paraId="3E9F5239" w14:textId="77777777" w:rsidR="007960A8" w:rsidRDefault="00A26397">
      <w:pPr>
        <w:tabs>
          <w:tab w:val="left" w:pos="142"/>
        </w:tabs>
        <w:spacing w:line="259" w:lineRule="auto"/>
        <w:ind w:left="142" w:right="385"/>
      </w:pPr>
      <w:r>
        <w:t xml:space="preserve">27A.18.1 Where VAT is chargeable in respect of any of the </w:t>
      </w:r>
      <w:r>
        <w:rPr>
          <w:i/>
          <w:iCs/>
        </w:rPr>
        <w:t>services</w:t>
      </w:r>
      <w:r>
        <w:t xml:space="preserve">, the </w:t>
      </w:r>
      <w:r>
        <w:rPr>
          <w:i/>
          <w:iCs/>
        </w:rPr>
        <w:t xml:space="preserve">Service Provider </w:t>
      </w:r>
      <w:r>
        <w:t xml:space="preserve">shall calculate the amount of VAT to be paid by the </w:t>
      </w:r>
      <w:r>
        <w:rPr>
          <w:i/>
          <w:iCs/>
        </w:rPr>
        <w:t>Client</w:t>
      </w:r>
      <w:r>
        <w:t xml:space="preserve"> at the applicable prevailing rate indicating whether or not the reverse charge applies, which shall be added to the Prices and paid by the </w:t>
      </w:r>
      <w:r>
        <w:rPr>
          <w:i/>
          <w:iCs/>
        </w:rPr>
        <w:t>Client</w:t>
      </w:r>
      <w:r>
        <w:t xml:space="preserve"> following the submission of a VAT invoice by the </w:t>
      </w:r>
      <w:r>
        <w:rPr>
          <w:i/>
          <w:iCs/>
        </w:rPr>
        <w:t>Se</w:t>
      </w:r>
      <w:r>
        <w:rPr>
          <w:i/>
          <w:iCs/>
        </w:rPr>
        <w:t>rvice Provider</w:t>
      </w:r>
      <w:r>
        <w:t xml:space="preserve"> in respect of the same, unless the reverse charge applies.</w:t>
      </w:r>
    </w:p>
    <w:p w14:paraId="01221872" w14:textId="77777777" w:rsidR="007960A8" w:rsidRDefault="007960A8">
      <w:pPr>
        <w:tabs>
          <w:tab w:val="left" w:pos="142"/>
        </w:tabs>
        <w:spacing w:line="259" w:lineRule="auto"/>
        <w:ind w:left="142" w:right="385"/>
      </w:pPr>
    </w:p>
    <w:p w14:paraId="141088AF" w14:textId="77777777" w:rsidR="007960A8" w:rsidRDefault="00A26397">
      <w:pPr>
        <w:tabs>
          <w:tab w:val="left" w:pos="142"/>
        </w:tabs>
        <w:spacing w:line="259" w:lineRule="auto"/>
        <w:ind w:left="142" w:right="385"/>
      </w:pPr>
      <w:r>
        <w:t xml:space="preserve">27A.18.2 The </w:t>
      </w:r>
      <w:r>
        <w:rPr>
          <w:i/>
          <w:iCs/>
        </w:rPr>
        <w:t>Service Provider</w:t>
      </w:r>
      <w:r>
        <w:t xml:space="preserve"> shall indemnify the </w:t>
      </w:r>
      <w:r>
        <w:rPr>
          <w:i/>
          <w:iCs/>
        </w:rPr>
        <w:t>Client</w:t>
      </w:r>
      <w:r>
        <w:t xml:space="preserve"> against any liability (including any interest, penalties or costs incurred) which is levied, demanded or assessed on the </w:t>
      </w:r>
      <w:r>
        <w:rPr>
          <w:i/>
          <w:iCs/>
        </w:rPr>
        <w:t>Cli</w:t>
      </w:r>
      <w:r>
        <w:rPr>
          <w:i/>
          <w:iCs/>
        </w:rPr>
        <w:t>ent</w:t>
      </w:r>
      <w:r>
        <w:t xml:space="preserve"> at any time in respect of the </w:t>
      </w:r>
      <w:r>
        <w:rPr>
          <w:i/>
          <w:iCs/>
        </w:rPr>
        <w:t>Service Provider’s</w:t>
      </w:r>
      <w:r>
        <w:t xml:space="preserve"> failure to account for, or to pay, any VAT relating to payments made to the </w:t>
      </w:r>
      <w:r>
        <w:rPr>
          <w:i/>
          <w:iCs/>
        </w:rPr>
        <w:t>Service Provider</w:t>
      </w:r>
      <w:r>
        <w:t xml:space="preserve"> under this Contract.</w:t>
      </w:r>
    </w:p>
    <w:p w14:paraId="59586F0D" w14:textId="77777777" w:rsidR="007960A8" w:rsidRDefault="007960A8">
      <w:pPr>
        <w:tabs>
          <w:tab w:val="left" w:pos="142"/>
        </w:tabs>
        <w:spacing w:line="259" w:lineRule="auto"/>
        <w:ind w:left="142" w:right="385"/>
      </w:pPr>
    </w:p>
    <w:p w14:paraId="30A92405" w14:textId="77777777" w:rsidR="007960A8" w:rsidRDefault="00A26397">
      <w:pPr>
        <w:tabs>
          <w:tab w:val="left" w:pos="142"/>
        </w:tabs>
        <w:spacing w:line="259" w:lineRule="auto"/>
        <w:ind w:left="142" w:right="385"/>
      </w:pPr>
      <w:r>
        <w:t>27A.18.3 References to the “reverse charge applies” (or similar) within this clause 27A.</w:t>
      </w:r>
      <w:r>
        <w:t>18, mean any case where the recipient of a supply for VAT purposes, or a member of a VAT group of which the recipient of the supply is a member, is required to account to the relevant tax authority for the VAT chargeable in respect of the supply.</w:t>
      </w:r>
    </w:p>
    <w:p w14:paraId="63D7B153" w14:textId="77777777" w:rsidR="007960A8" w:rsidRDefault="007960A8">
      <w:pPr>
        <w:tabs>
          <w:tab w:val="left" w:pos="142"/>
        </w:tabs>
        <w:spacing w:line="259" w:lineRule="auto"/>
        <w:ind w:left="142" w:right="385"/>
      </w:pPr>
    </w:p>
    <w:p w14:paraId="64BAB15D" w14:textId="77777777" w:rsidR="007960A8" w:rsidRDefault="00A26397">
      <w:pPr>
        <w:tabs>
          <w:tab w:val="left" w:pos="142"/>
        </w:tabs>
        <w:spacing w:line="259" w:lineRule="auto"/>
        <w:ind w:left="142" w:right="385"/>
      </w:pPr>
      <w:r>
        <w:t>27A.18.4</w:t>
      </w:r>
      <w:r>
        <w:t xml:space="preserve"> The </w:t>
      </w:r>
      <w:r>
        <w:rPr>
          <w:i/>
          <w:iCs/>
        </w:rPr>
        <w:t>Service Provider</w:t>
      </w:r>
      <w:r>
        <w:t xml:space="preserve"> acknowledges the </w:t>
      </w:r>
      <w:r>
        <w:rPr>
          <w:i/>
          <w:iCs/>
        </w:rPr>
        <w:t>Client</w:t>
      </w:r>
      <w:r>
        <w:t xml:space="preserve"> is a public authority and has a duty to promote compliance with all relevant tax laws through its supply chain. The </w:t>
      </w:r>
      <w:r>
        <w:rPr>
          <w:i/>
          <w:iCs/>
        </w:rPr>
        <w:t>Service Provider</w:t>
      </w:r>
      <w:r>
        <w:t xml:space="preserve"> promptly notifies the </w:t>
      </w:r>
      <w:r>
        <w:rPr>
          <w:i/>
          <w:iCs/>
        </w:rPr>
        <w:t>Client</w:t>
      </w:r>
      <w:r>
        <w:t xml:space="preserve"> if it has grounds to consider that a potential non-compliance with a relevant tax law may hav</w:t>
      </w:r>
      <w:r>
        <w:t xml:space="preserve">e occurred in respect of the </w:t>
      </w:r>
      <w:r>
        <w:rPr>
          <w:i/>
          <w:iCs/>
        </w:rPr>
        <w:t>services</w:t>
      </w:r>
      <w:r>
        <w:t xml:space="preserve">, and provides to the </w:t>
      </w:r>
      <w:r>
        <w:rPr>
          <w:i/>
          <w:iCs/>
        </w:rPr>
        <w:t>Client</w:t>
      </w:r>
      <w:r>
        <w:t xml:space="preserve"> details of the steps that the </w:t>
      </w:r>
      <w:r>
        <w:rPr>
          <w:i/>
          <w:iCs/>
        </w:rPr>
        <w:t>Service Provider</w:t>
      </w:r>
      <w:r>
        <w:t xml:space="preserve"> is taking to address the potential non-compliance and prevent the same from recurring, together with any mitigating factors that it considers r</w:t>
      </w:r>
      <w:r>
        <w:t>elevant.</w:t>
      </w:r>
    </w:p>
    <w:p w14:paraId="6933326C" w14:textId="77777777" w:rsidR="007960A8" w:rsidRDefault="007960A8">
      <w:pPr>
        <w:pBdr>
          <w:top w:val="nil"/>
          <w:left w:val="nil"/>
          <w:bottom w:val="nil"/>
          <w:right w:val="nil"/>
          <w:between w:val="nil"/>
        </w:pBdr>
        <w:rPr>
          <w:color w:val="000000"/>
          <w:sz w:val="24"/>
          <w:szCs w:val="24"/>
        </w:rPr>
      </w:pPr>
    </w:p>
    <w:p w14:paraId="6C2239D1" w14:textId="77777777" w:rsidR="007960A8" w:rsidRDefault="00A26397">
      <w:pPr>
        <w:pStyle w:val="Heading1"/>
        <w:spacing w:before="201"/>
        <w:ind w:left="142"/>
      </w:pPr>
      <w:r>
        <w:t>Option Z12 - Fair payment</w:t>
      </w:r>
    </w:p>
    <w:p w14:paraId="7810E5EF" w14:textId="77777777" w:rsidR="007960A8" w:rsidRDefault="007960A8">
      <w:pPr>
        <w:pBdr>
          <w:top w:val="nil"/>
          <w:left w:val="nil"/>
          <w:bottom w:val="nil"/>
          <w:right w:val="nil"/>
          <w:between w:val="nil"/>
        </w:pBdr>
        <w:spacing w:before="10"/>
        <w:ind w:left="142"/>
        <w:rPr>
          <w:b/>
          <w:bCs/>
          <w:color w:val="000000"/>
        </w:rPr>
      </w:pPr>
    </w:p>
    <w:p w14:paraId="3B51E7F4" w14:textId="77777777" w:rsidR="007960A8" w:rsidRDefault="00A26397">
      <w:pPr>
        <w:pBdr>
          <w:top w:val="nil"/>
          <w:left w:val="nil"/>
          <w:bottom w:val="nil"/>
          <w:right w:val="nil"/>
          <w:between w:val="nil"/>
        </w:pBdr>
        <w:ind w:left="142"/>
        <w:rPr>
          <w:color w:val="000000"/>
        </w:rPr>
      </w:pPr>
      <w:r>
        <w:rPr>
          <w:color w:val="000000"/>
        </w:rPr>
        <w:t>Insert a new clause:</w:t>
      </w:r>
    </w:p>
    <w:p w14:paraId="503C454B" w14:textId="77777777" w:rsidR="007960A8" w:rsidRDefault="007960A8">
      <w:pPr>
        <w:pBdr>
          <w:top w:val="nil"/>
          <w:left w:val="nil"/>
          <w:bottom w:val="nil"/>
          <w:right w:val="nil"/>
          <w:between w:val="nil"/>
        </w:pBdr>
        <w:spacing w:before="7"/>
        <w:rPr>
          <w:color w:val="000000"/>
        </w:rPr>
      </w:pPr>
    </w:p>
    <w:p w14:paraId="333B3D4A" w14:textId="77777777" w:rsidR="007960A8" w:rsidRDefault="00A26397">
      <w:pPr>
        <w:tabs>
          <w:tab w:val="left" w:pos="710"/>
        </w:tabs>
        <w:spacing w:before="1" w:line="259" w:lineRule="auto"/>
        <w:ind w:left="142" w:right="1038"/>
      </w:pPr>
      <w:r>
        <w:t xml:space="preserve">54A.1 The </w:t>
      </w:r>
      <w:r>
        <w:rPr>
          <w:i/>
          <w:iCs/>
        </w:rPr>
        <w:t xml:space="preserve">Service Provider </w:t>
      </w:r>
      <w:r>
        <w:t xml:space="preserve">assesses the amount due to a Subcontractor without taking into account the amount certified by the </w:t>
      </w:r>
      <w:r>
        <w:rPr>
          <w:i/>
          <w:iCs/>
        </w:rPr>
        <w:t>Client’s Agent/Service Manager</w:t>
      </w:r>
      <w:r>
        <w:t>.</w:t>
      </w:r>
    </w:p>
    <w:p w14:paraId="02AB2112" w14:textId="77777777" w:rsidR="007960A8" w:rsidRDefault="007960A8">
      <w:pPr>
        <w:tabs>
          <w:tab w:val="left" w:pos="710"/>
        </w:tabs>
        <w:spacing w:before="1" w:line="259" w:lineRule="auto"/>
        <w:ind w:left="-270" w:right="1038"/>
      </w:pPr>
    </w:p>
    <w:p w14:paraId="7A205334" w14:textId="77777777" w:rsidR="007960A8" w:rsidRDefault="00A26397">
      <w:pPr>
        <w:tabs>
          <w:tab w:val="left" w:pos="710"/>
        </w:tabs>
        <w:spacing w:before="1" w:line="259" w:lineRule="auto"/>
        <w:ind w:left="142" w:right="1038"/>
      </w:pPr>
      <w:r>
        <w:t xml:space="preserve">54A.2 The </w:t>
      </w:r>
      <w:r>
        <w:rPr>
          <w:i/>
          <w:iCs/>
        </w:rPr>
        <w:t xml:space="preserve">Service Provider </w:t>
      </w:r>
      <w:r>
        <w:t>includes in the contract with each Subcontractor</w:t>
      </w:r>
    </w:p>
    <w:p w14:paraId="4524DD6A" w14:textId="77777777" w:rsidR="007960A8" w:rsidRDefault="007960A8">
      <w:pPr>
        <w:pBdr>
          <w:top w:val="nil"/>
          <w:left w:val="nil"/>
          <w:bottom w:val="nil"/>
          <w:right w:val="nil"/>
          <w:between w:val="nil"/>
        </w:pBdr>
        <w:spacing w:before="10"/>
        <w:rPr>
          <w:color w:val="000000"/>
        </w:rPr>
      </w:pPr>
    </w:p>
    <w:p w14:paraId="324F0F17" w14:textId="77777777" w:rsidR="007960A8" w:rsidRDefault="00A26397">
      <w:pPr>
        <w:numPr>
          <w:ilvl w:val="0"/>
          <w:numId w:val="50"/>
        </w:numPr>
        <w:pBdr>
          <w:top w:val="nil"/>
          <w:left w:val="nil"/>
          <w:bottom w:val="nil"/>
          <w:right w:val="nil"/>
          <w:between w:val="nil"/>
        </w:pBdr>
        <w:tabs>
          <w:tab w:val="left" w:pos="941"/>
        </w:tabs>
        <w:spacing w:line="237" w:lineRule="auto"/>
        <w:ind w:right="217"/>
        <w:jc w:val="both"/>
        <w:rPr>
          <w:color w:val="000000"/>
        </w:rPr>
      </w:pPr>
      <w:r>
        <w:rPr>
          <w:color w:val="000000"/>
        </w:rPr>
        <w:t xml:space="preserve">a period for payment of the amount due to the Subcontractor not greater than 5 days after the </w:t>
      </w:r>
      <w:r>
        <w:rPr>
          <w:i/>
          <w:iCs/>
          <w:color w:val="000000"/>
        </w:rPr>
        <w:t>final date for payment</w:t>
      </w:r>
      <w:r>
        <w:rPr>
          <w:color w:val="000000"/>
        </w:rPr>
        <w:t xml:space="preserve"> in this contract. The amount due includes, but is not limited to, payment for work which the Subcontractor has completed from the previous </w:t>
      </w:r>
      <w:r>
        <w:rPr>
          <w:i/>
          <w:iCs/>
          <w:color w:val="000000"/>
        </w:rPr>
        <w:t>assessment date</w:t>
      </w:r>
      <w:r>
        <w:rPr>
          <w:color w:val="000000"/>
        </w:rPr>
        <w:t xml:space="preserve"> up to the current </w:t>
      </w:r>
      <w:r>
        <w:rPr>
          <w:i/>
          <w:iCs/>
          <w:color w:val="000000"/>
        </w:rPr>
        <w:t>assessment date</w:t>
      </w:r>
      <w:r>
        <w:rPr>
          <w:color w:val="000000"/>
        </w:rPr>
        <w:t xml:space="preserve"> in this contract,</w:t>
      </w:r>
    </w:p>
    <w:p w14:paraId="1E02A832" w14:textId="77777777" w:rsidR="007960A8" w:rsidRDefault="007960A8">
      <w:pPr>
        <w:pBdr>
          <w:top w:val="nil"/>
          <w:left w:val="nil"/>
          <w:bottom w:val="nil"/>
          <w:right w:val="nil"/>
          <w:between w:val="nil"/>
        </w:pBdr>
        <w:spacing w:before="3"/>
        <w:rPr>
          <w:color w:val="000000"/>
          <w:sz w:val="21"/>
          <w:szCs w:val="21"/>
        </w:rPr>
      </w:pPr>
    </w:p>
    <w:p w14:paraId="66FB3A89" w14:textId="77777777" w:rsidR="007960A8" w:rsidRDefault="00A26397">
      <w:pPr>
        <w:numPr>
          <w:ilvl w:val="0"/>
          <w:numId w:val="50"/>
        </w:numPr>
        <w:pBdr>
          <w:top w:val="nil"/>
          <w:left w:val="nil"/>
          <w:bottom w:val="nil"/>
          <w:right w:val="nil"/>
          <w:between w:val="nil"/>
        </w:pBdr>
        <w:tabs>
          <w:tab w:val="left" w:pos="941"/>
        </w:tabs>
        <w:ind w:right="214"/>
        <w:jc w:val="both"/>
        <w:rPr>
          <w:color w:val="000000"/>
        </w:rPr>
      </w:pPr>
      <w:r>
        <w:rPr>
          <w:color w:val="000000"/>
        </w:rPr>
        <w:t>a provision requiring the Subcontractor to include in each subcontract the same requirement (including this requirement to flow down, except that the period for payment is to be not great</w:t>
      </w:r>
      <w:r>
        <w:rPr>
          <w:color w:val="000000"/>
        </w:rPr>
        <w:t xml:space="preserve">er than 9 days after the </w:t>
      </w:r>
      <w:r>
        <w:rPr>
          <w:i/>
          <w:iCs/>
          <w:color w:val="000000"/>
        </w:rPr>
        <w:t>final date for payment</w:t>
      </w:r>
      <w:r>
        <w:rPr>
          <w:color w:val="000000"/>
        </w:rPr>
        <w:t xml:space="preserve"> in this contract and</w:t>
      </w:r>
    </w:p>
    <w:p w14:paraId="4F0198B3" w14:textId="77777777" w:rsidR="007960A8" w:rsidRDefault="007960A8">
      <w:pPr>
        <w:pBdr>
          <w:top w:val="nil"/>
          <w:left w:val="nil"/>
          <w:bottom w:val="nil"/>
          <w:right w:val="nil"/>
          <w:between w:val="nil"/>
        </w:pBdr>
        <w:spacing w:before="11"/>
        <w:rPr>
          <w:color w:val="000000"/>
          <w:sz w:val="20"/>
          <w:szCs w:val="20"/>
        </w:rPr>
      </w:pPr>
    </w:p>
    <w:p w14:paraId="0B4BD955" w14:textId="77777777" w:rsidR="007960A8" w:rsidRDefault="00A26397">
      <w:pPr>
        <w:numPr>
          <w:ilvl w:val="0"/>
          <w:numId w:val="50"/>
        </w:numPr>
        <w:pBdr>
          <w:top w:val="nil"/>
          <w:left w:val="nil"/>
          <w:bottom w:val="nil"/>
          <w:right w:val="nil"/>
          <w:between w:val="nil"/>
        </w:pBdr>
        <w:tabs>
          <w:tab w:val="left" w:pos="941"/>
        </w:tabs>
        <w:spacing w:line="237" w:lineRule="auto"/>
        <w:ind w:right="219"/>
        <w:jc w:val="both"/>
        <w:rPr>
          <w:i/>
          <w:iCs/>
          <w:color w:val="000000"/>
        </w:rPr>
      </w:pPr>
      <w:r>
        <w:rPr>
          <w:color w:val="000000"/>
        </w:rPr>
        <w:t xml:space="preserve">a provision requiring the Subcontractor to assess the amount due to a subcontractor without taking into account the amount paid by the </w:t>
      </w:r>
      <w:r>
        <w:rPr>
          <w:i/>
          <w:iCs/>
          <w:color w:val="000000"/>
        </w:rPr>
        <w:t>Service Provider.</w:t>
      </w:r>
    </w:p>
    <w:p w14:paraId="77DD3E3C" w14:textId="77777777" w:rsidR="007960A8" w:rsidRDefault="007960A8">
      <w:pPr>
        <w:pBdr>
          <w:top w:val="nil"/>
          <w:left w:val="nil"/>
          <w:bottom w:val="nil"/>
          <w:right w:val="nil"/>
          <w:between w:val="nil"/>
        </w:pBdr>
        <w:ind w:left="940"/>
        <w:rPr>
          <w:i/>
          <w:iCs/>
          <w:color w:val="000000"/>
        </w:rPr>
      </w:pPr>
    </w:p>
    <w:p w14:paraId="7DA97203" w14:textId="77777777" w:rsidR="007960A8" w:rsidRDefault="007960A8">
      <w:pPr>
        <w:pStyle w:val="Heading1"/>
        <w:spacing w:before="201"/>
        <w:ind w:left="284"/>
      </w:pPr>
    </w:p>
    <w:p w14:paraId="6887E4C8" w14:textId="77777777" w:rsidR="007960A8" w:rsidRDefault="00A26397">
      <w:pPr>
        <w:pStyle w:val="Heading1"/>
        <w:spacing w:before="201"/>
        <w:ind w:left="284"/>
      </w:pPr>
      <w:r>
        <w:t>Option Z13 - The Housing Grants, Construction and Regeneration Act 1996</w:t>
      </w:r>
    </w:p>
    <w:p w14:paraId="4060CB10" w14:textId="77777777" w:rsidR="007960A8" w:rsidRDefault="007960A8">
      <w:pPr>
        <w:pBdr>
          <w:top w:val="nil"/>
          <w:left w:val="nil"/>
          <w:bottom w:val="nil"/>
          <w:right w:val="nil"/>
          <w:between w:val="nil"/>
        </w:pBdr>
        <w:spacing w:before="10"/>
        <w:ind w:left="284"/>
        <w:rPr>
          <w:b/>
          <w:bCs/>
          <w:color w:val="000000"/>
        </w:rPr>
      </w:pPr>
    </w:p>
    <w:p w14:paraId="5C5AE8B2" w14:textId="77777777" w:rsidR="007960A8" w:rsidRDefault="00A26397">
      <w:pPr>
        <w:pBdr>
          <w:top w:val="nil"/>
          <w:left w:val="nil"/>
          <w:bottom w:val="nil"/>
          <w:right w:val="nil"/>
          <w:between w:val="nil"/>
        </w:pBdr>
        <w:spacing w:line="487" w:lineRule="auto"/>
        <w:ind w:left="284" w:right="965"/>
        <w:rPr>
          <w:color w:val="000000"/>
        </w:rPr>
      </w:pPr>
      <w:r>
        <w:rPr>
          <w:color w:val="000000"/>
        </w:rPr>
        <w:t>Add an additional clause Y2.6 to the NEC Facilities Management Contract only</w:t>
      </w:r>
    </w:p>
    <w:p w14:paraId="269DE43C" w14:textId="77777777" w:rsidR="007960A8" w:rsidRDefault="00A26397">
      <w:pPr>
        <w:pBdr>
          <w:top w:val="nil"/>
          <w:left w:val="nil"/>
          <w:bottom w:val="nil"/>
          <w:right w:val="nil"/>
          <w:between w:val="nil"/>
        </w:pBdr>
        <w:ind w:left="284"/>
        <w:rPr>
          <w:color w:val="000000"/>
          <w:sz w:val="24"/>
          <w:szCs w:val="24"/>
        </w:rPr>
      </w:pPr>
      <w:r>
        <w:rPr>
          <w:color w:val="000000"/>
        </w:rPr>
        <w:t>Y2.6 If Option Y(UK)2 is said to apply then notwithstanding that this contract relates to the carrying out of construction operations other than in England or Wales or Scotland, t</w:t>
      </w:r>
      <w:r>
        <w:rPr>
          <w:color w:val="000000"/>
        </w:rPr>
        <w:t>he Act is deemed to apply to this contract.</w:t>
      </w:r>
    </w:p>
    <w:p w14:paraId="12499709" w14:textId="77777777" w:rsidR="007960A8" w:rsidRDefault="007960A8">
      <w:pPr>
        <w:pBdr>
          <w:top w:val="nil"/>
          <w:left w:val="nil"/>
          <w:bottom w:val="nil"/>
          <w:right w:val="nil"/>
          <w:between w:val="nil"/>
        </w:pBdr>
        <w:rPr>
          <w:color w:val="000000"/>
          <w:sz w:val="24"/>
          <w:szCs w:val="24"/>
        </w:rPr>
      </w:pPr>
    </w:p>
    <w:p w14:paraId="2C33E174" w14:textId="77777777" w:rsidR="007960A8" w:rsidRDefault="00A26397">
      <w:pPr>
        <w:pStyle w:val="Heading1"/>
        <w:spacing w:before="197"/>
        <w:ind w:firstLine="220"/>
      </w:pPr>
      <w:r>
        <w:t>Option Z14 – HMRC Requirements</w:t>
      </w:r>
    </w:p>
    <w:p w14:paraId="5D5CE6EC" w14:textId="77777777" w:rsidR="007960A8" w:rsidRDefault="007960A8"/>
    <w:p w14:paraId="5013C606" w14:textId="77777777" w:rsidR="007960A8" w:rsidRDefault="00A26397">
      <w:pPr>
        <w:ind w:left="284"/>
      </w:pPr>
      <w:r>
        <w:t>Insert a new clause 18B</w:t>
      </w:r>
    </w:p>
    <w:p w14:paraId="21A0A94D" w14:textId="77777777" w:rsidR="007960A8" w:rsidRDefault="007960A8">
      <w:pPr>
        <w:ind w:left="284"/>
      </w:pPr>
    </w:p>
    <w:p w14:paraId="2B8BAFA3" w14:textId="77777777" w:rsidR="007960A8" w:rsidRDefault="00A26397">
      <w:pPr>
        <w:ind w:left="284"/>
      </w:pPr>
      <w:r>
        <w:t>This clause is to incorporate HMRC special terms and conditions in the form of HMRC Call-Off Schedule 23 (HMRC Terms) [Guidance: Client to reference Call-</w:t>
      </w:r>
      <w:r>
        <w:t>Off Schedule 23 (HMRC Terms)].</w:t>
      </w:r>
    </w:p>
    <w:p w14:paraId="28DDD0B1" w14:textId="77777777" w:rsidR="007960A8" w:rsidRDefault="007960A8">
      <w:pPr>
        <w:ind w:left="284"/>
      </w:pPr>
    </w:p>
    <w:p w14:paraId="609BCCEC" w14:textId="77777777" w:rsidR="007960A8" w:rsidRDefault="00A26397">
      <w:pPr>
        <w:pStyle w:val="Heading1"/>
        <w:spacing w:before="197"/>
        <w:ind w:firstLine="220"/>
      </w:pPr>
      <w:r>
        <w:t>Option Z15 – MoD DEFCON Requirements</w:t>
      </w:r>
    </w:p>
    <w:p w14:paraId="54116388" w14:textId="77777777" w:rsidR="007960A8" w:rsidRDefault="007960A8">
      <w:pPr>
        <w:pBdr>
          <w:top w:val="nil"/>
          <w:left w:val="nil"/>
          <w:bottom w:val="nil"/>
          <w:right w:val="nil"/>
          <w:between w:val="nil"/>
        </w:pBdr>
        <w:spacing w:before="10"/>
        <w:rPr>
          <w:b/>
          <w:bCs/>
          <w:color w:val="000000"/>
        </w:rPr>
      </w:pPr>
    </w:p>
    <w:p w14:paraId="3A244487" w14:textId="77777777" w:rsidR="007960A8" w:rsidRDefault="00A26397">
      <w:pPr>
        <w:pBdr>
          <w:top w:val="nil"/>
          <w:left w:val="nil"/>
          <w:bottom w:val="nil"/>
          <w:right w:val="nil"/>
          <w:between w:val="nil"/>
        </w:pBdr>
        <w:ind w:left="220"/>
        <w:rPr>
          <w:color w:val="000000"/>
        </w:rPr>
      </w:pPr>
      <w:r>
        <w:rPr>
          <w:color w:val="000000"/>
        </w:rPr>
        <w:t>Insert a new clause 18B</w:t>
      </w:r>
    </w:p>
    <w:p w14:paraId="1C65CD01" w14:textId="77777777" w:rsidR="007960A8" w:rsidRDefault="007960A8">
      <w:pPr>
        <w:pBdr>
          <w:top w:val="nil"/>
          <w:left w:val="nil"/>
          <w:bottom w:val="nil"/>
          <w:right w:val="nil"/>
          <w:between w:val="nil"/>
        </w:pBdr>
        <w:spacing w:before="7"/>
        <w:rPr>
          <w:color w:val="000000"/>
        </w:rPr>
      </w:pPr>
    </w:p>
    <w:p w14:paraId="087670AA" w14:textId="77777777" w:rsidR="007960A8" w:rsidRDefault="00A26397">
      <w:pPr>
        <w:pBdr>
          <w:top w:val="nil"/>
          <w:left w:val="nil"/>
          <w:bottom w:val="nil"/>
          <w:right w:val="nil"/>
          <w:between w:val="nil"/>
        </w:pBdr>
        <w:spacing w:before="1" w:line="256" w:lineRule="auto"/>
        <w:ind w:left="220"/>
        <w:rPr>
          <w:color w:val="000000"/>
        </w:rPr>
      </w:pPr>
      <w:r>
        <w:rPr>
          <w:color w:val="000000"/>
        </w:rPr>
        <w:t>This clause is to incorporate MoD special terms and conditions in the form of DEFCONs and DEFORMs as detailed at </w:t>
      </w:r>
      <w:hyperlink r:id="rId12">
        <w:r>
          <w:rPr>
            <w:color w:val="0563C1"/>
            <w:u w:val="single"/>
          </w:rPr>
          <w:t>https://www.gov.uk/guidance/knowledge-in-defence-kid</w:t>
        </w:r>
      </w:hyperlink>
      <w:r>
        <w:rPr>
          <w:color w:val="000000"/>
        </w:rPr>
        <w:t xml:space="preserve">  </w:t>
      </w:r>
    </w:p>
    <w:p w14:paraId="42CCE04E" w14:textId="77777777" w:rsidR="007960A8" w:rsidRDefault="007960A8">
      <w:pPr>
        <w:pBdr>
          <w:top w:val="nil"/>
          <w:left w:val="nil"/>
          <w:bottom w:val="nil"/>
          <w:right w:val="nil"/>
          <w:between w:val="nil"/>
        </w:pBdr>
        <w:rPr>
          <w:color w:val="000000"/>
          <w:sz w:val="24"/>
          <w:szCs w:val="24"/>
        </w:rPr>
      </w:pPr>
    </w:p>
    <w:p w14:paraId="48C5F32B" w14:textId="77777777" w:rsidR="007960A8" w:rsidRDefault="007960A8">
      <w:pPr>
        <w:pBdr>
          <w:top w:val="nil"/>
          <w:left w:val="nil"/>
          <w:bottom w:val="nil"/>
          <w:right w:val="nil"/>
          <w:between w:val="nil"/>
        </w:pBdr>
        <w:spacing w:before="9"/>
        <w:rPr>
          <w:color w:val="000000"/>
          <w:sz w:val="20"/>
          <w:szCs w:val="20"/>
        </w:rPr>
      </w:pPr>
    </w:p>
    <w:p w14:paraId="6D0E827F" w14:textId="77777777" w:rsidR="007960A8" w:rsidRDefault="00A26397">
      <w:pPr>
        <w:pStyle w:val="Heading1"/>
        <w:spacing w:before="1"/>
        <w:ind w:firstLine="220"/>
      </w:pPr>
      <w:r>
        <w:t>Option Z16 – Change of Control</w:t>
      </w:r>
    </w:p>
    <w:p w14:paraId="60B14615" w14:textId="77777777" w:rsidR="007960A8" w:rsidRDefault="007960A8"/>
    <w:p w14:paraId="0BDA8EE4" w14:textId="77777777" w:rsidR="007960A8" w:rsidRDefault="00A26397">
      <w:pPr>
        <w:ind w:left="142" w:firstLine="78"/>
      </w:pPr>
      <w:r>
        <w:t>Insert new clauses:</w:t>
      </w:r>
    </w:p>
    <w:p w14:paraId="5AA86C96" w14:textId="77777777" w:rsidR="007960A8" w:rsidRDefault="007960A8">
      <w:pPr>
        <w:ind w:left="142"/>
      </w:pPr>
    </w:p>
    <w:p w14:paraId="0A5A9355" w14:textId="77777777" w:rsidR="007960A8" w:rsidRDefault="00A26397">
      <w:pPr>
        <w:ind w:left="220"/>
      </w:pPr>
      <w:r>
        <w:t xml:space="preserve">91A.1 The </w:t>
      </w:r>
      <w:r>
        <w:rPr>
          <w:i/>
          <w:iCs/>
        </w:rPr>
        <w:t xml:space="preserve">Service Provider </w:t>
      </w:r>
      <w:r>
        <w:t xml:space="preserve">notifies the </w:t>
      </w:r>
      <w:r>
        <w:rPr>
          <w:i/>
          <w:iCs/>
        </w:rPr>
        <w:t>Client</w:t>
      </w:r>
      <w:r>
        <w:t xml:space="preserve"> and the </w:t>
      </w:r>
      <w:r>
        <w:rPr>
          <w:i/>
          <w:iCs/>
        </w:rPr>
        <w:t>Client’s Agent/Service Manager</w:t>
      </w:r>
      <w:r>
        <w:t xml:space="preserve"> immediately in writing and as soon as the </w:t>
      </w:r>
      <w:r>
        <w:rPr>
          <w:i/>
          <w:iCs/>
        </w:rPr>
        <w:t>Service Provider</w:t>
      </w:r>
      <w:r>
        <w:t xml:space="preserve"> is aware (or ought reasonably to be aware) that it is anticipating, undergoing, undergoes or has undergone a Change of Control and provided such notification does not contravene any Law. The </w:t>
      </w:r>
      <w:r>
        <w:rPr>
          <w:i/>
          <w:iCs/>
        </w:rPr>
        <w:t>Service Provider</w:t>
      </w:r>
      <w:r>
        <w:t xml:space="preserve"> ensures that any notification sets out full det</w:t>
      </w:r>
      <w:r>
        <w:t>ails of the Change of Control including the circumstances suggesting and/or explaining the Change of Control.</w:t>
      </w:r>
    </w:p>
    <w:p w14:paraId="4FD2D961" w14:textId="77777777" w:rsidR="007960A8" w:rsidRDefault="007960A8">
      <w:pPr>
        <w:ind w:left="142"/>
      </w:pPr>
    </w:p>
    <w:p w14:paraId="66EA2C3D" w14:textId="77777777" w:rsidR="007960A8" w:rsidRDefault="00A26397">
      <w:pPr>
        <w:ind w:left="220"/>
      </w:pPr>
      <w:r>
        <w:t xml:space="preserve">91A.2 The </w:t>
      </w:r>
      <w:r>
        <w:rPr>
          <w:i/>
          <w:iCs/>
        </w:rPr>
        <w:t xml:space="preserve">Client </w:t>
      </w:r>
      <w:r>
        <w:t xml:space="preserve">may terminate the </w:t>
      </w:r>
      <w:r>
        <w:rPr>
          <w:i/>
          <w:iCs/>
        </w:rPr>
        <w:t xml:space="preserve">Service Provider’s </w:t>
      </w:r>
      <w:r>
        <w:t xml:space="preserve">obligation to Provide the </w:t>
      </w:r>
      <w:r>
        <w:rPr>
          <w:i/>
          <w:iCs/>
        </w:rPr>
        <w:t>service</w:t>
      </w:r>
      <w:r>
        <w:t xml:space="preserve"> (which shall take effect as termination under reason R11 </w:t>
      </w:r>
      <w:r>
        <w:t>if the NEC4 Facilities Management Contract is being used or 90.3 Reason 2 if the NEC4 Facilities Management Short Contract is being used) within six months from</w:t>
      </w:r>
    </w:p>
    <w:p w14:paraId="40AFFD5F" w14:textId="77777777" w:rsidR="007960A8" w:rsidRDefault="007960A8">
      <w:pPr>
        <w:ind w:left="142"/>
      </w:pPr>
    </w:p>
    <w:p w14:paraId="3A97FDDA" w14:textId="77777777" w:rsidR="007960A8" w:rsidRDefault="00A26397">
      <w:pPr>
        <w:numPr>
          <w:ilvl w:val="0"/>
          <w:numId w:val="61"/>
        </w:numPr>
        <w:pBdr>
          <w:top w:val="nil"/>
          <w:left w:val="nil"/>
          <w:bottom w:val="nil"/>
          <w:right w:val="nil"/>
          <w:between w:val="nil"/>
        </w:pBdr>
        <w:ind w:left="709"/>
        <w:rPr>
          <w:color w:val="000000"/>
        </w:rPr>
      </w:pPr>
      <w:r>
        <w:rPr>
          <w:color w:val="000000"/>
        </w:rPr>
        <w:t>being notified in writing that a Change of Control is anticipated or is in contemplation or has occurred; or</w:t>
      </w:r>
    </w:p>
    <w:p w14:paraId="73F273F3" w14:textId="77777777" w:rsidR="007960A8" w:rsidRDefault="007960A8">
      <w:pPr>
        <w:pBdr>
          <w:top w:val="nil"/>
          <w:left w:val="nil"/>
          <w:bottom w:val="nil"/>
          <w:right w:val="nil"/>
          <w:between w:val="nil"/>
        </w:pBdr>
        <w:ind w:left="709"/>
        <w:rPr>
          <w:color w:val="000000"/>
        </w:rPr>
      </w:pPr>
    </w:p>
    <w:p w14:paraId="375736BA" w14:textId="77777777" w:rsidR="007960A8" w:rsidRDefault="00A26397">
      <w:pPr>
        <w:numPr>
          <w:ilvl w:val="0"/>
          <w:numId w:val="61"/>
        </w:numPr>
        <w:pBdr>
          <w:top w:val="nil"/>
          <w:left w:val="nil"/>
          <w:bottom w:val="nil"/>
          <w:right w:val="nil"/>
          <w:between w:val="nil"/>
        </w:pBdr>
        <w:ind w:left="709"/>
        <w:rPr>
          <w:color w:val="000000"/>
        </w:rPr>
      </w:pPr>
      <w:r>
        <w:rPr>
          <w:color w:val="000000"/>
        </w:rPr>
        <w:t xml:space="preserve">where no notification has been made, the date that the </w:t>
      </w:r>
      <w:r>
        <w:rPr>
          <w:i/>
          <w:iCs/>
          <w:color w:val="000000"/>
        </w:rPr>
        <w:t>Client</w:t>
      </w:r>
      <w:r>
        <w:rPr>
          <w:color w:val="000000"/>
        </w:rPr>
        <w:t xml:space="preserve"> becomes aware that a Change of Control is anticipated or is in contemplation or has </w:t>
      </w:r>
      <w:r>
        <w:rPr>
          <w:color w:val="000000"/>
        </w:rPr>
        <w:t>occurred, but shall not be permitted to terminate where an approval was granted prior to the Change of Control.</w:t>
      </w:r>
    </w:p>
    <w:p w14:paraId="27DB4461" w14:textId="77777777" w:rsidR="007960A8" w:rsidRDefault="007960A8">
      <w:pPr>
        <w:pStyle w:val="Heading1"/>
        <w:spacing w:before="1"/>
        <w:ind w:firstLine="220"/>
      </w:pPr>
    </w:p>
    <w:p w14:paraId="21DB09AB" w14:textId="77777777" w:rsidR="007960A8" w:rsidRDefault="00A26397">
      <w:pPr>
        <w:pStyle w:val="Heading1"/>
        <w:spacing w:before="1"/>
        <w:ind w:firstLine="220"/>
      </w:pPr>
      <w:r>
        <w:t>Option Z17 – Embarrassment, Bringing the Client into Disrepute or Diminishing Public Trust</w:t>
      </w:r>
    </w:p>
    <w:p w14:paraId="6B0EA316" w14:textId="77777777" w:rsidR="007960A8" w:rsidRDefault="007960A8"/>
    <w:p w14:paraId="2B936526" w14:textId="77777777" w:rsidR="007960A8" w:rsidRDefault="00A26397">
      <w:pPr>
        <w:ind w:left="1004" w:hanging="720"/>
      </w:pPr>
      <w:r>
        <w:t>91A.4</w:t>
      </w:r>
      <w:r>
        <w:tab/>
        <w:t xml:space="preserve">The </w:t>
      </w:r>
      <w:r>
        <w:rPr>
          <w:i/>
          <w:iCs/>
        </w:rPr>
        <w:t xml:space="preserve">Client </w:t>
      </w:r>
      <w:r>
        <w:t xml:space="preserve">may terminate the </w:t>
      </w:r>
      <w:r>
        <w:rPr>
          <w:i/>
          <w:iCs/>
        </w:rPr>
        <w:t>Service Provider</w:t>
      </w:r>
      <w:r>
        <w:rPr>
          <w:i/>
          <w:iCs/>
        </w:rPr>
        <w:t>’s</w:t>
      </w:r>
      <w:r>
        <w:t xml:space="preserve"> obligation to Provide the </w:t>
      </w:r>
      <w:r>
        <w:rPr>
          <w:i/>
          <w:iCs/>
        </w:rPr>
        <w:t>service</w:t>
      </w:r>
      <w:r>
        <w:t xml:space="preserve"> where in the reasonable opinion of the </w:t>
      </w:r>
      <w:r>
        <w:rPr>
          <w:i/>
          <w:iCs/>
        </w:rPr>
        <w:t>Client</w:t>
      </w:r>
      <w:r>
        <w:t xml:space="preserve"> the </w:t>
      </w:r>
      <w:r>
        <w:rPr>
          <w:i/>
          <w:iCs/>
        </w:rPr>
        <w:t>Service Provider</w:t>
      </w:r>
      <w:r>
        <w:t xml:space="preserve"> or its subcontractors embarrass the </w:t>
      </w:r>
      <w:r>
        <w:rPr>
          <w:i/>
          <w:iCs/>
        </w:rPr>
        <w:t xml:space="preserve">Client, </w:t>
      </w:r>
      <w:r>
        <w:t>bring the</w:t>
      </w:r>
      <w:r>
        <w:rPr>
          <w:i/>
          <w:iCs/>
        </w:rPr>
        <w:t xml:space="preserve"> Client </w:t>
      </w:r>
      <w:r>
        <w:t xml:space="preserve">into disrepute or diminish public trust in the </w:t>
      </w:r>
      <w:r>
        <w:rPr>
          <w:i/>
          <w:iCs/>
        </w:rPr>
        <w:t>Client</w:t>
      </w:r>
      <w:r>
        <w:t>. Such termination shall take effect a</w:t>
      </w:r>
      <w:r>
        <w:t xml:space="preserve">s termination: </w:t>
      </w:r>
    </w:p>
    <w:p w14:paraId="509C3AD8" w14:textId="77777777" w:rsidR="007960A8" w:rsidRDefault="007960A8">
      <w:pPr>
        <w:ind w:left="284"/>
      </w:pPr>
    </w:p>
    <w:p w14:paraId="148A5AB8" w14:textId="77777777" w:rsidR="007960A8" w:rsidRDefault="00A26397">
      <w:pPr>
        <w:numPr>
          <w:ilvl w:val="0"/>
          <w:numId w:val="91"/>
        </w:numPr>
        <w:pBdr>
          <w:top w:val="nil"/>
          <w:left w:val="nil"/>
          <w:bottom w:val="nil"/>
          <w:right w:val="nil"/>
          <w:between w:val="nil"/>
        </w:pBdr>
        <w:rPr>
          <w:color w:val="000000"/>
        </w:rPr>
      </w:pPr>
      <w:r>
        <w:rPr>
          <w:color w:val="000000"/>
        </w:rPr>
        <w:t xml:space="preserve">under reason R11 if the NEC4 Facilities Management Contract is being used, save that the </w:t>
      </w:r>
      <w:r>
        <w:rPr>
          <w:i/>
          <w:iCs/>
          <w:color w:val="000000"/>
        </w:rPr>
        <w:t>Service Provider</w:t>
      </w:r>
      <w:r>
        <w:rPr>
          <w:color w:val="000000"/>
        </w:rPr>
        <w:t xml:space="preserve"> will not be entitled to the amounts otherwise due on termination listed in 93.1 (A1); or </w:t>
      </w:r>
    </w:p>
    <w:p w14:paraId="1AC70E0D" w14:textId="77777777" w:rsidR="007960A8" w:rsidRDefault="007960A8">
      <w:pPr>
        <w:pBdr>
          <w:top w:val="nil"/>
          <w:left w:val="nil"/>
          <w:bottom w:val="nil"/>
          <w:right w:val="nil"/>
          <w:between w:val="nil"/>
        </w:pBdr>
        <w:ind w:left="1004"/>
        <w:rPr>
          <w:color w:val="000000"/>
        </w:rPr>
      </w:pPr>
    </w:p>
    <w:p w14:paraId="6172CDF4" w14:textId="77777777" w:rsidR="007960A8" w:rsidRDefault="00A26397">
      <w:pPr>
        <w:numPr>
          <w:ilvl w:val="0"/>
          <w:numId w:val="91"/>
        </w:numPr>
        <w:pBdr>
          <w:top w:val="nil"/>
          <w:left w:val="nil"/>
          <w:bottom w:val="nil"/>
          <w:right w:val="nil"/>
          <w:between w:val="nil"/>
        </w:pBdr>
      </w:pPr>
      <w:r>
        <w:rPr>
          <w:color w:val="000000"/>
        </w:rPr>
        <w:t xml:space="preserve">under 90.3 Reason 2 if the NEC4 Facilities Management Short Contract is being used, save that the </w:t>
      </w:r>
      <w:r>
        <w:rPr>
          <w:i/>
          <w:iCs/>
          <w:color w:val="000000"/>
        </w:rPr>
        <w:t>Service Provider</w:t>
      </w:r>
      <w:r>
        <w:rPr>
          <w:color w:val="000000"/>
        </w:rPr>
        <w:t xml:space="preserve"> will not be entitled to the amounts due on termination listed in 92.1.</w:t>
      </w:r>
    </w:p>
    <w:p w14:paraId="0C54038D" w14:textId="77777777" w:rsidR="007960A8" w:rsidRDefault="007960A8">
      <w:pPr>
        <w:pStyle w:val="Heading1"/>
        <w:spacing w:before="1"/>
        <w:ind w:firstLine="220"/>
      </w:pPr>
    </w:p>
    <w:p w14:paraId="0E190002" w14:textId="77777777" w:rsidR="007960A8" w:rsidRDefault="00A26397">
      <w:pPr>
        <w:pStyle w:val="Heading1"/>
        <w:spacing w:before="1"/>
        <w:ind w:firstLine="220"/>
      </w:pPr>
      <w:r>
        <w:t>Option Z18 – Records, audit access and open book data</w:t>
      </w:r>
    </w:p>
    <w:p w14:paraId="702200A6" w14:textId="77777777" w:rsidR="007960A8" w:rsidRDefault="007960A8"/>
    <w:p w14:paraId="637FDBC9" w14:textId="77777777" w:rsidR="007960A8" w:rsidRDefault="00A26397">
      <w:pPr>
        <w:ind w:left="284"/>
      </w:pPr>
      <w:r>
        <w:t>Insert new clauses:</w:t>
      </w:r>
    </w:p>
    <w:p w14:paraId="3B1F950C" w14:textId="77777777" w:rsidR="007960A8" w:rsidRDefault="007960A8">
      <w:pPr>
        <w:ind w:left="284"/>
      </w:pPr>
    </w:p>
    <w:p w14:paraId="45A5BDD5" w14:textId="77777777" w:rsidR="007960A8" w:rsidRDefault="00A26397">
      <w:pPr>
        <w:ind w:left="284"/>
      </w:pPr>
      <w:r>
        <w:t xml:space="preserve">27B.1 The </w:t>
      </w:r>
      <w:r>
        <w:rPr>
          <w:i/>
          <w:iCs/>
        </w:rPr>
        <w:t>Service Provider</w:t>
      </w:r>
      <w:r>
        <w:t xml:space="preserve"> keeps and maintains for the</w:t>
      </w:r>
      <w:r>
        <w:rPr>
          <w:i/>
          <w:iCs/>
        </w:rPr>
        <w:t xml:space="preserve"> period for retention</w:t>
      </w:r>
      <w:r>
        <w:t xml:space="preserve"> full and accurate records and accounts of the operation of this contract including the </w:t>
      </w:r>
      <w:r>
        <w:rPr>
          <w:i/>
          <w:iCs/>
        </w:rPr>
        <w:t>service</w:t>
      </w:r>
      <w:r>
        <w:t xml:space="preserve"> provided </w:t>
      </w:r>
      <w:r>
        <w:t xml:space="preserve">under it, any subcontracts and the amounts paid by the </w:t>
      </w:r>
      <w:r>
        <w:rPr>
          <w:i/>
          <w:iCs/>
        </w:rPr>
        <w:t>Client</w:t>
      </w:r>
      <w:r>
        <w:t>.</w:t>
      </w:r>
    </w:p>
    <w:p w14:paraId="0270715E" w14:textId="77777777" w:rsidR="007960A8" w:rsidRDefault="007960A8">
      <w:pPr>
        <w:ind w:left="284"/>
      </w:pPr>
    </w:p>
    <w:p w14:paraId="2EB9E696" w14:textId="77777777" w:rsidR="007960A8" w:rsidRDefault="00A26397">
      <w:pPr>
        <w:ind w:left="284"/>
      </w:pPr>
      <w:r>
        <w:t xml:space="preserve">27B.2 The </w:t>
      </w:r>
      <w:r>
        <w:rPr>
          <w:i/>
          <w:iCs/>
        </w:rPr>
        <w:t>Service Provider</w:t>
      </w:r>
    </w:p>
    <w:p w14:paraId="2CCFCE41" w14:textId="77777777" w:rsidR="007960A8" w:rsidRDefault="007960A8">
      <w:pPr>
        <w:ind w:left="284"/>
      </w:pPr>
    </w:p>
    <w:p w14:paraId="3B286237" w14:textId="77777777" w:rsidR="007960A8" w:rsidRDefault="00A26397">
      <w:pPr>
        <w:numPr>
          <w:ilvl w:val="0"/>
          <w:numId w:val="62"/>
        </w:numPr>
        <w:pBdr>
          <w:top w:val="nil"/>
          <w:left w:val="nil"/>
          <w:bottom w:val="nil"/>
          <w:right w:val="nil"/>
          <w:between w:val="nil"/>
        </w:pBdr>
        <w:rPr>
          <w:color w:val="000000"/>
        </w:rPr>
      </w:pPr>
      <w:r>
        <w:rPr>
          <w:color w:val="000000"/>
        </w:rPr>
        <w:t>keeps the records and accounts referred to in clause 27B.1 in accordance with Law</w:t>
      </w:r>
    </w:p>
    <w:p w14:paraId="174CA037" w14:textId="77777777" w:rsidR="007960A8" w:rsidRDefault="007960A8">
      <w:pPr>
        <w:pBdr>
          <w:top w:val="nil"/>
          <w:left w:val="nil"/>
          <w:bottom w:val="nil"/>
          <w:right w:val="nil"/>
          <w:between w:val="nil"/>
        </w:pBdr>
        <w:ind w:left="1004"/>
        <w:rPr>
          <w:color w:val="000000"/>
        </w:rPr>
      </w:pPr>
    </w:p>
    <w:p w14:paraId="71AB155A" w14:textId="77777777" w:rsidR="007960A8" w:rsidRDefault="00A26397">
      <w:pPr>
        <w:numPr>
          <w:ilvl w:val="0"/>
          <w:numId w:val="62"/>
        </w:numPr>
        <w:pBdr>
          <w:top w:val="nil"/>
          <w:left w:val="nil"/>
          <w:bottom w:val="nil"/>
          <w:right w:val="nil"/>
          <w:between w:val="nil"/>
        </w:pBdr>
        <w:rPr>
          <w:color w:val="000000"/>
        </w:rPr>
      </w:pPr>
      <w:r>
        <w:rPr>
          <w:color w:val="000000"/>
        </w:rPr>
        <w:t xml:space="preserve">affords any Auditor access to the records and accounts referred to in clause 27B.1 at the </w:t>
      </w:r>
      <w:r>
        <w:rPr>
          <w:i/>
          <w:iCs/>
          <w:color w:val="000000"/>
        </w:rPr>
        <w:t>Service Provider’s</w:t>
      </w:r>
      <w:r>
        <w:rPr>
          <w:color w:val="000000"/>
        </w:rPr>
        <w:t xml:space="preserve"> premises and/or provides records and accounts (including copies of the </w:t>
      </w:r>
      <w:r>
        <w:rPr>
          <w:i/>
          <w:iCs/>
          <w:color w:val="000000"/>
        </w:rPr>
        <w:t>Service Provider’s</w:t>
      </w:r>
      <w:r>
        <w:rPr>
          <w:color w:val="000000"/>
        </w:rPr>
        <w:t xml:space="preserve"> published accounts) or copies of the same, as may be requ</w:t>
      </w:r>
      <w:r>
        <w:rPr>
          <w:color w:val="000000"/>
        </w:rPr>
        <w:t xml:space="preserve">ired by any Auditor from time to time during the </w:t>
      </w:r>
      <w:r>
        <w:rPr>
          <w:i/>
          <w:iCs/>
          <w:color w:val="000000"/>
        </w:rPr>
        <w:t xml:space="preserve">Service Provider </w:t>
      </w:r>
      <w:r>
        <w:rPr>
          <w:color w:val="000000"/>
        </w:rPr>
        <w:t xml:space="preserve">providing the </w:t>
      </w:r>
      <w:r>
        <w:rPr>
          <w:i/>
          <w:iCs/>
          <w:color w:val="000000"/>
        </w:rPr>
        <w:t>service</w:t>
      </w:r>
      <w:r>
        <w:rPr>
          <w:color w:val="000000"/>
        </w:rPr>
        <w:t xml:space="preserve"> and the liability period under the contract  in order that the Auditor may carry out an inspection to assess compliance by the </w:t>
      </w:r>
      <w:r>
        <w:rPr>
          <w:i/>
          <w:iCs/>
          <w:color w:val="000000"/>
        </w:rPr>
        <w:t>Service Provider</w:t>
      </w:r>
      <w:r>
        <w:rPr>
          <w:color w:val="000000"/>
        </w:rPr>
        <w:t xml:space="preserve"> and/or its Subcontractor</w:t>
      </w:r>
      <w:r>
        <w:rPr>
          <w:color w:val="000000"/>
        </w:rPr>
        <w:t xml:space="preserve">s of any of the </w:t>
      </w:r>
      <w:r>
        <w:rPr>
          <w:i/>
          <w:iCs/>
          <w:color w:val="000000"/>
        </w:rPr>
        <w:t>Service Provider’s</w:t>
      </w:r>
      <w:r>
        <w:rPr>
          <w:color w:val="000000"/>
        </w:rPr>
        <w:t xml:space="preserve"> obligations under this contract including in order to: </w:t>
      </w:r>
    </w:p>
    <w:p w14:paraId="4B5F0073" w14:textId="77777777" w:rsidR="007960A8" w:rsidRDefault="007960A8">
      <w:pPr>
        <w:pBdr>
          <w:top w:val="nil"/>
          <w:left w:val="nil"/>
          <w:bottom w:val="nil"/>
          <w:right w:val="nil"/>
          <w:between w:val="nil"/>
        </w:pBdr>
        <w:ind w:left="940"/>
        <w:rPr>
          <w:color w:val="000000"/>
        </w:rPr>
      </w:pPr>
    </w:p>
    <w:p w14:paraId="16A12534"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verify the accuracy of any amounts payable by the </w:t>
      </w:r>
      <w:r>
        <w:rPr>
          <w:i/>
          <w:iCs/>
          <w:color w:val="000000"/>
        </w:rPr>
        <w:t>Client</w:t>
      </w:r>
      <w:r>
        <w:rPr>
          <w:color w:val="000000"/>
        </w:rPr>
        <w:t xml:space="preserve"> under this contract (and proposed or actual variations to them in accordance with this contract)</w:t>
      </w:r>
    </w:p>
    <w:p w14:paraId="3F1D052C" w14:textId="77777777" w:rsidR="007960A8" w:rsidRDefault="007960A8">
      <w:pPr>
        <w:pBdr>
          <w:top w:val="nil"/>
          <w:left w:val="nil"/>
          <w:bottom w:val="nil"/>
          <w:right w:val="nil"/>
          <w:between w:val="nil"/>
        </w:pBdr>
        <w:ind w:left="1418"/>
        <w:rPr>
          <w:color w:val="000000"/>
        </w:rPr>
      </w:pPr>
    </w:p>
    <w:p w14:paraId="575C352F"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verify the costs of the </w:t>
      </w:r>
      <w:r>
        <w:rPr>
          <w:i/>
          <w:iCs/>
          <w:color w:val="000000"/>
        </w:rPr>
        <w:t>Service Provider</w:t>
      </w:r>
      <w:r>
        <w:rPr>
          <w:color w:val="000000"/>
        </w:rPr>
        <w:t xml:space="preserve"> (including the costs of all Subcontractors and any third party suppliers) in connection with providing the </w:t>
      </w:r>
      <w:r>
        <w:rPr>
          <w:i/>
          <w:iCs/>
          <w:color w:val="000000"/>
        </w:rPr>
        <w:t>service</w:t>
      </w:r>
    </w:p>
    <w:p w14:paraId="077141DE" w14:textId="77777777" w:rsidR="007960A8" w:rsidRDefault="007960A8">
      <w:pPr>
        <w:pBdr>
          <w:top w:val="nil"/>
          <w:left w:val="nil"/>
          <w:bottom w:val="nil"/>
          <w:right w:val="nil"/>
          <w:between w:val="nil"/>
        </w:pBdr>
        <w:ind w:left="1418"/>
        <w:rPr>
          <w:color w:val="000000"/>
        </w:rPr>
      </w:pPr>
    </w:p>
    <w:p w14:paraId="1EF88372" w14:textId="77777777" w:rsidR="007960A8" w:rsidRDefault="00A26397">
      <w:pPr>
        <w:numPr>
          <w:ilvl w:val="0"/>
          <w:numId w:val="62"/>
        </w:numPr>
        <w:pBdr>
          <w:top w:val="nil"/>
          <w:left w:val="nil"/>
          <w:bottom w:val="nil"/>
          <w:right w:val="nil"/>
          <w:between w:val="nil"/>
        </w:pBdr>
        <w:ind w:left="1418"/>
        <w:rPr>
          <w:color w:val="000000"/>
        </w:rPr>
      </w:pPr>
      <w:r>
        <w:rPr>
          <w:color w:val="000000"/>
        </w:rPr>
        <w:t>identify or investigate an actual or suspected Prohibited Act, impropriety or accounting mistakes o</w:t>
      </w:r>
      <w:r>
        <w:rPr>
          <w:color w:val="000000"/>
        </w:rPr>
        <w:t xml:space="preserve">r any breach or threatened breach of security and in these circumstances the </w:t>
      </w:r>
      <w:r>
        <w:rPr>
          <w:i/>
          <w:iCs/>
          <w:color w:val="000000"/>
        </w:rPr>
        <w:t xml:space="preserve">Client </w:t>
      </w:r>
      <w:r>
        <w:rPr>
          <w:color w:val="000000"/>
        </w:rPr>
        <w:t xml:space="preserve">has no obligation to inform the </w:t>
      </w:r>
      <w:r>
        <w:rPr>
          <w:i/>
          <w:iCs/>
          <w:color w:val="000000"/>
        </w:rPr>
        <w:t>Service Provider</w:t>
      </w:r>
      <w:r>
        <w:rPr>
          <w:color w:val="000000"/>
        </w:rPr>
        <w:t xml:space="preserve"> of the purpose or objective of its investigations</w:t>
      </w:r>
    </w:p>
    <w:p w14:paraId="3ED75CD1" w14:textId="77777777" w:rsidR="007960A8" w:rsidRDefault="007960A8">
      <w:pPr>
        <w:pBdr>
          <w:top w:val="nil"/>
          <w:left w:val="nil"/>
          <w:bottom w:val="nil"/>
          <w:right w:val="nil"/>
          <w:between w:val="nil"/>
        </w:pBdr>
        <w:ind w:left="1418"/>
        <w:rPr>
          <w:color w:val="000000"/>
        </w:rPr>
      </w:pPr>
    </w:p>
    <w:p w14:paraId="6710A4CD"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obtain such information as is necessary to fulfil the </w:t>
      </w:r>
      <w:r>
        <w:rPr>
          <w:i/>
          <w:iCs/>
          <w:color w:val="000000"/>
        </w:rPr>
        <w:t>Client’s</w:t>
      </w:r>
      <w:r>
        <w:rPr>
          <w:color w:val="000000"/>
        </w:rPr>
        <w:t xml:space="preserve"> obligatio</w:t>
      </w:r>
      <w:r>
        <w:rPr>
          <w:color w:val="000000"/>
        </w:rPr>
        <w:t>ns to supply information for parliamentary, ministerial, judicial or administrative purposes including the supply of information to the Comptroller and Auditor General</w:t>
      </w:r>
    </w:p>
    <w:p w14:paraId="048F3560" w14:textId="77777777" w:rsidR="007960A8" w:rsidRDefault="007960A8">
      <w:pPr>
        <w:pBdr>
          <w:top w:val="nil"/>
          <w:left w:val="nil"/>
          <w:bottom w:val="nil"/>
          <w:right w:val="nil"/>
          <w:between w:val="nil"/>
        </w:pBdr>
        <w:ind w:left="1418"/>
        <w:rPr>
          <w:color w:val="000000"/>
        </w:rPr>
      </w:pPr>
    </w:p>
    <w:p w14:paraId="04FF62BE" w14:textId="77777777" w:rsidR="007960A8" w:rsidRDefault="00A26397">
      <w:pPr>
        <w:numPr>
          <w:ilvl w:val="0"/>
          <w:numId w:val="62"/>
        </w:numPr>
        <w:pBdr>
          <w:top w:val="nil"/>
          <w:left w:val="nil"/>
          <w:bottom w:val="nil"/>
          <w:right w:val="nil"/>
          <w:between w:val="nil"/>
        </w:pBdr>
        <w:ind w:left="1418"/>
        <w:rPr>
          <w:color w:val="000000"/>
        </w:rPr>
      </w:pPr>
      <w:r>
        <w:rPr>
          <w:color w:val="000000"/>
        </w:rPr>
        <w:t>enable the National Audit Office to carry out an examination pursuant to Section 6(1) o</w:t>
      </w:r>
      <w:r>
        <w:rPr>
          <w:color w:val="000000"/>
        </w:rPr>
        <w:t xml:space="preserve">f the National Audit Act 1983 of the economy, efficiency and effectiveness with which the </w:t>
      </w:r>
      <w:r>
        <w:rPr>
          <w:i/>
          <w:iCs/>
          <w:color w:val="000000"/>
        </w:rPr>
        <w:t>Client</w:t>
      </w:r>
      <w:r>
        <w:rPr>
          <w:color w:val="000000"/>
        </w:rPr>
        <w:t xml:space="preserve"> has used its resources</w:t>
      </w:r>
    </w:p>
    <w:p w14:paraId="547BD5B5" w14:textId="77777777" w:rsidR="007960A8" w:rsidRDefault="007960A8">
      <w:pPr>
        <w:pBdr>
          <w:top w:val="nil"/>
          <w:left w:val="nil"/>
          <w:bottom w:val="nil"/>
          <w:right w:val="nil"/>
          <w:between w:val="nil"/>
        </w:pBdr>
        <w:ind w:left="1418"/>
        <w:rPr>
          <w:color w:val="000000"/>
        </w:rPr>
      </w:pPr>
    </w:p>
    <w:p w14:paraId="2DC273EC" w14:textId="77777777" w:rsidR="007960A8" w:rsidRDefault="00A26397">
      <w:pPr>
        <w:numPr>
          <w:ilvl w:val="0"/>
          <w:numId w:val="62"/>
        </w:numPr>
        <w:pBdr>
          <w:top w:val="nil"/>
          <w:left w:val="nil"/>
          <w:bottom w:val="nil"/>
          <w:right w:val="nil"/>
          <w:between w:val="nil"/>
        </w:pBdr>
        <w:rPr>
          <w:color w:val="000000"/>
        </w:rPr>
      </w:pPr>
      <w:r>
        <w:rPr>
          <w:color w:val="000000"/>
        </w:rPr>
        <w:t>subject to the</w:t>
      </w:r>
      <w:r>
        <w:rPr>
          <w:i/>
          <w:iCs/>
          <w:color w:val="000000"/>
        </w:rPr>
        <w:t xml:space="preserve"> Service Provider’s</w:t>
      </w:r>
      <w:r>
        <w:rPr>
          <w:color w:val="000000"/>
        </w:rPr>
        <w:t xml:space="preserve"> rights in respect of Service Provider’s Confidential Information, the </w:t>
      </w:r>
      <w:r>
        <w:rPr>
          <w:i/>
          <w:iCs/>
          <w:color w:val="000000"/>
        </w:rPr>
        <w:t xml:space="preserve">Service Provider </w:t>
      </w:r>
      <w:r>
        <w:rPr>
          <w:color w:val="000000"/>
        </w:rPr>
        <w:t>provides the Auditor on demand with all reasonable co-operation and assistance in respect of</w:t>
      </w:r>
    </w:p>
    <w:p w14:paraId="17E5DF2E" w14:textId="77777777" w:rsidR="007960A8" w:rsidRDefault="007960A8">
      <w:pPr>
        <w:pBdr>
          <w:top w:val="nil"/>
          <w:left w:val="nil"/>
          <w:bottom w:val="nil"/>
          <w:right w:val="nil"/>
          <w:between w:val="nil"/>
        </w:pBdr>
        <w:ind w:left="1004"/>
        <w:rPr>
          <w:color w:val="000000"/>
        </w:rPr>
      </w:pPr>
    </w:p>
    <w:p w14:paraId="68AFB542"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all reasonable information requested by the </w:t>
      </w:r>
      <w:r>
        <w:rPr>
          <w:i/>
          <w:iCs/>
          <w:color w:val="000000"/>
        </w:rPr>
        <w:t xml:space="preserve">Client </w:t>
      </w:r>
      <w:r>
        <w:rPr>
          <w:color w:val="000000"/>
        </w:rPr>
        <w:t>within the scope of the audit</w:t>
      </w:r>
    </w:p>
    <w:p w14:paraId="37C9A51B" w14:textId="77777777" w:rsidR="007960A8" w:rsidRDefault="007960A8">
      <w:pPr>
        <w:pBdr>
          <w:top w:val="nil"/>
          <w:left w:val="nil"/>
          <w:bottom w:val="nil"/>
          <w:right w:val="nil"/>
          <w:between w:val="nil"/>
        </w:pBdr>
        <w:ind w:left="1418"/>
        <w:rPr>
          <w:color w:val="000000"/>
        </w:rPr>
      </w:pPr>
    </w:p>
    <w:p w14:paraId="4DCFC783"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reasonable access to the </w:t>
      </w:r>
      <w:r>
        <w:rPr>
          <w:i/>
          <w:iCs/>
          <w:color w:val="000000"/>
        </w:rPr>
        <w:t>Service Areas</w:t>
      </w:r>
      <w:r>
        <w:rPr>
          <w:color w:val="000000"/>
        </w:rPr>
        <w:t xml:space="preserve"> controlled by the </w:t>
      </w:r>
      <w:r>
        <w:rPr>
          <w:i/>
          <w:iCs/>
          <w:color w:val="000000"/>
        </w:rPr>
        <w:t>Service Provider</w:t>
      </w:r>
      <w:r>
        <w:rPr>
          <w:color w:val="000000"/>
        </w:rPr>
        <w:t xml:space="preserve"> and to any </w:t>
      </w:r>
      <w:r>
        <w:rPr>
          <w:i/>
          <w:iCs/>
          <w:color w:val="000000"/>
        </w:rPr>
        <w:t>Service Provider’s</w:t>
      </w:r>
      <w:r>
        <w:rPr>
          <w:color w:val="000000"/>
        </w:rPr>
        <w:t xml:space="preserve"> equipment used to Provide the </w:t>
      </w:r>
      <w:r>
        <w:rPr>
          <w:i/>
          <w:iCs/>
          <w:color w:val="000000"/>
        </w:rPr>
        <w:t>service</w:t>
      </w:r>
    </w:p>
    <w:p w14:paraId="3725CA1A" w14:textId="77777777" w:rsidR="007960A8" w:rsidRDefault="007960A8">
      <w:pPr>
        <w:pBdr>
          <w:top w:val="nil"/>
          <w:left w:val="nil"/>
          <w:bottom w:val="nil"/>
          <w:right w:val="nil"/>
          <w:between w:val="nil"/>
        </w:pBdr>
        <w:ind w:left="1418"/>
        <w:rPr>
          <w:color w:val="000000"/>
        </w:rPr>
      </w:pPr>
    </w:p>
    <w:p w14:paraId="3FC7154C" w14:textId="77777777" w:rsidR="007960A8" w:rsidRDefault="00A26397">
      <w:pPr>
        <w:numPr>
          <w:ilvl w:val="0"/>
          <w:numId w:val="62"/>
        </w:numPr>
        <w:pBdr>
          <w:top w:val="nil"/>
          <w:left w:val="nil"/>
          <w:bottom w:val="nil"/>
          <w:right w:val="nil"/>
          <w:between w:val="nil"/>
        </w:pBdr>
        <w:ind w:left="1418"/>
        <w:rPr>
          <w:color w:val="000000"/>
        </w:rPr>
      </w:pPr>
      <w:r>
        <w:rPr>
          <w:color w:val="000000"/>
        </w:rPr>
        <w:t xml:space="preserve">access to the </w:t>
      </w:r>
      <w:r>
        <w:rPr>
          <w:i/>
          <w:iCs/>
          <w:color w:val="000000"/>
        </w:rPr>
        <w:t>Service Provider’s</w:t>
      </w:r>
      <w:r>
        <w:rPr>
          <w:color w:val="000000"/>
        </w:rPr>
        <w:t xml:space="preserve"> personnel.</w:t>
      </w:r>
    </w:p>
    <w:p w14:paraId="5388D3E2" w14:textId="77777777" w:rsidR="007960A8" w:rsidRDefault="007960A8">
      <w:pPr>
        <w:ind w:left="284"/>
      </w:pPr>
    </w:p>
    <w:p w14:paraId="433565AF" w14:textId="77777777" w:rsidR="007960A8" w:rsidRDefault="00A26397">
      <w:pPr>
        <w:ind w:left="284"/>
      </w:pPr>
      <w:r>
        <w:t>27B.3 The Parties bear their own respective costs and expenses incurred in respect of compliance with their obligations under</w:t>
      </w:r>
      <w:r>
        <w:t xml:space="preserve"> this clause 27A, unless the audit reveals a default by the </w:t>
      </w:r>
      <w:r>
        <w:rPr>
          <w:i/>
          <w:iCs/>
        </w:rPr>
        <w:t xml:space="preserve">Service Provider </w:t>
      </w:r>
      <w:r>
        <w:t xml:space="preserve">in which case the </w:t>
      </w:r>
      <w:r>
        <w:rPr>
          <w:i/>
          <w:iCs/>
        </w:rPr>
        <w:t>Service Provider</w:t>
      </w:r>
      <w:r>
        <w:t xml:space="preserve"> reimburses the </w:t>
      </w:r>
      <w:r>
        <w:rPr>
          <w:i/>
          <w:iCs/>
        </w:rPr>
        <w:t>Client</w:t>
      </w:r>
      <w:r>
        <w:t xml:space="preserve"> for the </w:t>
      </w:r>
      <w:r>
        <w:rPr>
          <w:i/>
          <w:iCs/>
        </w:rPr>
        <w:t>Client’s</w:t>
      </w:r>
      <w:r>
        <w:t xml:space="preserve"> reasonable costs incurred in relation to the audit.</w:t>
      </w:r>
    </w:p>
    <w:p w14:paraId="728AC995" w14:textId="77777777" w:rsidR="007960A8" w:rsidRDefault="007960A8">
      <w:pPr>
        <w:ind w:left="284"/>
      </w:pPr>
    </w:p>
    <w:p w14:paraId="51643F41" w14:textId="77777777" w:rsidR="007960A8" w:rsidRDefault="00A26397">
      <w:pPr>
        <w:ind w:left="284"/>
      </w:pPr>
      <w:r>
        <w:t xml:space="preserve">27B.4 This clause does not constitute a requirement </w:t>
      </w:r>
      <w:r>
        <w:t xml:space="preserve">or agreement for the purposes of section 6(3)(d) of the National Audit Act 1983 for the examination, certification or inspection of the accounts of the </w:t>
      </w:r>
      <w:r>
        <w:rPr>
          <w:i/>
          <w:iCs/>
        </w:rPr>
        <w:t>Service Provider</w:t>
      </w:r>
      <w:r>
        <w:t xml:space="preserve"> and the carrying out of an examination under Section 6(3)(d) of the National Audit Act </w:t>
      </w:r>
      <w:r>
        <w:t xml:space="preserve">1983 in relation to the </w:t>
      </w:r>
      <w:r>
        <w:rPr>
          <w:i/>
          <w:iCs/>
        </w:rPr>
        <w:t>Service Provider</w:t>
      </w:r>
      <w:r>
        <w:t xml:space="preserve"> is not a function exercisable under this contract.</w:t>
      </w:r>
    </w:p>
    <w:p w14:paraId="0DDB90A2" w14:textId="77777777" w:rsidR="007960A8" w:rsidRDefault="007960A8">
      <w:pPr>
        <w:pStyle w:val="Heading1"/>
        <w:spacing w:before="1"/>
        <w:ind w:firstLine="220"/>
      </w:pPr>
    </w:p>
    <w:p w14:paraId="3B485F88" w14:textId="77777777" w:rsidR="007960A8" w:rsidRDefault="00A26397">
      <w:pPr>
        <w:pStyle w:val="Heading1"/>
        <w:spacing w:before="1"/>
        <w:ind w:firstLine="220"/>
      </w:pPr>
      <w:r>
        <w:t>Option Z19 – GDPR</w:t>
      </w:r>
    </w:p>
    <w:p w14:paraId="6285C596" w14:textId="77777777" w:rsidR="007960A8" w:rsidRDefault="007960A8"/>
    <w:p w14:paraId="40F9FBE3" w14:textId="77777777" w:rsidR="007960A8" w:rsidRDefault="00A26397">
      <w:pPr>
        <w:pBdr>
          <w:top w:val="nil"/>
          <w:left w:val="nil"/>
          <w:bottom w:val="nil"/>
          <w:right w:val="nil"/>
          <w:between w:val="nil"/>
        </w:pBdr>
        <w:spacing w:before="22"/>
        <w:ind w:left="220"/>
        <w:rPr>
          <w:color w:val="000000"/>
        </w:rPr>
      </w:pPr>
      <w:r>
        <w:rPr>
          <w:color w:val="000000"/>
        </w:rPr>
        <w:t>Insert new clause Z19 as follows:</w:t>
      </w:r>
    </w:p>
    <w:p w14:paraId="5140F89F" w14:textId="77777777" w:rsidR="007960A8" w:rsidRDefault="007960A8">
      <w:pPr>
        <w:pBdr>
          <w:top w:val="nil"/>
          <w:left w:val="nil"/>
          <w:bottom w:val="nil"/>
          <w:right w:val="nil"/>
          <w:between w:val="nil"/>
        </w:pBdr>
        <w:spacing w:before="22"/>
        <w:ind w:left="220"/>
        <w:rPr>
          <w:color w:val="000000"/>
        </w:rPr>
      </w:pPr>
    </w:p>
    <w:p w14:paraId="448EDEB4" w14:textId="77777777" w:rsidR="007960A8" w:rsidRDefault="00A26397">
      <w:pPr>
        <w:pBdr>
          <w:top w:val="nil"/>
          <w:left w:val="nil"/>
          <w:bottom w:val="nil"/>
          <w:right w:val="nil"/>
          <w:between w:val="nil"/>
        </w:pBdr>
        <w:spacing w:before="1" w:line="259" w:lineRule="auto"/>
        <w:ind w:left="220"/>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38026B4B" w14:textId="77777777" w:rsidR="007960A8" w:rsidRDefault="007960A8">
      <w:pPr>
        <w:pBdr>
          <w:top w:val="nil"/>
          <w:left w:val="nil"/>
          <w:bottom w:val="nil"/>
          <w:right w:val="nil"/>
          <w:between w:val="nil"/>
        </w:pBdr>
        <w:spacing w:before="1" w:line="259" w:lineRule="auto"/>
        <w:ind w:left="220"/>
        <w:rPr>
          <w:color w:val="000000"/>
        </w:rPr>
      </w:pPr>
    </w:p>
    <w:p w14:paraId="4FDAF629" w14:textId="77777777" w:rsidR="007960A8" w:rsidRDefault="00A26397">
      <w:pPr>
        <w:pStyle w:val="Heading1"/>
        <w:ind w:firstLine="220"/>
      </w:pPr>
      <w:r>
        <w:t>Option Z20 – Cyber Essentials</w:t>
      </w:r>
    </w:p>
    <w:p w14:paraId="1E225B89" w14:textId="77777777" w:rsidR="007960A8" w:rsidRDefault="007960A8"/>
    <w:p w14:paraId="271E6C0A" w14:textId="77777777" w:rsidR="007960A8" w:rsidRDefault="00A26397">
      <w:pPr>
        <w:pBdr>
          <w:top w:val="nil"/>
          <w:left w:val="nil"/>
          <w:bottom w:val="nil"/>
          <w:right w:val="nil"/>
          <w:between w:val="nil"/>
        </w:pBdr>
        <w:spacing w:before="23"/>
        <w:ind w:left="220"/>
        <w:rPr>
          <w:color w:val="000000"/>
        </w:rPr>
      </w:pPr>
      <w:r>
        <w:rPr>
          <w:color w:val="000000"/>
        </w:rPr>
        <w:t>Insert new clause Z20 as follows:</w:t>
      </w:r>
    </w:p>
    <w:p w14:paraId="55238A3B" w14:textId="77777777" w:rsidR="007960A8" w:rsidRDefault="007960A8">
      <w:pPr>
        <w:pBdr>
          <w:top w:val="nil"/>
          <w:left w:val="nil"/>
          <w:bottom w:val="nil"/>
          <w:right w:val="nil"/>
          <w:between w:val="nil"/>
        </w:pBdr>
        <w:spacing w:before="23"/>
        <w:ind w:left="220"/>
        <w:rPr>
          <w:color w:val="000000"/>
        </w:rPr>
      </w:pPr>
    </w:p>
    <w:p w14:paraId="4F7AE807" w14:textId="77777777" w:rsidR="007960A8" w:rsidRDefault="00A26397">
      <w:pPr>
        <w:pBdr>
          <w:top w:val="nil"/>
          <w:left w:val="nil"/>
          <w:bottom w:val="nil"/>
          <w:right w:val="nil"/>
          <w:between w:val="nil"/>
        </w:pBdr>
        <w:spacing w:before="23" w:line="256" w:lineRule="auto"/>
        <w:ind w:left="220"/>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39243247" w14:textId="77777777" w:rsidR="007960A8" w:rsidRDefault="007960A8">
      <w:pPr>
        <w:pBdr>
          <w:top w:val="nil"/>
          <w:left w:val="nil"/>
          <w:bottom w:val="nil"/>
          <w:right w:val="nil"/>
          <w:between w:val="nil"/>
        </w:pBdr>
        <w:spacing w:before="23" w:line="256" w:lineRule="auto"/>
        <w:ind w:left="220"/>
        <w:rPr>
          <w:color w:val="000000"/>
        </w:rPr>
      </w:pPr>
    </w:p>
    <w:p w14:paraId="3CA9B08D" w14:textId="77777777" w:rsidR="007960A8" w:rsidRDefault="00A26397">
      <w:pPr>
        <w:pStyle w:val="Heading1"/>
        <w:ind w:firstLine="220"/>
      </w:pPr>
      <w:r>
        <w:t>Option Z21 – Modern Slavery</w:t>
      </w:r>
    </w:p>
    <w:p w14:paraId="54E6D422" w14:textId="77777777" w:rsidR="007960A8" w:rsidRDefault="007960A8"/>
    <w:p w14:paraId="3664FE0F" w14:textId="77777777" w:rsidR="007960A8" w:rsidRDefault="00A26397">
      <w:pPr>
        <w:pBdr>
          <w:top w:val="nil"/>
          <w:left w:val="nil"/>
          <w:bottom w:val="nil"/>
          <w:right w:val="nil"/>
          <w:between w:val="nil"/>
        </w:pBdr>
        <w:spacing w:before="23"/>
        <w:ind w:left="220"/>
        <w:rPr>
          <w:color w:val="000000"/>
        </w:rPr>
      </w:pPr>
      <w:r>
        <w:rPr>
          <w:color w:val="000000"/>
        </w:rPr>
        <w:t>Insert new clause Z21 as follows:</w:t>
      </w:r>
    </w:p>
    <w:p w14:paraId="5B7359E4" w14:textId="77777777" w:rsidR="007960A8" w:rsidRDefault="007960A8">
      <w:pPr>
        <w:pBdr>
          <w:top w:val="nil"/>
          <w:left w:val="nil"/>
          <w:bottom w:val="nil"/>
          <w:right w:val="nil"/>
          <w:between w:val="nil"/>
        </w:pBdr>
        <w:spacing w:before="23"/>
        <w:ind w:left="220"/>
        <w:rPr>
          <w:color w:val="000000"/>
        </w:rPr>
      </w:pPr>
    </w:p>
    <w:p w14:paraId="734C74DD"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572C37D9" w14:textId="77777777" w:rsidR="007960A8" w:rsidRDefault="007960A8">
      <w:pPr>
        <w:pBdr>
          <w:top w:val="nil"/>
          <w:left w:val="nil"/>
          <w:bottom w:val="nil"/>
          <w:right w:val="nil"/>
          <w:between w:val="nil"/>
        </w:pBdr>
        <w:spacing w:before="23" w:line="259" w:lineRule="auto"/>
        <w:ind w:left="220" w:right="478"/>
        <w:rPr>
          <w:color w:val="000000"/>
        </w:rPr>
      </w:pPr>
    </w:p>
    <w:p w14:paraId="56675985" w14:textId="77777777" w:rsidR="007960A8" w:rsidRDefault="00A26397">
      <w:pPr>
        <w:pStyle w:val="Heading1"/>
        <w:ind w:firstLine="220"/>
      </w:pPr>
      <w:r>
        <w:t>Option Z22 – Carbon Reduction</w:t>
      </w:r>
    </w:p>
    <w:p w14:paraId="55E22D6A" w14:textId="77777777" w:rsidR="007960A8" w:rsidRDefault="007960A8"/>
    <w:p w14:paraId="60F51D23" w14:textId="77777777" w:rsidR="007960A8" w:rsidRDefault="00A26397">
      <w:pPr>
        <w:pBdr>
          <w:top w:val="nil"/>
          <w:left w:val="nil"/>
          <w:bottom w:val="nil"/>
          <w:right w:val="nil"/>
          <w:between w:val="nil"/>
        </w:pBdr>
        <w:spacing w:before="23"/>
        <w:ind w:left="220"/>
        <w:rPr>
          <w:color w:val="000000"/>
        </w:rPr>
      </w:pPr>
      <w:r>
        <w:rPr>
          <w:color w:val="000000"/>
        </w:rPr>
        <w:t>Insert new clause Z22 as follows:</w:t>
      </w:r>
    </w:p>
    <w:p w14:paraId="366BBB8E" w14:textId="77777777" w:rsidR="007960A8" w:rsidRDefault="007960A8">
      <w:pPr>
        <w:pBdr>
          <w:top w:val="nil"/>
          <w:left w:val="nil"/>
          <w:bottom w:val="nil"/>
          <w:right w:val="nil"/>
          <w:between w:val="nil"/>
        </w:pBdr>
        <w:spacing w:before="23"/>
        <w:ind w:left="220"/>
        <w:rPr>
          <w:color w:val="000000"/>
        </w:rPr>
      </w:pPr>
    </w:p>
    <w:p w14:paraId="5E070961"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4EFFC36D" w14:textId="77777777" w:rsidR="007960A8" w:rsidRDefault="007960A8">
      <w:pPr>
        <w:pBdr>
          <w:top w:val="nil"/>
          <w:left w:val="nil"/>
          <w:bottom w:val="nil"/>
          <w:right w:val="nil"/>
          <w:between w:val="nil"/>
        </w:pBdr>
        <w:spacing w:before="23" w:line="259" w:lineRule="auto"/>
        <w:ind w:left="220" w:right="478"/>
        <w:rPr>
          <w:color w:val="000000"/>
        </w:rPr>
      </w:pPr>
    </w:p>
    <w:p w14:paraId="44F909BC" w14:textId="77777777" w:rsidR="007960A8" w:rsidRDefault="007960A8">
      <w:pPr>
        <w:pStyle w:val="Heading1"/>
        <w:ind w:firstLine="220"/>
      </w:pPr>
    </w:p>
    <w:p w14:paraId="20F742AC" w14:textId="77777777" w:rsidR="007960A8" w:rsidRDefault="00A26397">
      <w:pPr>
        <w:pStyle w:val="Heading1"/>
        <w:ind w:firstLine="220"/>
      </w:pPr>
      <w:r>
        <w:t>Option Z23 – Payment Spot Checks</w:t>
      </w:r>
    </w:p>
    <w:p w14:paraId="48C57E00" w14:textId="77777777" w:rsidR="007960A8" w:rsidRDefault="007960A8"/>
    <w:p w14:paraId="5B7FA4B5" w14:textId="77777777" w:rsidR="007960A8" w:rsidRDefault="00A26397">
      <w:pPr>
        <w:pBdr>
          <w:top w:val="nil"/>
          <w:left w:val="nil"/>
          <w:bottom w:val="nil"/>
          <w:right w:val="nil"/>
          <w:between w:val="nil"/>
        </w:pBdr>
        <w:spacing w:before="23"/>
        <w:ind w:left="220"/>
        <w:rPr>
          <w:color w:val="000000"/>
        </w:rPr>
      </w:pPr>
      <w:r>
        <w:rPr>
          <w:color w:val="000000"/>
        </w:rPr>
        <w:t>Insert new clause Z23 as follows:</w:t>
      </w:r>
    </w:p>
    <w:p w14:paraId="4ADEA45F" w14:textId="77777777" w:rsidR="007960A8" w:rsidRDefault="007960A8">
      <w:pPr>
        <w:pBdr>
          <w:top w:val="nil"/>
          <w:left w:val="nil"/>
          <w:bottom w:val="nil"/>
          <w:right w:val="nil"/>
          <w:between w:val="nil"/>
        </w:pBdr>
        <w:spacing w:before="23"/>
        <w:ind w:left="220"/>
        <w:rPr>
          <w:color w:val="000000"/>
        </w:rPr>
      </w:pPr>
    </w:p>
    <w:p w14:paraId="5A54AA93"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w:t>
      </w:r>
      <w:r>
        <w:rPr>
          <w:color w:val="000000"/>
        </w:rPr>
        <w:t>dule ref here]</w:t>
      </w:r>
    </w:p>
    <w:p w14:paraId="7D20AFFA" w14:textId="77777777" w:rsidR="007960A8" w:rsidRDefault="007960A8">
      <w:pPr>
        <w:pBdr>
          <w:top w:val="nil"/>
          <w:left w:val="nil"/>
          <w:bottom w:val="nil"/>
          <w:right w:val="nil"/>
          <w:between w:val="nil"/>
        </w:pBdr>
        <w:spacing w:before="23" w:line="259" w:lineRule="auto"/>
        <w:ind w:left="220" w:right="478"/>
        <w:rPr>
          <w:color w:val="000000"/>
        </w:rPr>
      </w:pPr>
    </w:p>
    <w:p w14:paraId="6A0BFD35" w14:textId="77777777" w:rsidR="007960A8" w:rsidRDefault="00A26397">
      <w:pPr>
        <w:pStyle w:val="Heading1"/>
        <w:ind w:firstLine="220"/>
      </w:pPr>
      <w:r>
        <w:t>Option Z24 – Procuring Steel</w:t>
      </w:r>
    </w:p>
    <w:p w14:paraId="68FDCFF7" w14:textId="77777777" w:rsidR="007960A8" w:rsidRDefault="007960A8"/>
    <w:p w14:paraId="6C201E47" w14:textId="77777777" w:rsidR="007960A8" w:rsidRDefault="00A26397">
      <w:pPr>
        <w:pBdr>
          <w:top w:val="nil"/>
          <w:left w:val="nil"/>
          <w:bottom w:val="nil"/>
          <w:right w:val="nil"/>
          <w:between w:val="nil"/>
        </w:pBdr>
        <w:spacing w:before="23"/>
        <w:ind w:left="220"/>
        <w:rPr>
          <w:color w:val="000000"/>
        </w:rPr>
      </w:pPr>
      <w:r>
        <w:rPr>
          <w:color w:val="000000"/>
        </w:rPr>
        <w:t>Insert new clause Z24 as follows:</w:t>
      </w:r>
    </w:p>
    <w:p w14:paraId="27368B0C" w14:textId="77777777" w:rsidR="007960A8" w:rsidRDefault="007960A8">
      <w:pPr>
        <w:pBdr>
          <w:top w:val="nil"/>
          <w:left w:val="nil"/>
          <w:bottom w:val="nil"/>
          <w:right w:val="nil"/>
          <w:between w:val="nil"/>
        </w:pBdr>
        <w:spacing w:before="23"/>
        <w:ind w:left="220"/>
        <w:rPr>
          <w:color w:val="000000"/>
        </w:rPr>
      </w:pPr>
    </w:p>
    <w:p w14:paraId="72810B92"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5BA5D36D" w14:textId="77777777" w:rsidR="007960A8" w:rsidRDefault="007960A8">
      <w:pPr>
        <w:pBdr>
          <w:top w:val="nil"/>
          <w:left w:val="nil"/>
          <w:bottom w:val="nil"/>
          <w:right w:val="nil"/>
          <w:between w:val="nil"/>
        </w:pBdr>
        <w:spacing w:before="23" w:line="259" w:lineRule="auto"/>
        <w:ind w:left="220" w:right="478"/>
        <w:rPr>
          <w:color w:val="000000"/>
        </w:rPr>
      </w:pPr>
    </w:p>
    <w:p w14:paraId="03ACF250" w14:textId="77777777" w:rsidR="007960A8" w:rsidRDefault="00A26397">
      <w:pPr>
        <w:pStyle w:val="Heading1"/>
        <w:ind w:firstLine="220"/>
      </w:pPr>
      <w:r>
        <w:t>Option Z25 – Procurement Act 2023</w:t>
      </w:r>
    </w:p>
    <w:p w14:paraId="1CD8A841" w14:textId="77777777" w:rsidR="007960A8" w:rsidRDefault="007960A8"/>
    <w:p w14:paraId="3EBB7A23" w14:textId="77777777" w:rsidR="007960A8" w:rsidRDefault="00A26397">
      <w:pPr>
        <w:pBdr>
          <w:top w:val="nil"/>
          <w:left w:val="nil"/>
          <w:bottom w:val="nil"/>
          <w:right w:val="nil"/>
          <w:between w:val="nil"/>
        </w:pBdr>
        <w:spacing w:before="23"/>
        <w:ind w:left="220"/>
        <w:rPr>
          <w:color w:val="000000"/>
        </w:rPr>
      </w:pPr>
      <w:r>
        <w:rPr>
          <w:color w:val="000000"/>
        </w:rPr>
        <w:t>Insert new clause Z25 as follows:</w:t>
      </w:r>
    </w:p>
    <w:p w14:paraId="39497738" w14:textId="77777777" w:rsidR="007960A8" w:rsidRDefault="007960A8">
      <w:pPr>
        <w:pBdr>
          <w:top w:val="nil"/>
          <w:left w:val="nil"/>
          <w:bottom w:val="nil"/>
          <w:right w:val="nil"/>
          <w:between w:val="nil"/>
        </w:pBdr>
        <w:spacing w:before="23"/>
        <w:ind w:left="220"/>
        <w:rPr>
          <w:color w:val="000000"/>
        </w:rPr>
      </w:pPr>
    </w:p>
    <w:p w14:paraId="526F6567"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w:t>
      </w:r>
      <w:r>
        <w:rPr>
          <w:color w:val="000000"/>
        </w:rPr>
        <w:t>dule ref here]</w:t>
      </w:r>
    </w:p>
    <w:p w14:paraId="1691F3E4" w14:textId="77777777" w:rsidR="007960A8" w:rsidRDefault="007960A8">
      <w:pPr>
        <w:pBdr>
          <w:top w:val="nil"/>
          <w:left w:val="nil"/>
          <w:bottom w:val="nil"/>
          <w:right w:val="nil"/>
          <w:between w:val="nil"/>
        </w:pBdr>
        <w:spacing w:before="23" w:line="259" w:lineRule="auto"/>
        <w:ind w:left="220" w:right="478"/>
        <w:rPr>
          <w:color w:val="000000"/>
        </w:rPr>
      </w:pPr>
    </w:p>
    <w:p w14:paraId="784632A3" w14:textId="77777777" w:rsidR="007960A8" w:rsidRDefault="00A26397">
      <w:pPr>
        <w:pStyle w:val="Heading1"/>
        <w:ind w:firstLine="220"/>
      </w:pPr>
      <w:r>
        <w:t>Option Z26 – Staff Transfer</w:t>
      </w:r>
    </w:p>
    <w:p w14:paraId="38119BFD" w14:textId="77777777" w:rsidR="007960A8" w:rsidRDefault="007960A8"/>
    <w:p w14:paraId="169A0DA8" w14:textId="77777777" w:rsidR="007960A8" w:rsidRDefault="00A26397">
      <w:pPr>
        <w:pBdr>
          <w:top w:val="nil"/>
          <w:left w:val="nil"/>
          <w:bottom w:val="nil"/>
          <w:right w:val="nil"/>
          <w:between w:val="nil"/>
        </w:pBdr>
        <w:spacing w:before="23"/>
        <w:ind w:left="220"/>
        <w:rPr>
          <w:color w:val="000000"/>
        </w:rPr>
      </w:pPr>
      <w:r>
        <w:rPr>
          <w:color w:val="000000"/>
        </w:rPr>
        <w:t>Insert new clause Z26 as follows:</w:t>
      </w:r>
    </w:p>
    <w:p w14:paraId="2F0AAA38" w14:textId="77777777" w:rsidR="007960A8" w:rsidRDefault="007960A8">
      <w:pPr>
        <w:pBdr>
          <w:top w:val="nil"/>
          <w:left w:val="nil"/>
          <w:bottom w:val="nil"/>
          <w:right w:val="nil"/>
          <w:between w:val="nil"/>
        </w:pBdr>
        <w:spacing w:before="23"/>
        <w:ind w:left="220"/>
        <w:rPr>
          <w:color w:val="000000"/>
        </w:rPr>
      </w:pPr>
    </w:p>
    <w:p w14:paraId="4730E50F"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39D04B90" w14:textId="77777777" w:rsidR="007960A8" w:rsidRDefault="007960A8">
      <w:pPr>
        <w:pBdr>
          <w:top w:val="nil"/>
          <w:left w:val="nil"/>
          <w:bottom w:val="nil"/>
          <w:right w:val="nil"/>
          <w:between w:val="nil"/>
        </w:pBdr>
        <w:spacing w:before="23" w:line="259" w:lineRule="auto"/>
        <w:ind w:left="220" w:right="478"/>
        <w:rPr>
          <w:color w:val="000000"/>
        </w:rPr>
      </w:pPr>
    </w:p>
    <w:p w14:paraId="06EFA85C" w14:textId="77777777" w:rsidR="007960A8" w:rsidRDefault="00A26397">
      <w:pPr>
        <w:pStyle w:val="Heading1"/>
        <w:ind w:firstLine="220"/>
      </w:pPr>
      <w:r>
        <w:t>Option Z27 – Intellectual Property</w:t>
      </w:r>
    </w:p>
    <w:p w14:paraId="331A8B1E" w14:textId="77777777" w:rsidR="007960A8" w:rsidRDefault="007960A8"/>
    <w:p w14:paraId="1C57D27F" w14:textId="77777777" w:rsidR="007960A8" w:rsidRDefault="00A26397">
      <w:pPr>
        <w:pBdr>
          <w:top w:val="nil"/>
          <w:left w:val="nil"/>
          <w:bottom w:val="nil"/>
          <w:right w:val="nil"/>
          <w:between w:val="nil"/>
        </w:pBdr>
        <w:spacing w:before="23"/>
        <w:ind w:left="220"/>
        <w:rPr>
          <w:color w:val="000000"/>
        </w:rPr>
      </w:pPr>
      <w:r>
        <w:rPr>
          <w:color w:val="000000"/>
        </w:rPr>
        <w:t>Insert new clause Z27 as follows:</w:t>
      </w:r>
    </w:p>
    <w:p w14:paraId="70330862" w14:textId="77777777" w:rsidR="007960A8" w:rsidRDefault="007960A8">
      <w:pPr>
        <w:pBdr>
          <w:top w:val="nil"/>
          <w:left w:val="nil"/>
          <w:bottom w:val="nil"/>
          <w:right w:val="nil"/>
          <w:between w:val="nil"/>
        </w:pBdr>
        <w:spacing w:before="23"/>
        <w:ind w:left="220"/>
        <w:rPr>
          <w:color w:val="000000"/>
        </w:rPr>
      </w:pPr>
    </w:p>
    <w:p w14:paraId="70D584EB"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w:t>
      </w:r>
      <w:r>
        <w:rPr>
          <w:color w:val="000000"/>
          <w:sz w:val="20"/>
          <w:szCs w:val="20"/>
        </w:rPr>
        <w:t xml:space="preserve"> </w:t>
      </w:r>
      <w:r>
        <w:rPr>
          <w:color w:val="000000"/>
        </w:rPr>
        <w:t>schedule ref here]</w:t>
      </w:r>
    </w:p>
    <w:p w14:paraId="4A592C2C" w14:textId="77777777" w:rsidR="007960A8" w:rsidRDefault="007960A8">
      <w:pPr>
        <w:pBdr>
          <w:top w:val="nil"/>
          <w:left w:val="nil"/>
          <w:bottom w:val="nil"/>
          <w:right w:val="nil"/>
          <w:between w:val="nil"/>
        </w:pBdr>
        <w:spacing w:before="23" w:line="259" w:lineRule="auto"/>
        <w:ind w:left="220" w:right="478"/>
        <w:rPr>
          <w:color w:val="000000"/>
        </w:rPr>
      </w:pPr>
    </w:p>
    <w:p w14:paraId="5A00771D" w14:textId="77777777" w:rsidR="007960A8" w:rsidRDefault="00A26397">
      <w:pPr>
        <w:pStyle w:val="Heading1"/>
        <w:ind w:firstLine="220"/>
      </w:pPr>
      <w:r>
        <w:t>Option Z28 – Financial Difficulties</w:t>
      </w:r>
    </w:p>
    <w:p w14:paraId="5EE67949" w14:textId="77777777" w:rsidR="007960A8" w:rsidRDefault="007960A8"/>
    <w:p w14:paraId="4AC7D8FC" w14:textId="77777777" w:rsidR="007960A8" w:rsidRDefault="00A26397">
      <w:pPr>
        <w:pBdr>
          <w:top w:val="nil"/>
          <w:left w:val="nil"/>
          <w:bottom w:val="nil"/>
          <w:right w:val="nil"/>
          <w:between w:val="nil"/>
        </w:pBdr>
        <w:spacing w:before="23"/>
        <w:ind w:left="220"/>
        <w:rPr>
          <w:color w:val="000000"/>
        </w:rPr>
      </w:pPr>
      <w:r>
        <w:rPr>
          <w:color w:val="000000"/>
        </w:rPr>
        <w:t>Insert new clause Z28 as follows:</w:t>
      </w:r>
    </w:p>
    <w:p w14:paraId="6FDC11DD" w14:textId="77777777" w:rsidR="007960A8" w:rsidRDefault="007960A8">
      <w:pPr>
        <w:pBdr>
          <w:top w:val="nil"/>
          <w:left w:val="nil"/>
          <w:bottom w:val="nil"/>
          <w:right w:val="nil"/>
          <w:between w:val="nil"/>
        </w:pBdr>
        <w:spacing w:before="23"/>
        <w:ind w:left="220"/>
        <w:rPr>
          <w:color w:val="000000"/>
        </w:rPr>
      </w:pPr>
    </w:p>
    <w:p w14:paraId="68A62EB6"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4A5AFDD1" w14:textId="77777777" w:rsidR="007960A8" w:rsidRDefault="007960A8">
      <w:pPr>
        <w:pBdr>
          <w:top w:val="nil"/>
          <w:left w:val="nil"/>
          <w:bottom w:val="nil"/>
          <w:right w:val="nil"/>
          <w:between w:val="nil"/>
        </w:pBdr>
        <w:spacing w:before="23" w:line="259" w:lineRule="auto"/>
        <w:ind w:left="220" w:right="478"/>
        <w:rPr>
          <w:color w:val="000000"/>
        </w:rPr>
      </w:pPr>
    </w:p>
    <w:p w14:paraId="1FC824E0" w14:textId="77777777" w:rsidR="007960A8" w:rsidRDefault="00A26397">
      <w:pPr>
        <w:pStyle w:val="Heading1"/>
        <w:ind w:firstLine="220"/>
      </w:pPr>
      <w:r>
        <w:t>Option Z29 – Security</w:t>
      </w:r>
    </w:p>
    <w:p w14:paraId="5C3B7912" w14:textId="77777777" w:rsidR="007960A8" w:rsidRDefault="007960A8"/>
    <w:p w14:paraId="70A07D41" w14:textId="77777777" w:rsidR="007960A8" w:rsidRDefault="00A26397">
      <w:pPr>
        <w:pBdr>
          <w:top w:val="nil"/>
          <w:left w:val="nil"/>
          <w:bottom w:val="nil"/>
          <w:right w:val="nil"/>
          <w:between w:val="nil"/>
        </w:pBdr>
        <w:spacing w:before="23"/>
        <w:ind w:left="220"/>
        <w:rPr>
          <w:color w:val="000000"/>
        </w:rPr>
      </w:pPr>
      <w:r>
        <w:rPr>
          <w:color w:val="000000"/>
        </w:rPr>
        <w:t>Insert new clause Z29 as follows:</w:t>
      </w:r>
    </w:p>
    <w:p w14:paraId="57F21F06" w14:textId="77777777" w:rsidR="007960A8" w:rsidRDefault="007960A8">
      <w:pPr>
        <w:pBdr>
          <w:top w:val="nil"/>
          <w:left w:val="nil"/>
          <w:bottom w:val="nil"/>
          <w:right w:val="nil"/>
          <w:between w:val="nil"/>
        </w:pBdr>
        <w:spacing w:before="23"/>
        <w:ind w:left="220"/>
        <w:rPr>
          <w:color w:val="000000"/>
        </w:rPr>
      </w:pPr>
    </w:p>
    <w:p w14:paraId="7E9CFF1E"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Cli</w:t>
      </w:r>
      <w:r>
        <w:rPr>
          <w:i/>
          <w:iCs/>
          <w:color w:val="000000"/>
        </w:rPr>
        <w:t xml:space="preserve">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67F42F36" w14:textId="77777777" w:rsidR="007960A8" w:rsidRDefault="007960A8">
      <w:pPr>
        <w:pBdr>
          <w:top w:val="nil"/>
          <w:left w:val="nil"/>
          <w:bottom w:val="nil"/>
          <w:right w:val="nil"/>
          <w:between w:val="nil"/>
        </w:pBdr>
        <w:spacing w:before="23" w:line="259" w:lineRule="auto"/>
        <w:ind w:left="220" w:right="478"/>
        <w:rPr>
          <w:color w:val="000000"/>
        </w:rPr>
      </w:pPr>
    </w:p>
    <w:p w14:paraId="1DC41AA3" w14:textId="77777777" w:rsidR="007960A8" w:rsidRDefault="00A26397">
      <w:pPr>
        <w:pBdr>
          <w:top w:val="nil"/>
          <w:left w:val="nil"/>
          <w:bottom w:val="nil"/>
          <w:right w:val="nil"/>
          <w:between w:val="nil"/>
        </w:pBdr>
        <w:spacing w:before="23" w:line="259" w:lineRule="auto"/>
        <w:ind w:left="220" w:right="478"/>
        <w:rPr>
          <w:color w:val="000000"/>
        </w:rPr>
      </w:pPr>
      <w:r>
        <w:rPr>
          <w:b/>
          <w:bCs/>
          <w:color w:val="000000"/>
        </w:rPr>
        <w:t>Option Z30 – Mandatory Wage increase</w:t>
      </w:r>
    </w:p>
    <w:p w14:paraId="073EA7E6" w14:textId="77777777" w:rsidR="007960A8" w:rsidRDefault="007960A8"/>
    <w:p w14:paraId="09BBDD61" w14:textId="77777777" w:rsidR="007960A8" w:rsidRDefault="00A26397">
      <w:pPr>
        <w:pBdr>
          <w:top w:val="nil"/>
          <w:left w:val="nil"/>
          <w:bottom w:val="nil"/>
          <w:right w:val="nil"/>
          <w:between w:val="nil"/>
        </w:pBdr>
        <w:spacing w:before="23"/>
        <w:ind w:left="220"/>
        <w:rPr>
          <w:color w:val="000000"/>
        </w:rPr>
      </w:pPr>
      <w:r>
        <w:rPr>
          <w:color w:val="000000"/>
        </w:rPr>
        <w:t>Insert new clause Z30 as follows:</w:t>
      </w:r>
    </w:p>
    <w:p w14:paraId="072875E8" w14:textId="77777777" w:rsidR="007960A8" w:rsidRDefault="007960A8">
      <w:pPr>
        <w:pBdr>
          <w:top w:val="nil"/>
          <w:left w:val="nil"/>
          <w:bottom w:val="nil"/>
          <w:right w:val="nil"/>
          <w:between w:val="nil"/>
        </w:pBdr>
        <w:spacing w:before="23"/>
        <w:ind w:left="220"/>
        <w:rPr>
          <w:color w:val="000000"/>
        </w:rPr>
      </w:pPr>
    </w:p>
    <w:p w14:paraId="36400A71"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51DD5DA0" w14:textId="77777777" w:rsidR="007960A8" w:rsidRDefault="007960A8">
      <w:pPr>
        <w:pBdr>
          <w:top w:val="nil"/>
          <w:left w:val="nil"/>
          <w:bottom w:val="nil"/>
          <w:right w:val="nil"/>
          <w:between w:val="nil"/>
        </w:pBdr>
        <w:spacing w:before="23" w:line="259" w:lineRule="auto"/>
        <w:ind w:left="220" w:right="478"/>
        <w:rPr>
          <w:color w:val="000000"/>
        </w:rPr>
      </w:pPr>
    </w:p>
    <w:p w14:paraId="345DB564" w14:textId="77777777" w:rsidR="007960A8" w:rsidRDefault="00A26397">
      <w:pPr>
        <w:pBdr>
          <w:top w:val="nil"/>
          <w:left w:val="nil"/>
          <w:bottom w:val="nil"/>
          <w:right w:val="nil"/>
          <w:between w:val="nil"/>
        </w:pBdr>
        <w:spacing w:before="23" w:line="259" w:lineRule="auto"/>
        <w:ind w:left="220" w:right="478"/>
        <w:rPr>
          <w:color w:val="000000"/>
        </w:rPr>
      </w:pPr>
      <w:r>
        <w:rPr>
          <w:b/>
          <w:bCs/>
          <w:color w:val="000000"/>
        </w:rPr>
        <w:t>Option Z31 – Redundancy</w:t>
      </w:r>
    </w:p>
    <w:p w14:paraId="0A04973F" w14:textId="77777777" w:rsidR="007960A8" w:rsidRDefault="007960A8"/>
    <w:p w14:paraId="6D2AFE29" w14:textId="77777777" w:rsidR="007960A8" w:rsidRDefault="00A26397">
      <w:pPr>
        <w:pBdr>
          <w:top w:val="nil"/>
          <w:left w:val="nil"/>
          <w:bottom w:val="nil"/>
          <w:right w:val="nil"/>
          <w:between w:val="nil"/>
        </w:pBdr>
        <w:spacing w:before="23"/>
        <w:ind w:left="220"/>
        <w:rPr>
          <w:color w:val="000000"/>
        </w:rPr>
      </w:pPr>
      <w:r>
        <w:rPr>
          <w:color w:val="000000"/>
        </w:rPr>
        <w:t>Insert new clause Z31 as follows:</w:t>
      </w:r>
    </w:p>
    <w:p w14:paraId="25656687" w14:textId="77777777" w:rsidR="007960A8" w:rsidRDefault="007960A8">
      <w:pPr>
        <w:pBdr>
          <w:top w:val="nil"/>
          <w:left w:val="nil"/>
          <w:bottom w:val="nil"/>
          <w:right w:val="nil"/>
          <w:between w:val="nil"/>
        </w:pBdr>
        <w:spacing w:before="23"/>
        <w:ind w:left="220"/>
        <w:rPr>
          <w:color w:val="000000"/>
        </w:rPr>
      </w:pPr>
    </w:p>
    <w:p w14:paraId="3E1B17CB" w14:textId="77777777" w:rsidR="007960A8" w:rsidRDefault="00A26397">
      <w:pPr>
        <w:pBdr>
          <w:top w:val="nil"/>
          <w:left w:val="nil"/>
          <w:bottom w:val="nil"/>
          <w:right w:val="nil"/>
          <w:between w:val="nil"/>
        </w:pBdr>
        <w:spacing w:before="23" w:line="259" w:lineRule="auto"/>
        <w:ind w:left="220" w:right="478"/>
        <w:rPr>
          <w:color w:val="000000"/>
        </w:r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w:t>
      </w:r>
      <w:r>
        <w:rPr>
          <w:color w:val="000000"/>
        </w:rPr>
        <w:t>ere]</w:t>
      </w:r>
    </w:p>
    <w:p w14:paraId="306C9CEA" w14:textId="77777777" w:rsidR="007960A8" w:rsidRDefault="007960A8">
      <w:pPr>
        <w:pBdr>
          <w:top w:val="nil"/>
          <w:left w:val="nil"/>
          <w:bottom w:val="nil"/>
          <w:right w:val="nil"/>
          <w:between w:val="nil"/>
        </w:pBdr>
        <w:spacing w:before="23" w:line="259" w:lineRule="auto"/>
        <w:ind w:left="220" w:right="478"/>
        <w:rPr>
          <w:color w:val="000000"/>
        </w:rPr>
      </w:pPr>
    </w:p>
    <w:p w14:paraId="51CC9280" w14:textId="77777777" w:rsidR="007960A8" w:rsidRDefault="00A26397">
      <w:pPr>
        <w:pBdr>
          <w:top w:val="nil"/>
          <w:left w:val="nil"/>
          <w:bottom w:val="nil"/>
          <w:right w:val="nil"/>
          <w:between w:val="nil"/>
        </w:pBdr>
        <w:spacing w:before="23" w:line="259" w:lineRule="auto"/>
        <w:ind w:left="220" w:right="478"/>
        <w:rPr>
          <w:color w:val="000000"/>
        </w:rPr>
      </w:pPr>
      <w:r>
        <w:rPr>
          <w:b/>
          <w:bCs/>
          <w:color w:val="000000"/>
        </w:rPr>
        <w:t>Option Z32 – TUPE Premium</w:t>
      </w:r>
    </w:p>
    <w:p w14:paraId="301D1C02" w14:textId="77777777" w:rsidR="007960A8" w:rsidRDefault="007960A8"/>
    <w:p w14:paraId="67C83498" w14:textId="77777777" w:rsidR="007960A8" w:rsidRDefault="00A26397">
      <w:pPr>
        <w:pBdr>
          <w:top w:val="nil"/>
          <w:left w:val="nil"/>
          <w:bottom w:val="nil"/>
          <w:right w:val="nil"/>
          <w:between w:val="nil"/>
        </w:pBdr>
        <w:spacing w:before="23"/>
        <w:ind w:left="220"/>
        <w:rPr>
          <w:color w:val="000000"/>
        </w:rPr>
      </w:pPr>
      <w:r>
        <w:rPr>
          <w:color w:val="000000"/>
        </w:rPr>
        <w:t>Insert new clause Z32 as follows:</w:t>
      </w:r>
    </w:p>
    <w:p w14:paraId="06968A15" w14:textId="77777777" w:rsidR="007960A8" w:rsidRDefault="007960A8">
      <w:pPr>
        <w:pBdr>
          <w:top w:val="nil"/>
          <w:left w:val="nil"/>
          <w:bottom w:val="nil"/>
          <w:right w:val="nil"/>
          <w:between w:val="nil"/>
        </w:pBdr>
        <w:spacing w:before="23"/>
        <w:ind w:left="220"/>
        <w:rPr>
          <w:color w:val="000000"/>
        </w:rPr>
      </w:pPr>
    </w:p>
    <w:p w14:paraId="583BF974" w14:textId="77777777" w:rsidR="007960A8" w:rsidRDefault="00A26397">
      <w:pPr>
        <w:pBdr>
          <w:top w:val="nil"/>
          <w:left w:val="nil"/>
          <w:bottom w:val="nil"/>
          <w:right w:val="nil"/>
          <w:between w:val="nil"/>
        </w:pBdr>
        <w:spacing w:before="23" w:line="259" w:lineRule="auto"/>
        <w:ind w:left="220" w:right="478"/>
        <w:rPr>
          <w:color w:val="000000"/>
        </w:rPr>
        <w:sectPr w:rsidR="007960A8">
          <w:pgSz w:w="11910" w:h="16840"/>
          <w:pgMar w:top="2080" w:right="1220" w:bottom="1200" w:left="1220" w:header="838" w:footer="1000" w:gutter="0"/>
          <w:cols w:space="720"/>
        </w:sectPr>
      </w:pPr>
      <w:r>
        <w:rPr>
          <w:color w:val="000000"/>
        </w:rPr>
        <w:t xml:space="preserve">The </w:t>
      </w:r>
      <w:r>
        <w:rPr>
          <w:i/>
          <w:iCs/>
          <w:color w:val="000000"/>
        </w:rPr>
        <w:t xml:space="preserve">Client </w:t>
      </w:r>
      <w:r>
        <w:rPr>
          <w:color w:val="000000"/>
        </w:rPr>
        <w:t xml:space="preserve">and the </w:t>
      </w:r>
      <w:r>
        <w:rPr>
          <w:i/>
          <w:iCs/>
          <w:color w:val="000000"/>
        </w:rPr>
        <w:t xml:space="preserve">Service Provider </w:t>
      </w:r>
      <w:r>
        <w:rPr>
          <w:color w:val="000000"/>
        </w:rPr>
        <w:t>shall comply with the provisions of schedule [Guidance: insert schedule ref here]</w:t>
      </w:r>
    </w:p>
    <w:p w14:paraId="0FDDCF54" w14:textId="77777777" w:rsidR="007960A8" w:rsidRDefault="007960A8">
      <w:pPr>
        <w:pBdr>
          <w:top w:val="nil"/>
          <w:left w:val="nil"/>
          <w:bottom w:val="nil"/>
          <w:right w:val="nil"/>
          <w:between w:val="nil"/>
        </w:pBdr>
        <w:spacing w:before="23" w:line="256" w:lineRule="auto"/>
        <w:ind w:left="220"/>
        <w:rPr>
          <w:color w:val="000000"/>
        </w:rPr>
      </w:pPr>
    </w:p>
    <w:p w14:paraId="4B678A7A" w14:textId="77777777" w:rsidR="007960A8" w:rsidRDefault="00A26397">
      <w:pPr>
        <w:widowControl/>
        <w:spacing w:after="160" w:line="259" w:lineRule="auto"/>
        <w:jc w:val="center"/>
        <w:rPr>
          <w:b/>
          <w:bCs/>
        </w:rPr>
      </w:pPr>
      <w:r>
        <w:rPr>
          <w:b/>
          <w:bCs/>
        </w:rPr>
        <w:t xml:space="preserve">SCHEDULE </w:t>
      </w:r>
      <w:r>
        <w:t xml:space="preserve">[Guidance: insert schedule ref here] </w:t>
      </w:r>
      <w:r>
        <w:rPr>
          <w:b/>
          <w:bCs/>
        </w:rPr>
        <w:t>GDPR</w:t>
      </w:r>
    </w:p>
    <w:p w14:paraId="5E3856AA" w14:textId="77777777" w:rsidR="007960A8" w:rsidRDefault="007960A8">
      <w:pPr>
        <w:pBdr>
          <w:top w:val="nil"/>
          <w:left w:val="nil"/>
          <w:bottom w:val="nil"/>
          <w:right w:val="nil"/>
          <w:between w:val="nil"/>
        </w:pBdr>
        <w:spacing w:before="8"/>
        <w:rPr>
          <w:b/>
          <w:bCs/>
          <w:color w:val="000000"/>
        </w:rPr>
      </w:pPr>
    </w:p>
    <w:p w14:paraId="3261AAA0" w14:textId="77777777" w:rsidR="007960A8" w:rsidRDefault="00A26397">
      <w:pPr>
        <w:pBdr>
          <w:top w:val="nil"/>
          <w:left w:val="nil"/>
          <w:bottom w:val="nil"/>
          <w:right w:val="nil"/>
          <w:between w:val="nil"/>
        </w:pBdr>
        <w:ind w:left="220" w:right="518"/>
        <w:rPr>
          <w:color w:val="000000"/>
          <w:sz w:val="24"/>
          <w:szCs w:val="24"/>
        </w:rPr>
      </w:pPr>
      <w:r>
        <w:rPr>
          <w:color w:val="000000"/>
        </w:rPr>
        <w:t xml:space="preserve">The following definitions shall apply to this Schedule </w:t>
      </w:r>
      <w:r>
        <w:rPr>
          <w:color w:val="000000"/>
          <w:sz w:val="24"/>
          <w:szCs w:val="24"/>
        </w:rPr>
        <w:t>[Guidance: insert schedule ref here]</w:t>
      </w:r>
    </w:p>
    <w:p w14:paraId="67DB810F" w14:textId="77777777" w:rsidR="007960A8" w:rsidRDefault="007960A8">
      <w:pPr>
        <w:pBdr>
          <w:top w:val="nil"/>
          <w:left w:val="nil"/>
          <w:bottom w:val="nil"/>
          <w:right w:val="nil"/>
          <w:between w:val="nil"/>
        </w:pBdr>
        <w:spacing w:before="10"/>
        <w:rPr>
          <w:color w:val="000000"/>
          <w:sz w:val="20"/>
          <w:szCs w:val="20"/>
        </w:rPr>
      </w:pPr>
    </w:p>
    <w:p w14:paraId="6AF2FA7B" w14:textId="77777777" w:rsidR="007960A8" w:rsidRDefault="00A26397">
      <w:pPr>
        <w:pBdr>
          <w:top w:val="nil"/>
          <w:left w:val="nil"/>
          <w:bottom w:val="nil"/>
          <w:right w:val="nil"/>
          <w:between w:val="nil"/>
        </w:pBdr>
        <w:ind w:left="220"/>
        <w:rPr>
          <w:color w:val="000000"/>
        </w:rPr>
      </w:pPr>
      <w:r>
        <w:rPr>
          <w:b/>
          <w:bCs/>
          <w:color w:val="000000"/>
        </w:rPr>
        <w:t>Agreement</w:t>
      </w:r>
      <w:r>
        <w:rPr>
          <w:color w:val="000000"/>
        </w:rPr>
        <w:t>: this contract;</w:t>
      </w:r>
    </w:p>
    <w:p w14:paraId="06803F51" w14:textId="77777777" w:rsidR="007960A8" w:rsidRDefault="007960A8">
      <w:pPr>
        <w:pBdr>
          <w:top w:val="nil"/>
          <w:left w:val="nil"/>
          <w:bottom w:val="nil"/>
          <w:right w:val="nil"/>
          <w:between w:val="nil"/>
        </w:pBdr>
        <w:spacing w:before="7"/>
        <w:rPr>
          <w:color w:val="000000"/>
        </w:rPr>
      </w:pPr>
    </w:p>
    <w:p w14:paraId="0109B902" w14:textId="77777777" w:rsidR="007960A8" w:rsidRDefault="00A26397">
      <w:pPr>
        <w:pBdr>
          <w:top w:val="nil"/>
          <w:left w:val="nil"/>
          <w:bottom w:val="nil"/>
          <w:right w:val="nil"/>
          <w:between w:val="nil"/>
        </w:pBdr>
        <w:spacing w:before="1" w:line="259" w:lineRule="auto"/>
        <w:ind w:left="220" w:right="278"/>
        <w:rPr>
          <w:color w:val="000000"/>
        </w:rPr>
      </w:pPr>
      <w:r>
        <w:rPr>
          <w:b/>
          <w:bCs/>
          <w:color w:val="000000"/>
        </w:rPr>
        <w:t>Processor Personnel</w:t>
      </w:r>
      <w:r>
        <w:rPr>
          <w:color w:val="000000"/>
        </w:rPr>
        <w:t>: means all directors, officers, employees, agents, consultants and contractors and subcontractors of the Processor and/or of any Sub-Processor engaged in the performance of its obligations under this Agreement</w:t>
      </w:r>
    </w:p>
    <w:p w14:paraId="6D0B2624" w14:textId="77777777" w:rsidR="007960A8" w:rsidRDefault="007960A8">
      <w:pPr>
        <w:pBdr>
          <w:top w:val="nil"/>
          <w:left w:val="nil"/>
          <w:bottom w:val="nil"/>
          <w:right w:val="nil"/>
          <w:between w:val="nil"/>
        </w:pBdr>
        <w:spacing w:before="8"/>
        <w:rPr>
          <w:color w:val="000000"/>
          <w:sz w:val="20"/>
          <w:szCs w:val="20"/>
        </w:rPr>
      </w:pPr>
    </w:p>
    <w:p w14:paraId="5FC3178E" w14:textId="77777777" w:rsidR="007960A8" w:rsidRDefault="00A26397">
      <w:pPr>
        <w:pStyle w:val="Heading1"/>
        <w:ind w:firstLine="220"/>
      </w:pPr>
      <w:r>
        <w:t>GDPR CLAUSE DEFINITIONS:</w:t>
      </w:r>
    </w:p>
    <w:p w14:paraId="5A6B9E4B" w14:textId="77777777" w:rsidR="007960A8" w:rsidRDefault="007960A8">
      <w:pPr>
        <w:pBdr>
          <w:top w:val="nil"/>
          <w:left w:val="nil"/>
          <w:bottom w:val="nil"/>
          <w:right w:val="nil"/>
          <w:between w:val="nil"/>
        </w:pBdr>
        <w:spacing w:before="11"/>
        <w:rPr>
          <w:b/>
          <w:bCs/>
          <w:color w:val="000000"/>
        </w:rPr>
      </w:pPr>
    </w:p>
    <w:p w14:paraId="6DA478D0" w14:textId="77777777" w:rsidR="007960A8" w:rsidRDefault="00A26397">
      <w:pPr>
        <w:pBdr>
          <w:top w:val="nil"/>
          <w:left w:val="nil"/>
          <w:bottom w:val="nil"/>
          <w:right w:val="nil"/>
          <w:between w:val="nil"/>
        </w:pBdr>
        <w:spacing w:line="259" w:lineRule="auto"/>
        <w:ind w:left="220" w:right="279"/>
        <w:rPr>
          <w:color w:val="000000"/>
        </w:rPr>
      </w:pPr>
      <w:r>
        <w:rPr>
          <w:color w:val="000000"/>
        </w:rPr>
        <w:t xml:space="preserve">Data Protection Legislation: (i) the GDPR, (ii) the DPA 2018 to the extent that it relates to processing of personal data and privacy; (iii) all </w:t>
      </w:r>
      <w:r>
        <w:rPr>
          <w:i/>
          <w:iCs/>
          <w:color w:val="000000"/>
        </w:rPr>
        <w:t>applicable Law</w:t>
      </w:r>
      <w:r>
        <w:rPr>
          <w:color w:val="000000"/>
        </w:rPr>
        <w:t xml:space="preserve"> about the processing of personal data and privacy which, pending a decision from the competent a</w:t>
      </w:r>
      <w:r>
        <w:rPr>
          <w:color w:val="000000"/>
        </w:rPr>
        <w:t>uthorities of the EU on the adequacy of the UK data protection regime will include the requirements set out or referenced in Part Three, Title VII, Article 71(1) of the Withdrawal Agreement signed by the UK and the EU in December 2019;</w:t>
      </w:r>
    </w:p>
    <w:p w14:paraId="59BBAE09" w14:textId="77777777" w:rsidR="007960A8" w:rsidRDefault="007960A8">
      <w:pPr>
        <w:pBdr>
          <w:top w:val="nil"/>
          <w:left w:val="nil"/>
          <w:bottom w:val="nil"/>
          <w:right w:val="nil"/>
          <w:between w:val="nil"/>
        </w:pBdr>
        <w:spacing w:before="9"/>
        <w:rPr>
          <w:color w:val="000000"/>
          <w:sz w:val="20"/>
          <w:szCs w:val="20"/>
        </w:rPr>
      </w:pPr>
    </w:p>
    <w:p w14:paraId="10106D75" w14:textId="77777777" w:rsidR="007960A8" w:rsidRDefault="00A26397">
      <w:pPr>
        <w:pBdr>
          <w:top w:val="nil"/>
          <w:left w:val="nil"/>
          <w:bottom w:val="nil"/>
          <w:right w:val="nil"/>
          <w:between w:val="nil"/>
        </w:pBdr>
        <w:spacing w:line="256" w:lineRule="auto"/>
        <w:ind w:left="220" w:right="462"/>
        <w:rPr>
          <w:color w:val="000000"/>
        </w:rPr>
      </w:pPr>
      <w:r>
        <w:rPr>
          <w:color w:val="000000"/>
        </w:rPr>
        <w:t>Data Protection Imp</w:t>
      </w:r>
      <w:r>
        <w:rPr>
          <w:color w:val="000000"/>
        </w:rPr>
        <w:t>act Assessment: an assessment by the Controller of the impact of the envisaged processing on the protection of Personal Data.</w:t>
      </w:r>
    </w:p>
    <w:p w14:paraId="6143E157" w14:textId="77777777" w:rsidR="007960A8" w:rsidRDefault="007960A8">
      <w:pPr>
        <w:pBdr>
          <w:top w:val="nil"/>
          <w:left w:val="nil"/>
          <w:bottom w:val="nil"/>
          <w:right w:val="nil"/>
          <w:between w:val="nil"/>
        </w:pBdr>
        <w:spacing w:before="2"/>
        <w:rPr>
          <w:color w:val="000000"/>
          <w:sz w:val="21"/>
          <w:szCs w:val="21"/>
        </w:rPr>
      </w:pPr>
    </w:p>
    <w:p w14:paraId="0428BD85" w14:textId="77777777" w:rsidR="007960A8" w:rsidRDefault="00A26397">
      <w:pPr>
        <w:pBdr>
          <w:top w:val="nil"/>
          <w:left w:val="nil"/>
          <w:bottom w:val="nil"/>
          <w:right w:val="nil"/>
          <w:between w:val="nil"/>
        </w:pBdr>
        <w:spacing w:line="259" w:lineRule="auto"/>
        <w:ind w:left="220" w:right="1098"/>
        <w:rPr>
          <w:color w:val="000000"/>
        </w:rPr>
      </w:pPr>
      <w:r>
        <w:rPr>
          <w:color w:val="000000"/>
        </w:rPr>
        <w:t>Controller, Processor, Data Subject, Personal Data, Personal Data Breach, Data Protection Officer take the meaning given in the Data Protection Legislation.</w:t>
      </w:r>
    </w:p>
    <w:p w14:paraId="29FB54E9" w14:textId="77777777" w:rsidR="007960A8" w:rsidRDefault="007960A8">
      <w:pPr>
        <w:pBdr>
          <w:top w:val="nil"/>
          <w:left w:val="nil"/>
          <w:bottom w:val="nil"/>
          <w:right w:val="nil"/>
          <w:between w:val="nil"/>
        </w:pBdr>
        <w:spacing w:before="11"/>
        <w:rPr>
          <w:color w:val="000000"/>
          <w:sz w:val="20"/>
          <w:szCs w:val="20"/>
        </w:rPr>
      </w:pPr>
    </w:p>
    <w:p w14:paraId="29F52DF6" w14:textId="77777777" w:rsidR="007960A8" w:rsidRDefault="00A26397">
      <w:pPr>
        <w:pBdr>
          <w:top w:val="nil"/>
          <w:left w:val="nil"/>
          <w:bottom w:val="nil"/>
          <w:right w:val="nil"/>
          <w:between w:val="nil"/>
        </w:pBdr>
        <w:spacing w:line="259" w:lineRule="auto"/>
        <w:ind w:left="220" w:right="401"/>
        <w:rPr>
          <w:color w:val="000000"/>
        </w:rPr>
      </w:pPr>
      <w:r>
        <w:rPr>
          <w:color w:val="000000"/>
        </w:rPr>
        <w:t>Data Loss Event: any event that results, or may result, in unauthorised access to Personal Data he</w:t>
      </w:r>
      <w:r>
        <w:rPr>
          <w:color w:val="000000"/>
        </w:rPr>
        <w:t>ld by the Processor under this Agreement, and/or actual or potential loss and/or destruction of Personal Data in breach of this Agreement, including any Personal Data Breach.</w:t>
      </w:r>
    </w:p>
    <w:p w14:paraId="3DF0FC80" w14:textId="77777777" w:rsidR="007960A8" w:rsidRDefault="007960A8">
      <w:pPr>
        <w:pBdr>
          <w:top w:val="nil"/>
          <w:left w:val="nil"/>
          <w:bottom w:val="nil"/>
          <w:right w:val="nil"/>
          <w:between w:val="nil"/>
        </w:pBdr>
        <w:spacing w:before="9"/>
        <w:rPr>
          <w:color w:val="000000"/>
          <w:sz w:val="20"/>
          <w:szCs w:val="20"/>
        </w:rPr>
      </w:pPr>
    </w:p>
    <w:p w14:paraId="611394F0" w14:textId="77777777" w:rsidR="007960A8" w:rsidRDefault="00A26397">
      <w:pPr>
        <w:pBdr>
          <w:top w:val="nil"/>
          <w:left w:val="nil"/>
          <w:bottom w:val="nil"/>
          <w:right w:val="nil"/>
          <w:between w:val="nil"/>
        </w:pBdr>
        <w:spacing w:line="256" w:lineRule="auto"/>
        <w:ind w:left="220" w:right="217"/>
        <w:rPr>
          <w:color w:val="000000"/>
        </w:rPr>
      </w:pPr>
      <w:r>
        <w:rPr>
          <w:color w:val="000000"/>
        </w:rPr>
        <w:t>Data Subject Request: a request made by, or on behalf of, a Data Subject in accordance with rights granted pursuant to the Data Protection Legislation to access their Personal Data.</w:t>
      </w:r>
    </w:p>
    <w:p w14:paraId="47459E3E" w14:textId="77777777" w:rsidR="007960A8" w:rsidRDefault="007960A8">
      <w:pPr>
        <w:pBdr>
          <w:top w:val="nil"/>
          <w:left w:val="nil"/>
          <w:bottom w:val="nil"/>
          <w:right w:val="nil"/>
          <w:between w:val="nil"/>
        </w:pBdr>
        <w:spacing w:before="2"/>
        <w:rPr>
          <w:color w:val="000000"/>
          <w:sz w:val="21"/>
          <w:szCs w:val="21"/>
        </w:rPr>
      </w:pPr>
    </w:p>
    <w:p w14:paraId="54D48F4F" w14:textId="77777777" w:rsidR="007960A8" w:rsidRDefault="00A26397">
      <w:pPr>
        <w:pBdr>
          <w:top w:val="nil"/>
          <w:left w:val="nil"/>
          <w:bottom w:val="nil"/>
          <w:right w:val="nil"/>
          <w:between w:val="nil"/>
        </w:pBdr>
        <w:ind w:left="220"/>
        <w:rPr>
          <w:color w:val="000000"/>
        </w:rPr>
      </w:pPr>
      <w:r>
        <w:rPr>
          <w:color w:val="000000"/>
        </w:rPr>
        <w:t>DPA 2018: Data Protection Act 2018</w:t>
      </w:r>
    </w:p>
    <w:p w14:paraId="798A9AEB" w14:textId="77777777" w:rsidR="007960A8" w:rsidRDefault="007960A8">
      <w:pPr>
        <w:pBdr>
          <w:top w:val="nil"/>
          <w:left w:val="nil"/>
          <w:bottom w:val="nil"/>
          <w:right w:val="nil"/>
          <w:between w:val="nil"/>
        </w:pBdr>
        <w:spacing w:before="8"/>
        <w:rPr>
          <w:color w:val="000000"/>
        </w:rPr>
      </w:pPr>
    </w:p>
    <w:p w14:paraId="556625AD" w14:textId="77777777" w:rsidR="007960A8" w:rsidRDefault="00A26397">
      <w:pPr>
        <w:pBdr>
          <w:top w:val="nil"/>
          <w:left w:val="nil"/>
          <w:bottom w:val="nil"/>
          <w:right w:val="nil"/>
          <w:between w:val="nil"/>
        </w:pBdr>
        <w:ind w:left="220"/>
        <w:rPr>
          <w:color w:val="000000"/>
        </w:rPr>
      </w:pPr>
      <w:r>
        <w:rPr>
          <w:color w:val="000000"/>
        </w:rPr>
        <w:t>GDPR: the General Data Protection Reg</w:t>
      </w:r>
      <w:r>
        <w:rPr>
          <w:color w:val="000000"/>
        </w:rPr>
        <w:t>ulation (Regulation (EU) 2016/679) as it forms part of the law of England and Wales, Scotland and Northern Ireland by virtue of section 3 of the European Union (Withdrawal) Act 2018 and as amended by the Data Protection, Privacy and Electronic Communicatio</w:t>
      </w:r>
      <w:r>
        <w:rPr>
          <w:color w:val="000000"/>
        </w:rPr>
        <w:t>ns (Amendments etc) (EU Exit) Regulations 2019</w:t>
      </w:r>
    </w:p>
    <w:p w14:paraId="4AC044E0" w14:textId="77777777" w:rsidR="007960A8" w:rsidRDefault="007960A8">
      <w:pPr>
        <w:pBdr>
          <w:top w:val="nil"/>
          <w:left w:val="nil"/>
          <w:bottom w:val="nil"/>
          <w:right w:val="nil"/>
          <w:between w:val="nil"/>
        </w:pBdr>
        <w:spacing w:before="8"/>
        <w:rPr>
          <w:color w:val="000000"/>
        </w:rPr>
      </w:pPr>
    </w:p>
    <w:p w14:paraId="4D1F15D9" w14:textId="77777777" w:rsidR="007960A8" w:rsidRDefault="00A26397">
      <w:pPr>
        <w:pBdr>
          <w:top w:val="nil"/>
          <w:left w:val="nil"/>
          <w:bottom w:val="nil"/>
          <w:right w:val="nil"/>
          <w:between w:val="nil"/>
        </w:pBdr>
        <w:spacing w:line="256" w:lineRule="auto"/>
        <w:ind w:left="220" w:right="425"/>
        <w:rPr>
          <w:color w:val="000000"/>
        </w:rPr>
      </w:pPr>
      <w:r>
        <w:rPr>
          <w:color w:val="000000"/>
        </w:rPr>
        <w:t>Joint Controllers: where two or more Controllers jointly determine the purposes and means of processing</w:t>
      </w:r>
    </w:p>
    <w:p w14:paraId="3C9602D2" w14:textId="77777777" w:rsidR="007960A8" w:rsidRDefault="007960A8">
      <w:pPr>
        <w:pBdr>
          <w:top w:val="nil"/>
          <w:left w:val="nil"/>
          <w:bottom w:val="nil"/>
          <w:right w:val="nil"/>
          <w:between w:val="nil"/>
        </w:pBdr>
        <w:spacing w:before="1"/>
        <w:rPr>
          <w:color w:val="000000"/>
          <w:sz w:val="21"/>
          <w:szCs w:val="21"/>
        </w:rPr>
      </w:pPr>
    </w:p>
    <w:p w14:paraId="61F6F5B9" w14:textId="77777777" w:rsidR="007960A8" w:rsidRDefault="00A26397">
      <w:pPr>
        <w:pBdr>
          <w:top w:val="nil"/>
          <w:left w:val="nil"/>
          <w:bottom w:val="nil"/>
          <w:right w:val="nil"/>
          <w:between w:val="nil"/>
        </w:pBdr>
        <w:spacing w:line="259" w:lineRule="auto"/>
        <w:ind w:left="220" w:right="256"/>
        <w:rPr>
          <w:color w:val="000000"/>
        </w:rPr>
      </w:pPr>
      <w:r>
        <w:rPr>
          <w:color w:val="000000"/>
        </w:rPr>
        <w:t>Protective Measures: appropriate technical and organisational measures which may include: pseudonymisation and/or encryption of Personal Data, ensuring confidentiality, integrity, availability and resilience of systems and services, ensuring that availabil</w:t>
      </w:r>
      <w:r>
        <w:rPr>
          <w:color w:val="000000"/>
        </w:rPr>
        <w:t>ity of and access to Personal Data can be restored in a timely manner after an incident, and regularly assessing and evaluating the effectiveness of the such measures adopted by it including those outlined in Schedule [x] (Security).</w:t>
      </w:r>
    </w:p>
    <w:p w14:paraId="5A3DA654" w14:textId="77777777" w:rsidR="007960A8" w:rsidRDefault="007960A8">
      <w:pPr>
        <w:pBdr>
          <w:top w:val="nil"/>
          <w:left w:val="nil"/>
          <w:bottom w:val="nil"/>
          <w:right w:val="nil"/>
          <w:between w:val="nil"/>
        </w:pBdr>
        <w:spacing w:line="259" w:lineRule="auto"/>
        <w:ind w:left="220" w:right="256"/>
        <w:rPr>
          <w:color w:val="000000"/>
        </w:rPr>
      </w:pPr>
    </w:p>
    <w:p w14:paraId="0A22C27B" w14:textId="77777777" w:rsidR="007960A8" w:rsidRDefault="00A26397">
      <w:pPr>
        <w:pBdr>
          <w:top w:val="nil"/>
          <w:left w:val="nil"/>
          <w:bottom w:val="nil"/>
          <w:right w:val="nil"/>
          <w:between w:val="nil"/>
        </w:pBdr>
        <w:spacing w:before="1" w:line="259" w:lineRule="auto"/>
        <w:ind w:left="220" w:right="1024"/>
        <w:rPr>
          <w:color w:val="000000"/>
        </w:rPr>
      </w:pPr>
      <w:r>
        <w:rPr>
          <w:color w:val="000000"/>
        </w:rPr>
        <w:t>Sub-processor: any third party appointed to process Personal Data on behalf of that Processor related to this Agreement</w:t>
      </w:r>
    </w:p>
    <w:p w14:paraId="728B939D" w14:textId="77777777" w:rsidR="007960A8" w:rsidRDefault="007960A8">
      <w:pPr>
        <w:pBdr>
          <w:top w:val="nil"/>
          <w:left w:val="nil"/>
          <w:bottom w:val="nil"/>
          <w:right w:val="nil"/>
          <w:between w:val="nil"/>
        </w:pBdr>
        <w:spacing w:before="8"/>
        <w:rPr>
          <w:color w:val="000000"/>
          <w:sz w:val="20"/>
          <w:szCs w:val="20"/>
        </w:rPr>
      </w:pPr>
    </w:p>
    <w:p w14:paraId="6FAAF14F" w14:textId="77777777" w:rsidR="007960A8" w:rsidRDefault="00A26397">
      <w:pPr>
        <w:pStyle w:val="Heading1"/>
        <w:numPr>
          <w:ilvl w:val="0"/>
          <w:numId w:val="49"/>
        </w:numPr>
        <w:tabs>
          <w:tab w:val="left" w:pos="468"/>
        </w:tabs>
        <w:ind w:hanging="248"/>
      </w:pPr>
      <w:r>
        <w:t>DATA PROTECTION</w:t>
      </w:r>
    </w:p>
    <w:p w14:paraId="0BF84688" w14:textId="77777777" w:rsidR="007960A8" w:rsidRDefault="007960A8">
      <w:pPr>
        <w:pBdr>
          <w:top w:val="nil"/>
          <w:left w:val="nil"/>
          <w:bottom w:val="nil"/>
          <w:right w:val="nil"/>
          <w:between w:val="nil"/>
        </w:pBdr>
        <w:spacing w:before="8"/>
        <w:rPr>
          <w:b/>
          <w:bCs/>
          <w:color w:val="000000"/>
        </w:rPr>
      </w:pPr>
    </w:p>
    <w:p w14:paraId="4EB6995C" w14:textId="77777777" w:rsidR="007960A8" w:rsidRDefault="00A26397">
      <w:pPr>
        <w:numPr>
          <w:ilvl w:val="1"/>
          <w:numId w:val="49"/>
        </w:numPr>
        <w:pBdr>
          <w:top w:val="nil"/>
          <w:left w:val="nil"/>
          <w:bottom w:val="nil"/>
          <w:right w:val="nil"/>
          <w:between w:val="nil"/>
        </w:pBdr>
        <w:tabs>
          <w:tab w:val="left" w:pos="588"/>
        </w:tabs>
        <w:spacing w:line="259" w:lineRule="auto"/>
        <w:ind w:right="600" w:firstLine="0"/>
        <w:rPr>
          <w:color w:val="000000"/>
        </w:rPr>
      </w:pPr>
      <w:r>
        <w:rPr>
          <w:color w:val="000000"/>
        </w:rPr>
        <w:t xml:space="preserve">The Parties acknowledge that for the purposes of the Data Protection Legislation, the </w:t>
      </w:r>
      <w:r>
        <w:rPr>
          <w:i/>
          <w:iCs/>
          <w:color w:val="000000"/>
        </w:rPr>
        <w:t xml:space="preserve">Client </w:t>
      </w:r>
      <w:r>
        <w:rPr>
          <w:color w:val="000000"/>
        </w:rPr>
        <w:t>is the Controller and the</w:t>
      </w:r>
      <w:r>
        <w:rPr>
          <w:color w:val="000000"/>
        </w:rPr>
        <w:t xml:space="preserve"> </w:t>
      </w:r>
      <w:r>
        <w:rPr>
          <w:i/>
          <w:iCs/>
          <w:color w:val="000000"/>
        </w:rPr>
        <w:t xml:space="preserve">Service Provider </w:t>
      </w:r>
      <w:r>
        <w:rPr>
          <w:color w:val="000000"/>
        </w:rPr>
        <w:t>is the Processor unless otherwise specified in Schedule</w:t>
      </w:r>
    </w:p>
    <w:p w14:paraId="4E2642FA" w14:textId="77777777" w:rsidR="007960A8" w:rsidRDefault="007960A8">
      <w:pPr>
        <w:pBdr>
          <w:top w:val="nil"/>
          <w:left w:val="nil"/>
          <w:bottom w:val="nil"/>
          <w:right w:val="nil"/>
          <w:between w:val="nil"/>
        </w:pBdr>
        <w:spacing w:before="11"/>
        <w:rPr>
          <w:color w:val="000000"/>
          <w:sz w:val="20"/>
          <w:szCs w:val="20"/>
        </w:rPr>
      </w:pPr>
    </w:p>
    <w:p w14:paraId="2CE44185" w14:textId="77777777" w:rsidR="007960A8" w:rsidRDefault="00A26397">
      <w:pPr>
        <w:pBdr>
          <w:top w:val="nil"/>
          <w:left w:val="nil"/>
          <w:bottom w:val="nil"/>
          <w:right w:val="nil"/>
          <w:between w:val="nil"/>
        </w:pBdr>
        <w:spacing w:line="256" w:lineRule="auto"/>
        <w:ind w:left="220" w:right="535"/>
        <w:rPr>
          <w:color w:val="000000"/>
        </w:rPr>
      </w:pPr>
      <w:r>
        <w:rPr>
          <w:color w:val="000000"/>
        </w:rPr>
        <w:t>[X]. The only processing that the Processor is authorised to do is listed in Schedule [X] by the Controller and may not be determined by the Processor.</w:t>
      </w:r>
    </w:p>
    <w:p w14:paraId="4BB256D8" w14:textId="77777777" w:rsidR="007960A8" w:rsidRDefault="007960A8">
      <w:pPr>
        <w:pBdr>
          <w:top w:val="nil"/>
          <w:left w:val="nil"/>
          <w:bottom w:val="nil"/>
          <w:right w:val="nil"/>
          <w:between w:val="nil"/>
        </w:pBdr>
        <w:spacing w:before="2"/>
        <w:rPr>
          <w:color w:val="000000"/>
          <w:sz w:val="21"/>
          <w:szCs w:val="21"/>
        </w:rPr>
      </w:pPr>
    </w:p>
    <w:p w14:paraId="13BA79E8" w14:textId="77777777" w:rsidR="007960A8" w:rsidRDefault="00A26397">
      <w:pPr>
        <w:numPr>
          <w:ilvl w:val="1"/>
          <w:numId w:val="49"/>
        </w:numPr>
        <w:pBdr>
          <w:top w:val="nil"/>
          <w:left w:val="nil"/>
          <w:bottom w:val="nil"/>
          <w:right w:val="nil"/>
          <w:between w:val="nil"/>
        </w:pBdr>
        <w:tabs>
          <w:tab w:val="left" w:pos="588"/>
        </w:tabs>
        <w:spacing w:line="259" w:lineRule="auto"/>
        <w:ind w:right="928" w:firstLine="0"/>
        <w:rPr>
          <w:color w:val="000000"/>
        </w:rPr>
      </w:pPr>
      <w:r>
        <w:rPr>
          <w:color w:val="000000"/>
        </w:rPr>
        <w:t>The Processor shall notify the Controller immediately if it considers that any of the Controller's inst</w:t>
      </w:r>
      <w:r>
        <w:rPr>
          <w:color w:val="000000"/>
        </w:rPr>
        <w:t>ructions infringe the Data Protection Legislation.</w:t>
      </w:r>
    </w:p>
    <w:p w14:paraId="73E38029" w14:textId="77777777" w:rsidR="007960A8" w:rsidRDefault="007960A8">
      <w:pPr>
        <w:pBdr>
          <w:top w:val="nil"/>
          <w:left w:val="nil"/>
          <w:bottom w:val="nil"/>
          <w:right w:val="nil"/>
          <w:between w:val="nil"/>
        </w:pBdr>
        <w:rPr>
          <w:color w:val="000000"/>
          <w:sz w:val="21"/>
          <w:szCs w:val="21"/>
        </w:rPr>
      </w:pPr>
    </w:p>
    <w:p w14:paraId="79B89EA6" w14:textId="77777777" w:rsidR="007960A8" w:rsidRDefault="00A26397">
      <w:pPr>
        <w:numPr>
          <w:ilvl w:val="1"/>
          <w:numId w:val="49"/>
        </w:numPr>
        <w:pBdr>
          <w:top w:val="nil"/>
          <w:left w:val="nil"/>
          <w:bottom w:val="nil"/>
          <w:right w:val="nil"/>
          <w:between w:val="nil"/>
        </w:pBdr>
        <w:tabs>
          <w:tab w:val="left" w:pos="588"/>
        </w:tabs>
        <w:spacing w:line="259" w:lineRule="auto"/>
        <w:ind w:right="220" w:firstLine="0"/>
        <w:rPr>
          <w:color w:val="000000"/>
        </w:rPr>
      </w:pPr>
      <w:r>
        <w:rPr>
          <w:color w:val="000000"/>
        </w:rPr>
        <w:t>The Processor shall provide all reasonable assistance to the Controller in the preparation of any Data Protection Impact Assessment prior to commencing any processing. Such assistance may, at the discretion of the Controller, include:</w:t>
      </w:r>
    </w:p>
    <w:p w14:paraId="3AAB4CF4" w14:textId="77777777" w:rsidR="007960A8" w:rsidRDefault="007960A8">
      <w:pPr>
        <w:pBdr>
          <w:top w:val="nil"/>
          <w:left w:val="nil"/>
          <w:bottom w:val="nil"/>
          <w:right w:val="nil"/>
          <w:between w:val="nil"/>
        </w:pBdr>
        <w:spacing w:before="8"/>
        <w:rPr>
          <w:color w:val="000000"/>
          <w:sz w:val="20"/>
          <w:szCs w:val="20"/>
        </w:rPr>
      </w:pPr>
    </w:p>
    <w:p w14:paraId="58B3EFDA" w14:textId="77777777" w:rsidR="007960A8" w:rsidRDefault="00A26397">
      <w:pPr>
        <w:numPr>
          <w:ilvl w:val="0"/>
          <w:numId w:val="48"/>
        </w:numPr>
        <w:pBdr>
          <w:top w:val="nil"/>
          <w:left w:val="nil"/>
          <w:bottom w:val="nil"/>
          <w:right w:val="nil"/>
          <w:between w:val="nil"/>
        </w:pBdr>
        <w:tabs>
          <w:tab w:val="left" w:pos="552"/>
        </w:tabs>
        <w:spacing w:line="259" w:lineRule="auto"/>
        <w:ind w:right="413" w:firstLine="0"/>
        <w:rPr>
          <w:color w:val="000000"/>
        </w:rPr>
      </w:pPr>
      <w:r>
        <w:rPr>
          <w:color w:val="000000"/>
        </w:rPr>
        <w:t>a systematic descrip</w:t>
      </w:r>
      <w:r>
        <w:rPr>
          <w:color w:val="000000"/>
        </w:rPr>
        <w:t>tion of the envisaged processing operations and the purpose of the processing;</w:t>
      </w:r>
    </w:p>
    <w:p w14:paraId="0A05556A" w14:textId="77777777" w:rsidR="007960A8" w:rsidRDefault="007960A8">
      <w:pPr>
        <w:pBdr>
          <w:top w:val="nil"/>
          <w:left w:val="nil"/>
          <w:bottom w:val="nil"/>
          <w:right w:val="nil"/>
          <w:between w:val="nil"/>
        </w:pBdr>
        <w:spacing w:before="9"/>
        <w:rPr>
          <w:color w:val="000000"/>
          <w:sz w:val="20"/>
          <w:szCs w:val="20"/>
        </w:rPr>
      </w:pPr>
    </w:p>
    <w:p w14:paraId="09AA8779" w14:textId="77777777" w:rsidR="007960A8" w:rsidRDefault="00A26397">
      <w:pPr>
        <w:numPr>
          <w:ilvl w:val="0"/>
          <w:numId w:val="48"/>
        </w:numPr>
        <w:pBdr>
          <w:top w:val="nil"/>
          <w:left w:val="nil"/>
          <w:bottom w:val="nil"/>
          <w:right w:val="nil"/>
          <w:between w:val="nil"/>
        </w:pBdr>
        <w:tabs>
          <w:tab w:val="left" w:pos="552"/>
        </w:tabs>
        <w:spacing w:line="259" w:lineRule="auto"/>
        <w:ind w:right="912" w:firstLine="0"/>
        <w:rPr>
          <w:color w:val="000000"/>
        </w:rPr>
      </w:pPr>
      <w:r>
        <w:rPr>
          <w:color w:val="000000"/>
        </w:rPr>
        <w:t xml:space="preserve">an assessment of the necessity and proportionality of the processing operations in relation to the </w:t>
      </w:r>
      <w:r>
        <w:rPr>
          <w:i/>
          <w:iCs/>
          <w:color w:val="000000"/>
        </w:rPr>
        <w:t>service</w:t>
      </w:r>
      <w:r>
        <w:rPr>
          <w:color w:val="000000"/>
        </w:rPr>
        <w:t>;</w:t>
      </w:r>
    </w:p>
    <w:p w14:paraId="6E1BD6C4" w14:textId="77777777" w:rsidR="007960A8" w:rsidRDefault="007960A8">
      <w:pPr>
        <w:pBdr>
          <w:top w:val="nil"/>
          <w:left w:val="nil"/>
          <w:bottom w:val="nil"/>
          <w:right w:val="nil"/>
          <w:between w:val="nil"/>
        </w:pBdr>
        <w:spacing w:before="10"/>
        <w:rPr>
          <w:color w:val="000000"/>
          <w:sz w:val="20"/>
          <w:szCs w:val="20"/>
        </w:rPr>
      </w:pPr>
    </w:p>
    <w:p w14:paraId="3D0B04AE" w14:textId="77777777" w:rsidR="007960A8" w:rsidRDefault="00A26397">
      <w:pPr>
        <w:numPr>
          <w:ilvl w:val="0"/>
          <w:numId w:val="48"/>
        </w:numPr>
        <w:pBdr>
          <w:top w:val="nil"/>
          <w:left w:val="nil"/>
          <w:bottom w:val="nil"/>
          <w:right w:val="nil"/>
          <w:between w:val="nil"/>
        </w:pBdr>
        <w:tabs>
          <w:tab w:val="left" w:pos="540"/>
        </w:tabs>
        <w:spacing w:before="1"/>
        <w:ind w:left="539" w:hanging="320"/>
        <w:rPr>
          <w:color w:val="000000"/>
        </w:rPr>
      </w:pPr>
      <w:r>
        <w:rPr>
          <w:color w:val="000000"/>
        </w:rPr>
        <w:t>an assessment of the risks to the rights and freedoms of Data Subjects; and</w:t>
      </w:r>
    </w:p>
    <w:p w14:paraId="6ABF5B34" w14:textId="77777777" w:rsidR="007960A8" w:rsidRDefault="007960A8">
      <w:pPr>
        <w:pBdr>
          <w:top w:val="nil"/>
          <w:left w:val="nil"/>
          <w:bottom w:val="nil"/>
          <w:right w:val="nil"/>
          <w:between w:val="nil"/>
        </w:pBdr>
        <w:spacing w:before="8"/>
        <w:rPr>
          <w:color w:val="000000"/>
        </w:rPr>
      </w:pPr>
    </w:p>
    <w:p w14:paraId="4A1ACB7B" w14:textId="77777777" w:rsidR="007960A8" w:rsidRDefault="00A26397">
      <w:pPr>
        <w:numPr>
          <w:ilvl w:val="0"/>
          <w:numId w:val="48"/>
        </w:numPr>
        <w:pBdr>
          <w:top w:val="nil"/>
          <w:left w:val="nil"/>
          <w:bottom w:val="nil"/>
          <w:right w:val="nil"/>
          <w:between w:val="nil"/>
        </w:pBdr>
        <w:tabs>
          <w:tab w:val="left" w:pos="552"/>
        </w:tabs>
        <w:spacing w:line="256" w:lineRule="auto"/>
        <w:ind w:right="502" w:firstLine="0"/>
        <w:rPr>
          <w:color w:val="000000"/>
        </w:rPr>
      </w:pPr>
      <w:r>
        <w:rPr>
          <w:color w:val="000000"/>
        </w:rPr>
        <w:t>the measures envisaged to address the risks, including safeguards, security measures and mechanisms to ensure the protection of Personal Data.</w:t>
      </w:r>
    </w:p>
    <w:p w14:paraId="00FD159D" w14:textId="77777777" w:rsidR="007960A8" w:rsidRDefault="007960A8">
      <w:pPr>
        <w:pBdr>
          <w:top w:val="nil"/>
          <w:left w:val="nil"/>
          <w:bottom w:val="nil"/>
          <w:right w:val="nil"/>
          <w:between w:val="nil"/>
        </w:pBdr>
        <w:spacing w:before="1"/>
        <w:rPr>
          <w:color w:val="000000"/>
          <w:sz w:val="21"/>
          <w:szCs w:val="21"/>
        </w:rPr>
      </w:pPr>
    </w:p>
    <w:p w14:paraId="0832D90B" w14:textId="77777777" w:rsidR="007960A8" w:rsidRDefault="00A26397">
      <w:pPr>
        <w:numPr>
          <w:ilvl w:val="1"/>
          <w:numId w:val="49"/>
        </w:numPr>
        <w:pBdr>
          <w:top w:val="nil"/>
          <w:left w:val="nil"/>
          <w:bottom w:val="nil"/>
          <w:right w:val="nil"/>
          <w:between w:val="nil"/>
        </w:pBdr>
        <w:tabs>
          <w:tab w:val="left" w:pos="588"/>
        </w:tabs>
        <w:spacing w:before="1" w:line="259" w:lineRule="auto"/>
        <w:ind w:right="573" w:firstLine="0"/>
        <w:rPr>
          <w:color w:val="000000"/>
        </w:rPr>
      </w:pPr>
      <w:r>
        <w:rPr>
          <w:color w:val="000000"/>
        </w:rPr>
        <w:t>The Processor shall, in relation to any Personal Data processed in connection with its obligations under this Agreement:</w:t>
      </w:r>
    </w:p>
    <w:p w14:paraId="21BD2688" w14:textId="77777777" w:rsidR="007960A8" w:rsidRDefault="007960A8">
      <w:pPr>
        <w:pBdr>
          <w:top w:val="nil"/>
          <w:left w:val="nil"/>
          <w:bottom w:val="nil"/>
          <w:right w:val="nil"/>
          <w:between w:val="nil"/>
        </w:pBdr>
        <w:spacing w:before="10"/>
        <w:rPr>
          <w:color w:val="000000"/>
          <w:sz w:val="20"/>
          <w:szCs w:val="20"/>
        </w:rPr>
      </w:pPr>
    </w:p>
    <w:p w14:paraId="707C02D6" w14:textId="77777777" w:rsidR="007960A8" w:rsidRDefault="00A26397">
      <w:pPr>
        <w:numPr>
          <w:ilvl w:val="0"/>
          <w:numId w:val="47"/>
        </w:numPr>
        <w:pBdr>
          <w:top w:val="nil"/>
          <w:left w:val="nil"/>
          <w:bottom w:val="nil"/>
          <w:right w:val="nil"/>
          <w:between w:val="nil"/>
        </w:pBdr>
        <w:tabs>
          <w:tab w:val="left" w:pos="552"/>
        </w:tabs>
        <w:spacing w:line="259" w:lineRule="auto"/>
        <w:ind w:right="304" w:firstLine="0"/>
        <w:jc w:val="both"/>
        <w:rPr>
          <w:color w:val="000000"/>
        </w:rPr>
      </w:pPr>
      <w:r>
        <w:rPr>
          <w:color w:val="000000"/>
        </w:rPr>
        <w:t xml:space="preserve">process that Personal Data only in accordance with Schedule [X], unless the Processor is required to do otherwise by Law. If it is so </w:t>
      </w:r>
      <w:r>
        <w:rPr>
          <w:color w:val="000000"/>
        </w:rPr>
        <w:t>required the Processor shall promptly notify the Controller before processing the Personal Data unless prohibited by Law;</w:t>
      </w:r>
    </w:p>
    <w:p w14:paraId="6085C29D" w14:textId="77777777" w:rsidR="007960A8" w:rsidRDefault="007960A8">
      <w:pPr>
        <w:pBdr>
          <w:top w:val="nil"/>
          <w:left w:val="nil"/>
          <w:bottom w:val="nil"/>
          <w:right w:val="nil"/>
          <w:between w:val="nil"/>
        </w:pBdr>
        <w:spacing w:before="9"/>
        <w:rPr>
          <w:color w:val="000000"/>
          <w:sz w:val="20"/>
          <w:szCs w:val="20"/>
        </w:rPr>
      </w:pPr>
    </w:p>
    <w:p w14:paraId="0687F4CE" w14:textId="77777777" w:rsidR="007960A8" w:rsidRDefault="00A26397">
      <w:pPr>
        <w:numPr>
          <w:ilvl w:val="0"/>
          <w:numId w:val="47"/>
        </w:numPr>
        <w:pBdr>
          <w:top w:val="nil"/>
          <w:left w:val="nil"/>
          <w:bottom w:val="nil"/>
          <w:right w:val="nil"/>
          <w:between w:val="nil"/>
        </w:pBdr>
        <w:tabs>
          <w:tab w:val="left" w:pos="552"/>
        </w:tabs>
        <w:spacing w:line="259" w:lineRule="auto"/>
        <w:ind w:right="260" w:firstLine="0"/>
        <w:rPr>
          <w:color w:val="000000"/>
        </w:rPr>
      </w:pPr>
      <w:r>
        <w:rPr>
          <w:color w:val="000000"/>
        </w:rPr>
        <w:t>ensure that it has in place Protective Measures, are appropriate to protect against a Data Loss Event, which the Controller may reasonably reject (but failure to reject shall not amount to approval by the Controller of the adequacy of the Protective Measur</w:t>
      </w:r>
      <w:r>
        <w:rPr>
          <w:color w:val="000000"/>
        </w:rPr>
        <w:t>es), having taken account of the:</w:t>
      </w:r>
    </w:p>
    <w:p w14:paraId="28C7284D" w14:textId="77777777" w:rsidR="007960A8" w:rsidRDefault="007960A8">
      <w:pPr>
        <w:pBdr>
          <w:top w:val="nil"/>
          <w:left w:val="nil"/>
          <w:bottom w:val="nil"/>
          <w:right w:val="nil"/>
          <w:between w:val="nil"/>
        </w:pBdr>
        <w:spacing w:before="10"/>
        <w:rPr>
          <w:color w:val="000000"/>
          <w:sz w:val="20"/>
          <w:szCs w:val="20"/>
        </w:rPr>
      </w:pPr>
    </w:p>
    <w:p w14:paraId="7B61E4EA" w14:textId="77777777" w:rsidR="007960A8" w:rsidRDefault="00A26397">
      <w:pPr>
        <w:numPr>
          <w:ilvl w:val="0"/>
          <w:numId w:val="46"/>
        </w:numPr>
        <w:pBdr>
          <w:top w:val="nil"/>
          <w:left w:val="nil"/>
          <w:bottom w:val="nil"/>
          <w:right w:val="nil"/>
          <w:between w:val="nil"/>
        </w:pBdr>
        <w:tabs>
          <w:tab w:val="left" w:pos="480"/>
        </w:tabs>
        <w:ind w:hanging="260"/>
        <w:rPr>
          <w:color w:val="000000"/>
        </w:rPr>
      </w:pPr>
      <w:r>
        <w:rPr>
          <w:color w:val="000000"/>
        </w:rPr>
        <w:t>nature of the data to be protected;</w:t>
      </w:r>
    </w:p>
    <w:p w14:paraId="7597E821" w14:textId="77777777" w:rsidR="007960A8" w:rsidRDefault="007960A8">
      <w:pPr>
        <w:pBdr>
          <w:top w:val="nil"/>
          <w:left w:val="nil"/>
          <w:bottom w:val="nil"/>
          <w:right w:val="nil"/>
          <w:between w:val="nil"/>
        </w:pBdr>
        <w:spacing w:before="7"/>
        <w:rPr>
          <w:color w:val="000000"/>
        </w:rPr>
      </w:pPr>
    </w:p>
    <w:p w14:paraId="5FB13565" w14:textId="77777777" w:rsidR="007960A8" w:rsidRDefault="00A26397">
      <w:pPr>
        <w:numPr>
          <w:ilvl w:val="0"/>
          <w:numId w:val="46"/>
        </w:numPr>
        <w:pBdr>
          <w:top w:val="nil"/>
          <w:left w:val="nil"/>
          <w:bottom w:val="nil"/>
          <w:right w:val="nil"/>
          <w:between w:val="nil"/>
        </w:pBdr>
        <w:tabs>
          <w:tab w:val="left" w:pos="527"/>
        </w:tabs>
        <w:spacing w:before="1"/>
        <w:ind w:left="526" w:hanging="307"/>
        <w:rPr>
          <w:color w:val="000000"/>
        </w:rPr>
      </w:pPr>
      <w:r>
        <w:rPr>
          <w:color w:val="000000"/>
        </w:rPr>
        <w:t>harm that might result from a Data Loss Event;</w:t>
      </w:r>
    </w:p>
    <w:p w14:paraId="2C5A43D3" w14:textId="77777777" w:rsidR="007960A8" w:rsidRDefault="007960A8">
      <w:pPr>
        <w:pBdr>
          <w:top w:val="nil"/>
          <w:left w:val="nil"/>
          <w:bottom w:val="nil"/>
          <w:right w:val="nil"/>
          <w:between w:val="nil"/>
        </w:pBdr>
        <w:spacing w:before="5"/>
        <w:rPr>
          <w:color w:val="000000"/>
        </w:rPr>
      </w:pPr>
    </w:p>
    <w:p w14:paraId="1DE8D138" w14:textId="77777777" w:rsidR="007960A8" w:rsidRDefault="00A26397">
      <w:pPr>
        <w:numPr>
          <w:ilvl w:val="0"/>
          <w:numId w:val="46"/>
        </w:numPr>
        <w:pBdr>
          <w:top w:val="nil"/>
          <w:left w:val="nil"/>
          <w:bottom w:val="nil"/>
          <w:right w:val="nil"/>
          <w:between w:val="nil"/>
        </w:pBdr>
        <w:tabs>
          <w:tab w:val="left" w:pos="575"/>
        </w:tabs>
        <w:ind w:left="574" w:hanging="355"/>
        <w:rPr>
          <w:color w:val="000000"/>
        </w:rPr>
      </w:pPr>
      <w:r>
        <w:rPr>
          <w:color w:val="000000"/>
        </w:rPr>
        <w:t>state of technological development; and</w:t>
      </w:r>
    </w:p>
    <w:p w14:paraId="07AF0379" w14:textId="77777777" w:rsidR="007960A8" w:rsidRDefault="007960A8">
      <w:pPr>
        <w:pBdr>
          <w:top w:val="nil"/>
          <w:left w:val="nil"/>
          <w:bottom w:val="nil"/>
          <w:right w:val="nil"/>
          <w:between w:val="nil"/>
        </w:pBdr>
        <w:spacing w:before="7"/>
        <w:rPr>
          <w:color w:val="000000"/>
        </w:rPr>
      </w:pPr>
    </w:p>
    <w:p w14:paraId="6025004A" w14:textId="77777777" w:rsidR="007960A8" w:rsidRDefault="00A26397">
      <w:pPr>
        <w:numPr>
          <w:ilvl w:val="0"/>
          <w:numId w:val="46"/>
        </w:numPr>
        <w:pBdr>
          <w:top w:val="nil"/>
          <w:left w:val="nil"/>
          <w:bottom w:val="nil"/>
          <w:right w:val="nil"/>
          <w:between w:val="nil"/>
        </w:pBdr>
        <w:tabs>
          <w:tab w:val="left" w:pos="587"/>
        </w:tabs>
        <w:ind w:left="587" w:hanging="367"/>
        <w:rPr>
          <w:color w:val="000000"/>
        </w:rPr>
        <w:sectPr w:rsidR="007960A8">
          <w:pgSz w:w="11910" w:h="16840"/>
          <w:pgMar w:top="2080" w:right="1220" w:bottom="1200" w:left="1220" w:header="838" w:footer="1000" w:gutter="0"/>
          <w:cols w:space="720"/>
        </w:sectPr>
      </w:pPr>
      <w:r>
        <w:rPr>
          <w:color w:val="000000"/>
        </w:rPr>
        <w:t>cost of implementing any measures;</w:t>
      </w:r>
    </w:p>
    <w:p w14:paraId="0688EDBB" w14:textId="77777777" w:rsidR="007960A8" w:rsidRDefault="007960A8">
      <w:pPr>
        <w:pBdr>
          <w:top w:val="nil"/>
          <w:left w:val="nil"/>
          <w:bottom w:val="nil"/>
          <w:right w:val="nil"/>
          <w:between w:val="nil"/>
        </w:pBdr>
        <w:rPr>
          <w:color w:val="000000"/>
          <w:sz w:val="20"/>
          <w:szCs w:val="20"/>
        </w:rPr>
      </w:pPr>
    </w:p>
    <w:p w14:paraId="4E14C00D" w14:textId="77777777" w:rsidR="007960A8" w:rsidRDefault="007960A8">
      <w:pPr>
        <w:pBdr>
          <w:top w:val="nil"/>
          <w:left w:val="nil"/>
          <w:bottom w:val="nil"/>
          <w:right w:val="nil"/>
          <w:between w:val="nil"/>
        </w:pBdr>
        <w:spacing w:before="9"/>
        <w:rPr>
          <w:color w:val="000000"/>
          <w:sz w:val="19"/>
          <w:szCs w:val="19"/>
        </w:rPr>
      </w:pPr>
    </w:p>
    <w:p w14:paraId="0D189781" w14:textId="77777777" w:rsidR="007960A8" w:rsidRDefault="00A26397">
      <w:pPr>
        <w:numPr>
          <w:ilvl w:val="0"/>
          <w:numId w:val="47"/>
        </w:numPr>
        <w:pBdr>
          <w:top w:val="nil"/>
          <w:left w:val="nil"/>
          <w:bottom w:val="nil"/>
          <w:right w:val="nil"/>
          <w:between w:val="nil"/>
        </w:pBdr>
        <w:tabs>
          <w:tab w:val="left" w:pos="540"/>
        </w:tabs>
        <w:spacing w:before="1"/>
        <w:ind w:left="539" w:hanging="320"/>
        <w:rPr>
          <w:color w:val="000000"/>
        </w:rPr>
      </w:pPr>
      <w:r>
        <w:rPr>
          <w:color w:val="000000"/>
        </w:rPr>
        <w:t>ensure that:</w:t>
      </w:r>
    </w:p>
    <w:p w14:paraId="0378EF1B" w14:textId="77777777" w:rsidR="007960A8" w:rsidRDefault="007960A8">
      <w:pPr>
        <w:pBdr>
          <w:top w:val="nil"/>
          <w:left w:val="nil"/>
          <w:bottom w:val="nil"/>
          <w:right w:val="nil"/>
          <w:between w:val="nil"/>
        </w:pBdr>
        <w:spacing w:before="7"/>
        <w:rPr>
          <w:color w:val="000000"/>
        </w:rPr>
      </w:pPr>
    </w:p>
    <w:p w14:paraId="51799DF9" w14:textId="77777777" w:rsidR="007960A8" w:rsidRDefault="00A26397">
      <w:pPr>
        <w:numPr>
          <w:ilvl w:val="0"/>
          <w:numId w:val="45"/>
        </w:numPr>
        <w:pBdr>
          <w:top w:val="nil"/>
          <w:left w:val="nil"/>
          <w:bottom w:val="nil"/>
          <w:right w:val="nil"/>
          <w:between w:val="nil"/>
        </w:pBdr>
        <w:tabs>
          <w:tab w:val="left" w:pos="477"/>
        </w:tabs>
        <w:spacing w:line="259" w:lineRule="auto"/>
        <w:ind w:right="625" w:firstLine="0"/>
        <w:rPr>
          <w:color w:val="000000"/>
        </w:rPr>
      </w:pPr>
      <w:r>
        <w:rPr>
          <w:color w:val="000000"/>
        </w:rPr>
        <w:t>the Processor Personnel do not process Personal Data except in accordance with this Agreement (and in particular Schedule X);</w:t>
      </w:r>
    </w:p>
    <w:p w14:paraId="41AE3804" w14:textId="77777777" w:rsidR="007960A8" w:rsidRDefault="007960A8">
      <w:pPr>
        <w:pBdr>
          <w:top w:val="nil"/>
          <w:left w:val="nil"/>
          <w:bottom w:val="nil"/>
          <w:right w:val="nil"/>
          <w:between w:val="nil"/>
        </w:pBdr>
        <w:spacing w:before="9"/>
        <w:rPr>
          <w:color w:val="000000"/>
          <w:sz w:val="20"/>
          <w:szCs w:val="20"/>
        </w:rPr>
      </w:pPr>
    </w:p>
    <w:p w14:paraId="53A7D422" w14:textId="77777777" w:rsidR="007960A8" w:rsidRDefault="00A26397">
      <w:pPr>
        <w:numPr>
          <w:ilvl w:val="0"/>
          <w:numId w:val="45"/>
        </w:numPr>
        <w:pBdr>
          <w:top w:val="nil"/>
          <w:left w:val="nil"/>
          <w:bottom w:val="nil"/>
          <w:right w:val="nil"/>
          <w:between w:val="nil"/>
        </w:pBdr>
        <w:tabs>
          <w:tab w:val="left" w:pos="527"/>
        </w:tabs>
        <w:spacing w:line="259" w:lineRule="auto"/>
        <w:ind w:right="990" w:firstLine="0"/>
        <w:rPr>
          <w:color w:val="000000"/>
        </w:rPr>
      </w:pPr>
      <w:r>
        <w:rPr>
          <w:color w:val="000000"/>
        </w:rPr>
        <w:t>it takes all reasonable steps to ensure the reliability and integrity of any Processor Personnel who have access to the Personal Data and ensure that they:</w:t>
      </w:r>
    </w:p>
    <w:p w14:paraId="6881FEA8" w14:textId="77777777" w:rsidR="007960A8" w:rsidRDefault="007960A8">
      <w:pPr>
        <w:pBdr>
          <w:top w:val="nil"/>
          <w:left w:val="nil"/>
          <w:bottom w:val="nil"/>
          <w:right w:val="nil"/>
          <w:between w:val="nil"/>
        </w:pBdr>
        <w:spacing w:before="10"/>
        <w:rPr>
          <w:color w:val="000000"/>
          <w:sz w:val="20"/>
          <w:szCs w:val="20"/>
        </w:rPr>
      </w:pPr>
    </w:p>
    <w:p w14:paraId="5E1358DB" w14:textId="77777777" w:rsidR="007960A8" w:rsidRDefault="00A26397">
      <w:pPr>
        <w:numPr>
          <w:ilvl w:val="0"/>
          <w:numId w:val="43"/>
        </w:numPr>
        <w:pBdr>
          <w:top w:val="nil"/>
          <w:left w:val="nil"/>
          <w:bottom w:val="nil"/>
          <w:right w:val="nil"/>
          <w:between w:val="nil"/>
        </w:pBdr>
        <w:tabs>
          <w:tab w:val="left" w:pos="578"/>
        </w:tabs>
        <w:ind w:hanging="358"/>
        <w:rPr>
          <w:color w:val="000000"/>
        </w:rPr>
      </w:pPr>
      <w:r>
        <w:rPr>
          <w:color w:val="000000"/>
        </w:rPr>
        <w:t>are aware of and comply with the Processor’s duties under this clause;</w:t>
      </w:r>
    </w:p>
    <w:p w14:paraId="2744C3FE" w14:textId="77777777" w:rsidR="007960A8" w:rsidRDefault="007960A8">
      <w:pPr>
        <w:pBdr>
          <w:top w:val="nil"/>
          <w:left w:val="nil"/>
          <w:bottom w:val="nil"/>
          <w:right w:val="nil"/>
          <w:between w:val="nil"/>
        </w:pBdr>
        <w:spacing w:before="8"/>
        <w:rPr>
          <w:color w:val="000000"/>
        </w:rPr>
      </w:pPr>
    </w:p>
    <w:p w14:paraId="141FB979" w14:textId="77777777" w:rsidR="007960A8" w:rsidRDefault="00A26397">
      <w:pPr>
        <w:numPr>
          <w:ilvl w:val="0"/>
          <w:numId w:val="43"/>
        </w:numPr>
        <w:pBdr>
          <w:top w:val="nil"/>
          <w:left w:val="nil"/>
          <w:bottom w:val="nil"/>
          <w:right w:val="nil"/>
          <w:between w:val="nil"/>
        </w:pBdr>
        <w:tabs>
          <w:tab w:val="left" w:pos="579"/>
        </w:tabs>
        <w:spacing w:line="256" w:lineRule="auto"/>
        <w:ind w:left="220" w:right="608" w:firstLine="0"/>
        <w:rPr>
          <w:color w:val="000000"/>
        </w:rPr>
      </w:pPr>
      <w:r>
        <w:rPr>
          <w:color w:val="000000"/>
        </w:rPr>
        <w:t>are subject to appropriate confidentiality undertakings with the Processor or any Sub- processor;</w:t>
      </w:r>
    </w:p>
    <w:p w14:paraId="201B1467" w14:textId="77777777" w:rsidR="007960A8" w:rsidRDefault="007960A8">
      <w:pPr>
        <w:pBdr>
          <w:top w:val="nil"/>
          <w:left w:val="nil"/>
          <w:bottom w:val="nil"/>
          <w:right w:val="nil"/>
          <w:between w:val="nil"/>
        </w:pBdr>
        <w:spacing w:before="2"/>
        <w:rPr>
          <w:color w:val="000000"/>
          <w:sz w:val="21"/>
          <w:szCs w:val="21"/>
        </w:rPr>
      </w:pPr>
    </w:p>
    <w:p w14:paraId="49EA64CC" w14:textId="77777777" w:rsidR="007960A8" w:rsidRDefault="00A26397">
      <w:pPr>
        <w:numPr>
          <w:ilvl w:val="0"/>
          <w:numId w:val="43"/>
        </w:numPr>
        <w:pBdr>
          <w:top w:val="nil"/>
          <w:left w:val="nil"/>
          <w:bottom w:val="nil"/>
          <w:right w:val="nil"/>
          <w:between w:val="nil"/>
        </w:pBdr>
        <w:tabs>
          <w:tab w:val="left" w:pos="590"/>
        </w:tabs>
        <w:spacing w:before="1" w:line="259" w:lineRule="auto"/>
        <w:ind w:left="220" w:right="328" w:firstLine="0"/>
        <w:rPr>
          <w:color w:val="000000"/>
        </w:rPr>
      </w:pPr>
      <w:r>
        <w:rPr>
          <w:color w:val="000000"/>
        </w:rPr>
        <w:t>are informed of the confidential nature of the Personal Data and do not publish, disclose or divulge any of the Personal Data to any third Party unless direc</w:t>
      </w:r>
      <w:r>
        <w:rPr>
          <w:color w:val="000000"/>
        </w:rPr>
        <w:t>ted in writing to do so by the Controller or as otherwise permitted by this Agreement; and</w:t>
      </w:r>
    </w:p>
    <w:p w14:paraId="4029B47C" w14:textId="77777777" w:rsidR="007960A8" w:rsidRDefault="007960A8">
      <w:pPr>
        <w:pBdr>
          <w:top w:val="nil"/>
          <w:left w:val="nil"/>
          <w:bottom w:val="nil"/>
          <w:right w:val="nil"/>
          <w:between w:val="nil"/>
        </w:pBdr>
        <w:spacing w:before="8"/>
        <w:rPr>
          <w:color w:val="000000"/>
          <w:sz w:val="20"/>
          <w:szCs w:val="20"/>
        </w:rPr>
      </w:pPr>
    </w:p>
    <w:p w14:paraId="1AFDD2BD" w14:textId="77777777" w:rsidR="007960A8" w:rsidRDefault="00A26397">
      <w:pPr>
        <w:numPr>
          <w:ilvl w:val="0"/>
          <w:numId w:val="43"/>
        </w:numPr>
        <w:pBdr>
          <w:top w:val="nil"/>
          <w:left w:val="nil"/>
          <w:bottom w:val="nil"/>
          <w:right w:val="nil"/>
          <w:between w:val="nil"/>
        </w:pBdr>
        <w:tabs>
          <w:tab w:val="left" w:pos="590"/>
        </w:tabs>
        <w:spacing w:line="259" w:lineRule="auto"/>
        <w:ind w:left="220" w:right="375" w:firstLine="0"/>
        <w:rPr>
          <w:color w:val="000000"/>
        </w:rPr>
      </w:pPr>
      <w:r>
        <w:rPr>
          <w:color w:val="000000"/>
        </w:rPr>
        <w:t>have undergone adequate training in the use, care, protection and handling of Personal Data; and</w:t>
      </w:r>
    </w:p>
    <w:p w14:paraId="168A6066" w14:textId="77777777" w:rsidR="007960A8" w:rsidRDefault="007960A8">
      <w:pPr>
        <w:pBdr>
          <w:top w:val="nil"/>
          <w:left w:val="nil"/>
          <w:bottom w:val="nil"/>
          <w:right w:val="nil"/>
          <w:between w:val="nil"/>
        </w:pBdr>
        <w:rPr>
          <w:color w:val="000000"/>
          <w:sz w:val="21"/>
          <w:szCs w:val="21"/>
        </w:rPr>
      </w:pPr>
    </w:p>
    <w:p w14:paraId="55A0E452" w14:textId="77777777" w:rsidR="007960A8" w:rsidRDefault="00A26397">
      <w:pPr>
        <w:numPr>
          <w:ilvl w:val="0"/>
          <w:numId w:val="47"/>
        </w:numPr>
        <w:pBdr>
          <w:top w:val="nil"/>
          <w:left w:val="nil"/>
          <w:bottom w:val="nil"/>
          <w:right w:val="nil"/>
          <w:between w:val="nil"/>
        </w:pBdr>
        <w:tabs>
          <w:tab w:val="left" w:pos="552"/>
        </w:tabs>
        <w:spacing w:line="259" w:lineRule="auto"/>
        <w:ind w:right="874" w:firstLine="0"/>
        <w:rPr>
          <w:color w:val="000000"/>
        </w:rPr>
      </w:pPr>
      <w:r>
        <w:rPr>
          <w:color w:val="000000"/>
        </w:rPr>
        <w:t>not transfer Personal Data outside of the UK unless the prior written consent of the Controller has been obtained and the following conditions are fulfilled:</w:t>
      </w:r>
    </w:p>
    <w:p w14:paraId="186411A2" w14:textId="77777777" w:rsidR="007960A8" w:rsidRDefault="007960A8">
      <w:pPr>
        <w:pBdr>
          <w:top w:val="nil"/>
          <w:left w:val="nil"/>
          <w:bottom w:val="nil"/>
          <w:right w:val="nil"/>
          <w:between w:val="nil"/>
        </w:pBdr>
        <w:spacing w:before="8"/>
        <w:rPr>
          <w:color w:val="000000"/>
          <w:sz w:val="20"/>
          <w:szCs w:val="20"/>
        </w:rPr>
      </w:pPr>
    </w:p>
    <w:p w14:paraId="52052049" w14:textId="77777777" w:rsidR="007960A8" w:rsidRDefault="00A26397">
      <w:pPr>
        <w:numPr>
          <w:ilvl w:val="0"/>
          <w:numId w:val="42"/>
        </w:numPr>
        <w:pBdr>
          <w:top w:val="nil"/>
          <w:left w:val="nil"/>
          <w:bottom w:val="nil"/>
          <w:right w:val="nil"/>
          <w:between w:val="nil"/>
        </w:pBdr>
        <w:tabs>
          <w:tab w:val="left" w:pos="477"/>
        </w:tabs>
        <w:spacing w:line="259" w:lineRule="auto"/>
        <w:ind w:right="474" w:firstLine="0"/>
        <w:rPr>
          <w:color w:val="000000"/>
        </w:rPr>
      </w:pPr>
      <w:r>
        <w:rPr>
          <w:color w:val="000000"/>
        </w:rPr>
        <w:t>the Controller or the Processor has provided appropriate safeguards in relation to the transfer (</w:t>
      </w:r>
      <w:r>
        <w:rPr>
          <w:color w:val="000000"/>
        </w:rPr>
        <w:t>in accordance with the Data Protection Legislation) as determined by the Controller;</w:t>
      </w:r>
    </w:p>
    <w:p w14:paraId="29B45F59" w14:textId="77777777" w:rsidR="007960A8" w:rsidRDefault="007960A8">
      <w:pPr>
        <w:pBdr>
          <w:top w:val="nil"/>
          <w:left w:val="nil"/>
          <w:bottom w:val="nil"/>
          <w:right w:val="nil"/>
          <w:between w:val="nil"/>
        </w:pBdr>
        <w:rPr>
          <w:color w:val="000000"/>
          <w:sz w:val="21"/>
          <w:szCs w:val="21"/>
        </w:rPr>
      </w:pPr>
    </w:p>
    <w:p w14:paraId="07BA901C" w14:textId="77777777" w:rsidR="007960A8" w:rsidRDefault="00A26397">
      <w:pPr>
        <w:numPr>
          <w:ilvl w:val="0"/>
          <w:numId w:val="42"/>
        </w:numPr>
        <w:pBdr>
          <w:top w:val="nil"/>
          <w:left w:val="nil"/>
          <w:bottom w:val="nil"/>
          <w:right w:val="nil"/>
          <w:between w:val="nil"/>
        </w:pBdr>
        <w:tabs>
          <w:tab w:val="left" w:pos="527"/>
        </w:tabs>
        <w:ind w:left="526" w:hanging="307"/>
        <w:rPr>
          <w:color w:val="000000"/>
        </w:rPr>
      </w:pPr>
      <w:r>
        <w:rPr>
          <w:color w:val="000000"/>
        </w:rPr>
        <w:t>the Data Subject has enforceable rights and effective legal remedies;</w:t>
      </w:r>
    </w:p>
    <w:p w14:paraId="1B372D2F" w14:textId="77777777" w:rsidR="007960A8" w:rsidRDefault="007960A8">
      <w:pPr>
        <w:pBdr>
          <w:top w:val="nil"/>
          <w:left w:val="nil"/>
          <w:bottom w:val="nil"/>
          <w:right w:val="nil"/>
          <w:between w:val="nil"/>
        </w:pBdr>
        <w:spacing w:before="5"/>
        <w:rPr>
          <w:color w:val="000000"/>
        </w:rPr>
      </w:pPr>
    </w:p>
    <w:p w14:paraId="2ECD2197" w14:textId="77777777" w:rsidR="007960A8" w:rsidRDefault="00A26397">
      <w:pPr>
        <w:numPr>
          <w:ilvl w:val="0"/>
          <w:numId w:val="42"/>
        </w:numPr>
        <w:pBdr>
          <w:top w:val="nil"/>
          <w:left w:val="nil"/>
          <w:bottom w:val="nil"/>
          <w:right w:val="nil"/>
          <w:between w:val="nil"/>
        </w:pBdr>
        <w:tabs>
          <w:tab w:val="left" w:pos="575"/>
        </w:tabs>
        <w:spacing w:line="259" w:lineRule="auto"/>
        <w:ind w:right="437" w:firstLine="0"/>
        <w:rPr>
          <w:color w:val="000000"/>
        </w:rPr>
      </w:pPr>
      <w:r>
        <w:rPr>
          <w:color w:val="000000"/>
        </w:rPr>
        <w:t>the Processor complies with its obligations under the Data Protection Legislation by providing an adequate level of protection to any Personal Data that is transferred (or, if it is not so bound, uses its best endeavours to assist the Controller in meeting</w:t>
      </w:r>
      <w:r>
        <w:rPr>
          <w:color w:val="000000"/>
        </w:rPr>
        <w:t xml:space="preserve"> its obligations); and</w:t>
      </w:r>
    </w:p>
    <w:p w14:paraId="0E8E7C91" w14:textId="77777777" w:rsidR="007960A8" w:rsidRDefault="007960A8">
      <w:pPr>
        <w:pBdr>
          <w:top w:val="nil"/>
          <w:left w:val="nil"/>
          <w:bottom w:val="nil"/>
          <w:right w:val="nil"/>
          <w:between w:val="nil"/>
        </w:pBdr>
        <w:spacing w:before="9"/>
        <w:rPr>
          <w:color w:val="000000"/>
          <w:sz w:val="20"/>
          <w:szCs w:val="20"/>
        </w:rPr>
      </w:pPr>
    </w:p>
    <w:p w14:paraId="0B4D90EF" w14:textId="77777777" w:rsidR="007960A8" w:rsidRDefault="00A26397">
      <w:pPr>
        <w:numPr>
          <w:ilvl w:val="0"/>
          <w:numId w:val="42"/>
        </w:numPr>
        <w:pBdr>
          <w:top w:val="nil"/>
          <w:left w:val="nil"/>
          <w:bottom w:val="nil"/>
          <w:right w:val="nil"/>
          <w:between w:val="nil"/>
        </w:pBdr>
        <w:tabs>
          <w:tab w:val="left" w:pos="587"/>
        </w:tabs>
        <w:spacing w:before="1" w:line="259" w:lineRule="auto"/>
        <w:ind w:right="366" w:firstLine="0"/>
        <w:rPr>
          <w:color w:val="000000"/>
        </w:rPr>
      </w:pPr>
      <w:r>
        <w:rPr>
          <w:color w:val="000000"/>
        </w:rPr>
        <w:t>the Processor complies with any reasonable instructions notified to it in advance by the Controller with respect to the processing of the Personal Data;</w:t>
      </w:r>
    </w:p>
    <w:p w14:paraId="39BDD487" w14:textId="77777777" w:rsidR="007960A8" w:rsidRDefault="007960A8">
      <w:pPr>
        <w:pBdr>
          <w:top w:val="nil"/>
          <w:left w:val="nil"/>
          <w:bottom w:val="nil"/>
          <w:right w:val="nil"/>
          <w:between w:val="nil"/>
        </w:pBdr>
        <w:spacing w:before="10"/>
        <w:rPr>
          <w:color w:val="000000"/>
          <w:sz w:val="20"/>
          <w:szCs w:val="20"/>
        </w:rPr>
      </w:pPr>
    </w:p>
    <w:p w14:paraId="428EFF42" w14:textId="77777777" w:rsidR="007960A8" w:rsidRDefault="00A26397">
      <w:pPr>
        <w:numPr>
          <w:ilvl w:val="0"/>
          <w:numId w:val="47"/>
        </w:numPr>
        <w:pBdr>
          <w:top w:val="nil"/>
          <w:left w:val="nil"/>
          <w:bottom w:val="nil"/>
          <w:right w:val="nil"/>
          <w:between w:val="nil"/>
        </w:pBdr>
        <w:tabs>
          <w:tab w:val="left" w:pos="552"/>
        </w:tabs>
        <w:spacing w:line="259" w:lineRule="auto"/>
        <w:ind w:right="456" w:firstLine="0"/>
        <w:jc w:val="both"/>
        <w:rPr>
          <w:color w:val="000000"/>
        </w:rPr>
      </w:pPr>
      <w:r>
        <w:rPr>
          <w:color w:val="000000"/>
        </w:rPr>
        <w:t>at the written direction of the Controller, delete or return Personal Data (and any copies of it) to t</w:t>
      </w:r>
      <w:r>
        <w:rPr>
          <w:color w:val="000000"/>
        </w:rPr>
        <w:t>he Controller on termination of the Agreement unless the Processor is required by Law to retain the Personal Data.</w:t>
      </w:r>
    </w:p>
    <w:p w14:paraId="02E35402" w14:textId="77777777" w:rsidR="007960A8" w:rsidRDefault="007960A8">
      <w:pPr>
        <w:pBdr>
          <w:top w:val="nil"/>
          <w:left w:val="nil"/>
          <w:bottom w:val="nil"/>
          <w:right w:val="nil"/>
          <w:between w:val="nil"/>
        </w:pBdr>
        <w:spacing w:before="10"/>
        <w:rPr>
          <w:color w:val="000000"/>
          <w:sz w:val="20"/>
          <w:szCs w:val="20"/>
        </w:rPr>
      </w:pPr>
    </w:p>
    <w:p w14:paraId="661A79B6" w14:textId="77777777" w:rsidR="007960A8" w:rsidRDefault="00A26397">
      <w:pPr>
        <w:numPr>
          <w:ilvl w:val="1"/>
          <w:numId w:val="49"/>
        </w:numPr>
        <w:pBdr>
          <w:top w:val="nil"/>
          <w:left w:val="nil"/>
          <w:bottom w:val="nil"/>
          <w:right w:val="nil"/>
          <w:between w:val="nil"/>
        </w:pBdr>
        <w:tabs>
          <w:tab w:val="left" w:pos="590"/>
        </w:tabs>
        <w:ind w:left="589" w:hanging="370"/>
        <w:rPr>
          <w:color w:val="000000"/>
        </w:rPr>
      </w:pPr>
      <w:r>
        <w:rPr>
          <w:color w:val="000000"/>
        </w:rPr>
        <w:t>Subject to clause 1.6, the Processor shall notify the Controller immediately if it:</w:t>
      </w:r>
    </w:p>
    <w:p w14:paraId="20BC22AC" w14:textId="77777777" w:rsidR="007960A8" w:rsidRDefault="007960A8">
      <w:pPr>
        <w:pBdr>
          <w:top w:val="nil"/>
          <w:left w:val="nil"/>
          <w:bottom w:val="nil"/>
          <w:right w:val="nil"/>
          <w:between w:val="nil"/>
        </w:pBdr>
        <w:spacing w:before="7"/>
        <w:rPr>
          <w:color w:val="000000"/>
        </w:rPr>
      </w:pPr>
    </w:p>
    <w:p w14:paraId="6C8AEC02" w14:textId="77777777" w:rsidR="007960A8" w:rsidRDefault="00A26397">
      <w:pPr>
        <w:numPr>
          <w:ilvl w:val="0"/>
          <w:numId w:val="41"/>
        </w:numPr>
        <w:pBdr>
          <w:top w:val="nil"/>
          <w:left w:val="nil"/>
          <w:bottom w:val="nil"/>
          <w:right w:val="nil"/>
          <w:between w:val="nil"/>
        </w:pBdr>
        <w:tabs>
          <w:tab w:val="left" w:pos="552"/>
        </w:tabs>
        <w:ind w:hanging="332"/>
        <w:rPr>
          <w:color w:val="000000"/>
        </w:rPr>
      </w:pPr>
      <w:r>
        <w:rPr>
          <w:color w:val="000000"/>
        </w:rPr>
        <w:t>receives a Data Subject Request (or purported Data Subject Request);</w:t>
      </w:r>
    </w:p>
    <w:p w14:paraId="288D0C87" w14:textId="77777777" w:rsidR="007960A8" w:rsidRDefault="007960A8">
      <w:pPr>
        <w:pBdr>
          <w:top w:val="nil"/>
          <w:left w:val="nil"/>
          <w:bottom w:val="nil"/>
          <w:right w:val="nil"/>
          <w:between w:val="nil"/>
        </w:pBdr>
        <w:spacing w:before="8"/>
        <w:rPr>
          <w:color w:val="000000"/>
        </w:rPr>
      </w:pPr>
    </w:p>
    <w:p w14:paraId="46265E00" w14:textId="77777777" w:rsidR="007960A8" w:rsidRDefault="00A26397">
      <w:pPr>
        <w:numPr>
          <w:ilvl w:val="0"/>
          <w:numId w:val="41"/>
        </w:numPr>
        <w:pBdr>
          <w:top w:val="nil"/>
          <w:left w:val="nil"/>
          <w:bottom w:val="nil"/>
          <w:right w:val="nil"/>
          <w:between w:val="nil"/>
        </w:pBdr>
        <w:tabs>
          <w:tab w:val="left" w:pos="552"/>
        </w:tabs>
        <w:ind w:hanging="332"/>
        <w:rPr>
          <w:color w:val="000000"/>
        </w:rPr>
      </w:pPr>
      <w:r>
        <w:rPr>
          <w:color w:val="000000"/>
        </w:rPr>
        <w:t>receives a request to rectify, block or erase any Personal Data;</w:t>
      </w:r>
    </w:p>
    <w:p w14:paraId="48F1005D" w14:textId="77777777" w:rsidR="007960A8" w:rsidRDefault="007960A8">
      <w:pPr>
        <w:pBdr>
          <w:top w:val="nil"/>
          <w:left w:val="nil"/>
          <w:bottom w:val="nil"/>
          <w:right w:val="nil"/>
          <w:between w:val="nil"/>
        </w:pBdr>
        <w:spacing w:before="5"/>
        <w:rPr>
          <w:color w:val="000000"/>
        </w:rPr>
      </w:pPr>
    </w:p>
    <w:p w14:paraId="60A7CBDF" w14:textId="77777777" w:rsidR="007960A8" w:rsidRDefault="00A26397">
      <w:pPr>
        <w:numPr>
          <w:ilvl w:val="0"/>
          <w:numId w:val="41"/>
        </w:numPr>
        <w:pBdr>
          <w:top w:val="nil"/>
          <w:left w:val="nil"/>
          <w:bottom w:val="nil"/>
          <w:right w:val="nil"/>
          <w:between w:val="nil"/>
        </w:pBdr>
        <w:tabs>
          <w:tab w:val="left" w:pos="540"/>
        </w:tabs>
        <w:spacing w:line="259" w:lineRule="auto"/>
        <w:ind w:left="220" w:right="1108" w:firstLine="0"/>
        <w:rPr>
          <w:color w:val="000000"/>
        </w:rPr>
        <w:sectPr w:rsidR="007960A8">
          <w:pgSz w:w="11910" w:h="16840"/>
          <w:pgMar w:top="2080" w:right="1220" w:bottom="1200" w:left="1220" w:header="838" w:footer="1000" w:gutter="0"/>
          <w:cols w:space="720"/>
        </w:sectPr>
      </w:pPr>
      <w:r>
        <w:rPr>
          <w:color w:val="000000"/>
        </w:rPr>
        <w:t>receives any other request, complaint or communication relating to either Party's obligations under the Data Protection Legislation;</w:t>
      </w:r>
    </w:p>
    <w:p w14:paraId="20450CEB" w14:textId="77777777" w:rsidR="007960A8" w:rsidRDefault="007960A8">
      <w:pPr>
        <w:pBdr>
          <w:top w:val="nil"/>
          <w:left w:val="nil"/>
          <w:bottom w:val="nil"/>
          <w:right w:val="nil"/>
          <w:between w:val="nil"/>
        </w:pBdr>
        <w:rPr>
          <w:color w:val="000000"/>
          <w:sz w:val="20"/>
          <w:szCs w:val="20"/>
        </w:rPr>
      </w:pPr>
    </w:p>
    <w:p w14:paraId="140D6439" w14:textId="77777777" w:rsidR="007960A8" w:rsidRDefault="007960A8">
      <w:pPr>
        <w:pBdr>
          <w:top w:val="nil"/>
          <w:left w:val="nil"/>
          <w:bottom w:val="nil"/>
          <w:right w:val="nil"/>
          <w:between w:val="nil"/>
        </w:pBdr>
        <w:spacing w:before="9"/>
        <w:rPr>
          <w:color w:val="000000"/>
          <w:sz w:val="19"/>
          <w:szCs w:val="19"/>
        </w:rPr>
      </w:pPr>
    </w:p>
    <w:p w14:paraId="60CA91CE" w14:textId="77777777" w:rsidR="007960A8" w:rsidRDefault="00A26397">
      <w:pPr>
        <w:numPr>
          <w:ilvl w:val="0"/>
          <w:numId w:val="41"/>
        </w:numPr>
        <w:pBdr>
          <w:top w:val="nil"/>
          <w:left w:val="nil"/>
          <w:bottom w:val="nil"/>
          <w:right w:val="nil"/>
          <w:between w:val="nil"/>
        </w:pBdr>
        <w:tabs>
          <w:tab w:val="left" w:pos="552"/>
        </w:tabs>
        <w:spacing w:before="1" w:line="259" w:lineRule="auto"/>
        <w:ind w:left="220" w:right="366" w:firstLine="0"/>
        <w:rPr>
          <w:color w:val="000000"/>
        </w:rPr>
      </w:pPr>
      <w:r>
        <w:rPr>
          <w:color w:val="000000"/>
        </w:rPr>
        <w:t>receives any communication from the Information Commissioner or any other regulatory authority in connection with Personal Data processed under this Agreement;</w:t>
      </w:r>
    </w:p>
    <w:p w14:paraId="56488764" w14:textId="77777777" w:rsidR="007960A8" w:rsidRDefault="007960A8">
      <w:pPr>
        <w:pBdr>
          <w:top w:val="nil"/>
          <w:left w:val="nil"/>
          <w:bottom w:val="nil"/>
          <w:right w:val="nil"/>
          <w:between w:val="nil"/>
        </w:pBdr>
        <w:spacing w:before="10"/>
        <w:rPr>
          <w:color w:val="000000"/>
          <w:sz w:val="20"/>
          <w:szCs w:val="20"/>
        </w:rPr>
      </w:pPr>
    </w:p>
    <w:p w14:paraId="377EF553" w14:textId="77777777" w:rsidR="007960A8" w:rsidRDefault="00A26397">
      <w:pPr>
        <w:numPr>
          <w:ilvl w:val="0"/>
          <w:numId w:val="41"/>
        </w:numPr>
        <w:pBdr>
          <w:top w:val="nil"/>
          <w:left w:val="nil"/>
          <w:bottom w:val="nil"/>
          <w:right w:val="nil"/>
          <w:between w:val="nil"/>
        </w:pBdr>
        <w:tabs>
          <w:tab w:val="left" w:pos="552"/>
        </w:tabs>
        <w:spacing w:line="256" w:lineRule="auto"/>
        <w:ind w:left="220" w:right="235" w:firstLine="0"/>
        <w:rPr>
          <w:color w:val="000000"/>
        </w:rPr>
      </w:pPr>
      <w:r>
        <w:rPr>
          <w:color w:val="000000"/>
        </w:rPr>
        <w:t>receives a request from any third Party for disclosure of Personal Data where compliance with such request is required or purported to be required by Law; or</w:t>
      </w:r>
    </w:p>
    <w:p w14:paraId="1C963D82" w14:textId="77777777" w:rsidR="007960A8" w:rsidRDefault="007960A8">
      <w:pPr>
        <w:pBdr>
          <w:top w:val="nil"/>
          <w:left w:val="nil"/>
          <w:bottom w:val="nil"/>
          <w:right w:val="nil"/>
          <w:between w:val="nil"/>
        </w:pBdr>
        <w:spacing w:before="2"/>
        <w:rPr>
          <w:color w:val="000000"/>
          <w:sz w:val="21"/>
          <w:szCs w:val="21"/>
        </w:rPr>
      </w:pPr>
    </w:p>
    <w:p w14:paraId="4AC25B39" w14:textId="77777777" w:rsidR="007960A8" w:rsidRDefault="00A26397">
      <w:pPr>
        <w:numPr>
          <w:ilvl w:val="0"/>
          <w:numId w:val="41"/>
        </w:numPr>
        <w:pBdr>
          <w:top w:val="nil"/>
          <w:left w:val="nil"/>
          <w:bottom w:val="nil"/>
          <w:right w:val="nil"/>
          <w:between w:val="nil"/>
        </w:pBdr>
        <w:tabs>
          <w:tab w:val="left" w:pos="492"/>
        </w:tabs>
        <w:ind w:left="491" w:hanging="272"/>
        <w:rPr>
          <w:color w:val="000000"/>
        </w:rPr>
      </w:pPr>
      <w:r>
        <w:rPr>
          <w:color w:val="000000"/>
        </w:rPr>
        <w:t>becomes aware of a Data Loss Event.</w:t>
      </w:r>
    </w:p>
    <w:p w14:paraId="1D327FFD" w14:textId="77777777" w:rsidR="007960A8" w:rsidRDefault="007960A8">
      <w:pPr>
        <w:pBdr>
          <w:top w:val="nil"/>
          <w:left w:val="nil"/>
          <w:bottom w:val="nil"/>
          <w:right w:val="nil"/>
          <w:between w:val="nil"/>
        </w:pBdr>
        <w:spacing w:before="8"/>
        <w:rPr>
          <w:color w:val="000000"/>
        </w:rPr>
      </w:pPr>
    </w:p>
    <w:p w14:paraId="3564BE10" w14:textId="77777777" w:rsidR="007960A8" w:rsidRDefault="00A26397">
      <w:pPr>
        <w:numPr>
          <w:ilvl w:val="1"/>
          <w:numId w:val="49"/>
        </w:numPr>
        <w:pBdr>
          <w:top w:val="nil"/>
          <w:left w:val="nil"/>
          <w:bottom w:val="nil"/>
          <w:right w:val="nil"/>
          <w:between w:val="nil"/>
        </w:pBdr>
        <w:tabs>
          <w:tab w:val="left" w:pos="588"/>
        </w:tabs>
        <w:spacing w:line="259" w:lineRule="auto"/>
        <w:ind w:right="250" w:firstLine="0"/>
        <w:rPr>
          <w:color w:val="000000"/>
        </w:rPr>
      </w:pPr>
      <w:r>
        <w:rPr>
          <w:color w:val="000000"/>
        </w:rPr>
        <w:t>The Processor's obligation to notify under clause 1.5 shall include the provision of further information to the Controller in phases, as details become available.</w:t>
      </w:r>
    </w:p>
    <w:p w14:paraId="74DC4BA5" w14:textId="77777777" w:rsidR="007960A8" w:rsidRDefault="007960A8">
      <w:pPr>
        <w:pBdr>
          <w:top w:val="nil"/>
          <w:left w:val="nil"/>
          <w:bottom w:val="nil"/>
          <w:right w:val="nil"/>
          <w:between w:val="nil"/>
        </w:pBdr>
        <w:spacing w:before="8"/>
        <w:rPr>
          <w:color w:val="000000"/>
          <w:sz w:val="20"/>
          <w:szCs w:val="20"/>
        </w:rPr>
      </w:pPr>
    </w:p>
    <w:p w14:paraId="424EDEFE" w14:textId="77777777" w:rsidR="007960A8" w:rsidRDefault="00A26397">
      <w:pPr>
        <w:numPr>
          <w:ilvl w:val="1"/>
          <w:numId w:val="49"/>
        </w:numPr>
        <w:pBdr>
          <w:top w:val="nil"/>
          <w:left w:val="nil"/>
          <w:bottom w:val="nil"/>
          <w:right w:val="nil"/>
          <w:between w:val="nil"/>
        </w:pBdr>
        <w:tabs>
          <w:tab w:val="left" w:pos="588"/>
        </w:tabs>
        <w:spacing w:line="259" w:lineRule="auto"/>
        <w:ind w:right="353" w:firstLine="0"/>
        <w:rPr>
          <w:color w:val="000000"/>
        </w:rPr>
      </w:pPr>
      <w:r>
        <w:rPr>
          <w:color w:val="000000"/>
        </w:rPr>
        <w:t xml:space="preserve">Taking into account the nature of the processing, the Processor shall provide the Controller with full assistance in relation to either Party's obligations under Data Protection Legislation and any complaint, communication or request made under clause 1.5 </w:t>
      </w:r>
      <w:r>
        <w:rPr>
          <w:color w:val="000000"/>
        </w:rPr>
        <w:t>(and insofar as possible within the timescales reasonably required by the Controller) including by promptly providing:</w:t>
      </w:r>
    </w:p>
    <w:p w14:paraId="66CD9F65" w14:textId="77777777" w:rsidR="007960A8" w:rsidRDefault="007960A8">
      <w:pPr>
        <w:pBdr>
          <w:top w:val="nil"/>
          <w:left w:val="nil"/>
          <w:bottom w:val="nil"/>
          <w:right w:val="nil"/>
          <w:between w:val="nil"/>
        </w:pBdr>
        <w:spacing w:before="10"/>
        <w:rPr>
          <w:color w:val="000000"/>
          <w:sz w:val="20"/>
          <w:szCs w:val="20"/>
        </w:rPr>
      </w:pPr>
    </w:p>
    <w:p w14:paraId="7968DFD2" w14:textId="77777777" w:rsidR="007960A8" w:rsidRDefault="00A26397">
      <w:pPr>
        <w:numPr>
          <w:ilvl w:val="0"/>
          <w:numId w:val="40"/>
        </w:numPr>
        <w:pBdr>
          <w:top w:val="nil"/>
          <w:left w:val="nil"/>
          <w:bottom w:val="nil"/>
          <w:right w:val="nil"/>
          <w:between w:val="nil"/>
        </w:pBdr>
        <w:tabs>
          <w:tab w:val="left" w:pos="552"/>
        </w:tabs>
        <w:spacing w:before="1"/>
        <w:ind w:hanging="332"/>
        <w:rPr>
          <w:color w:val="000000"/>
        </w:rPr>
      </w:pPr>
      <w:r>
        <w:rPr>
          <w:color w:val="000000"/>
        </w:rPr>
        <w:t>the Controller with full details and copies of the complaint, communication or request;</w:t>
      </w:r>
    </w:p>
    <w:p w14:paraId="475F7E57" w14:textId="77777777" w:rsidR="007960A8" w:rsidRDefault="007960A8">
      <w:pPr>
        <w:pBdr>
          <w:top w:val="nil"/>
          <w:left w:val="nil"/>
          <w:bottom w:val="nil"/>
          <w:right w:val="nil"/>
          <w:between w:val="nil"/>
        </w:pBdr>
        <w:spacing w:before="7"/>
        <w:rPr>
          <w:color w:val="000000"/>
        </w:rPr>
      </w:pPr>
    </w:p>
    <w:p w14:paraId="357E9D9B" w14:textId="77777777" w:rsidR="007960A8" w:rsidRDefault="00A26397">
      <w:pPr>
        <w:numPr>
          <w:ilvl w:val="0"/>
          <w:numId w:val="40"/>
        </w:numPr>
        <w:pBdr>
          <w:top w:val="nil"/>
          <w:left w:val="nil"/>
          <w:bottom w:val="nil"/>
          <w:right w:val="nil"/>
          <w:between w:val="nil"/>
        </w:pBdr>
        <w:tabs>
          <w:tab w:val="left" w:pos="552"/>
        </w:tabs>
        <w:spacing w:line="259" w:lineRule="auto"/>
        <w:ind w:left="220" w:right="389" w:firstLine="0"/>
        <w:rPr>
          <w:color w:val="000000"/>
        </w:rPr>
      </w:pPr>
      <w:r>
        <w:rPr>
          <w:color w:val="000000"/>
        </w:rPr>
        <w:t>such assistance as is reasonably requested by the Controller to enable the Controller to comply with a Data Subject Request within the relevant timescales set out in the Data Protection Legislation;</w:t>
      </w:r>
    </w:p>
    <w:p w14:paraId="55712085" w14:textId="77777777" w:rsidR="007960A8" w:rsidRDefault="007960A8">
      <w:pPr>
        <w:pBdr>
          <w:top w:val="nil"/>
          <w:left w:val="nil"/>
          <w:bottom w:val="nil"/>
          <w:right w:val="nil"/>
          <w:between w:val="nil"/>
        </w:pBdr>
        <w:spacing w:before="9"/>
        <w:rPr>
          <w:color w:val="000000"/>
          <w:sz w:val="20"/>
          <w:szCs w:val="20"/>
        </w:rPr>
      </w:pPr>
    </w:p>
    <w:p w14:paraId="6FF966A7" w14:textId="77777777" w:rsidR="007960A8" w:rsidRDefault="00A26397">
      <w:pPr>
        <w:numPr>
          <w:ilvl w:val="0"/>
          <w:numId w:val="40"/>
        </w:numPr>
        <w:pBdr>
          <w:top w:val="nil"/>
          <w:left w:val="nil"/>
          <w:bottom w:val="nil"/>
          <w:right w:val="nil"/>
          <w:between w:val="nil"/>
        </w:pBdr>
        <w:tabs>
          <w:tab w:val="left" w:pos="540"/>
        </w:tabs>
        <w:ind w:left="539" w:hanging="320"/>
        <w:rPr>
          <w:color w:val="000000"/>
        </w:rPr>
      </w:pPr>
      <w:r>
        <w:rPr>
          <w:color w:val="000000"/>
        </w:rPr>
        <w:t>the Controller, at its request, with any Personal Data i</w:t>
      </w:r>
      <w:r>
        <w:rPr>
          <w:color w:val="000000"/>
        </w:rPr>
        <w:t>t holds in relation to a Data Subject;</w:t>
      </w:r>
    </w:p>
    <w:p w14:paraId="4DE41ACA" w14:textId="77777777" w:rsidR="007960A8" w:rsidRDefault="007960A8">
      <w:pPr>
        <w:pBdr>
          <w:top w:val="nil"/>
          <w:left w:val="nil"/>
          <w:bottom w:val="nil"/>
          <w:right w:val="nil"/>
          <w:between w:val="nil"/>
        </w:pBdr>
        <w:spacing w:before="7"/>
        <w:rPr>
          <w:color w:val="000000"/>
        </w:rPr>
      </w:pPr>
    </w:p>
    <w:p w14:paraId="42E4969E" w14:textId="77777777" w:rsidR="007960A8" w:rsidRDefault="00A26397">
      <w:pPr>
        <w:numPr>
          <w:ilvl w:val="0"/>
          <w:numId w:val="40"/>
        </w:numPr>
        <w:pBdr>
          <w:top w:val="nil"/>
          <w:left w:val="nil"/>
          <w:bottom w:val="nil"/>
          <w:right w:val="nil"/>
          <w:between w:val="nil"/>
        </w:pBdr>
        <w:tabs>
          <w:tab w:val="left" w:pos="552"/>
        </w:tabs>
        <w:spacing w:before="1"/>
        <w:ind w:hanging="332"/>
        <w:rPr>
          <w:color w:val="000000"/>
        </w:rPr>
      </w:pPr>
      <w:r>
        <w:rPr>
          <w:color w:val="000000"/>
        </w:rPr>
        <w:t>assistance as requested by the Controller following any Data Loss Event;</w:t>
      </w:r>
    </w:p>
    <w:p w14:paraId="56730011" w14:textId="77777777" w:rsidR="007960A8" w:rsidRDefault="007960A8">
      <w:pPr>
        <w:pBdr>
          <w:top w:val="nil"/>
          <w:left w:val="nil"/>
          <w:bottom w:val="nil"/>
          <w:right w:val="nil"/>
          <w:between w:val="nil"/>
        </w:pBdr>
        <w:spacing w:before="7"/>
        <w:rPr>
          <w:color w:val="000000"/>
        </w:rPr>
      </w:pPr>
    </w:p>
    <w:p w14:paraId="14D66FC2" w14:textId="77777777" w:rsidR="007960A8" w:rsidRDefault="00A26397">
      <w:pPr>
        <w:numPr>
          <w:ilvl w:val="0"/>
          <w:numId w:val="40"/>
        </w:numPr>
        <w:pBdr>
          <w:top w:val="nil"/>
          <w:left w:val="nil"/>
          <w:bottom w:val="nil"/>
          <w:right w:val="nil"/>
          <w:between w:val="nil"/>
        </w:pBdr>
        <w:tabs>
          <w:tab w:val="left" w:pos="552"/>
        </w:tabs>
        <w:spacing w:before="1" w:line="259" w:lineRule="auto"/>
        <w:ind w:left="220" w:right="260" w:firstLine="0"/>
        <w:rPr>
          <w:color w:val="000000"/>
        </w:rPr>
      </w:pPr>
      <w:r>
        <w:rPr>
          <w:color w:val="000000"/>
        </w:rPr>
        <w:t>assistance as requested by the Controller with respect to any request from the Information Commissioner’s Office, or any consultation by the Controller with the Information Commissioner's Office.</w:t>
      </w:r>
    </w:p>
    <w:p w14:paraId="018A2851" w14:textId="77777777" w:rsidR="007960A8" w:rsidRDefault="007960A8">
      <w:pPr>
        <w:pBdr>
          <w:top w:val="nil"/>
          <w:left w:val="nil"/>
          <w:bottom w:val="nil"/>
          <w:right w:val="nil"/>
          <w:between w:val="nil"/>
        </w:pBdr>
        <w:spacing w:before="8"/>
        <w:rPr>
          <w:color w:val="000000"/>
          <w:sz w:val="20"/>
          <w:szCs w:val="20"/>
        </w:rPr>
      </w:pPr>
    </w:p>
    <w:p w14:paraId="2C395FCD" w14:textId="77777777" w:rsidR="007960A8" w:rsidRDefault="00A26397">
      <w:pPr>
        <w:numPr>
          <w:ilvl w:val="1"/>
          <w:numId w:val="49"/>
        </w:numPr>
        <w:pBdr>
          <w:top w:val="nil"/>
          <w:left w:val="nil"/>
          <w:bottom w:val="nil"/>
          <w:right w:val="nil"/>
          <w:between w:val="nil"/>
        </w:pBdr>
        <w:tabs>
          <w:tab w:val="left" w:pos="588"/>
        </w:tabs>
        <w:spacing w:line="259" w:lineRule="auto"/>
        <w:ind w:right="719" w:firstLine="0"/>
        <w:rPr>
          <w:color w:val="000000"/>
        </w:rPr>
      </w:pPr>
      <w:r>
        <w:rPr>
          <w:color w:val="000000"/>
        </w:rPr>
        <w:t>The Processor shall maintain complete and accurate records and information to demonstrate its compliance with this clause. This requirement does not apply where the Processor employs fewer than 250 staff, unless:</w:t>
      </w:r>
    </w:p>
    <w:p w14:paraId="301D140A" w14:textId="77777777" w:rsidR="007960A8" w:rsidRDefault="007960A8">
      <w:pPr>
        <w:pBdr>
          <w:top w:val="nil"/>
          <w:left w:val="nil"/>
          <w:bottom w:val="nil"/>
          <w:right w:val="nil"/>
          <w:between w:val="nil"/>
        </w:pBdr>
        <w:spacing w:before="9"/>
        <w:rPr>
          <w:color w:val="000000"/>
          <w:sz w:val="20"/>
          <w:szCs w:val="20"/>
        </w:rPr>
      </w:pPr>
    </w:p>
    <w:p w14:paraId="66969D6F" w14:textId="77777777" w:rsidR="007960A8" w:rsidRDefault="00A26397">
      <w:pPr>
        <w:numPr>
          <w:ilvl w:val="0"/>
          <w:numId w:val="39"/>
        </w:numPr>
        <w:pBdr>
          <w:top w:val="nil"/>
          <w:left w:val="nil"/>
          <w:bottom w:val="nil"/>
          <w:right w:val="nil"/>
          <w:between w:val="nil"/>
        </w:pBdr>
        <w:tabs>
          <w:tab w:val="left" w:pos="552"/>
        </w:tabs>
        <w:ind w:hanging="332"/>
        <w:rPr>
          <w:color w:val="000000"/>
        </w:rPr>
      </w:pPr>
      <w:r>
        <w:rPr>
          <w:color w:val="000000"/>
        </w:rPr>
        <w:t>the Controller determines that the process</w:t>
      </w:r>
      <w:r>
        <w:rPr>
          <w:color w:val="000000"/>
        </w:rPr>
        <w:t>ing is not occasional;</w:t>
      </w:r>
    </w:p>
    <w:p w14:paraId="3B228CB2" w14:textId="77777777" w:rsidR="007960A8" w:rsidRDefault="007960A8">
      <w:pPr>
        <w:pBdr>
          <w:top w:val="nil"/>
          <w:left w:val="nil"/>
          <w:bottom w:val="nil"/>
          <w:right w:val="nil"/>
          <w:between w:val="nil"/>
        </w:pBdr>
        <w:spacing w:before="8"/>
        <w:rPr>
          <w:color w:val="000000"/>
        </w:rPr>
      </w:pPr>
    </w:p>
    <w:p w14:paraId="377C50E5" w14:textId="77777777" w:rsidR="007960A8" w:rsidRDefault="00A26397">
      <w:pPr>
        <w:numPr>
          <w:ilvl w:val="0"/>
          <w:numId w:val="39"/>
        </w:numPr>
        <w:pBdr>
          <w:top w:val="nil"/>
          <w:left w:val="nil"/>
          <w:bottom w:val="nil"/>
          <w:right w:val="nil"/>
          <w:between w:val="nil"/>
        </w:pBdr>
        <w:tabs>
          <w:tab w:val="left" w:pos="552"/>
        </w:tabs>
        <w:spacing w:line="259" w:lineRule="auto"/>
        <w:ind w:left="220" w:right="367" w:firstLine="0"/>
        <w:jc w:val="both"/>
        <w:rPr>
          <w:color w:val="000000"/>
        </w:rPr>
      </w:pPr>
      <w:r>
        <w:rPr>
          <w:color w:val="000000"/>
        </w:rPr>
        <w:t>the Controller determines the processing includes special categories of data as referred to in Article 9(1) of the GDPR or Personal Data relating to criminal convictions and offences referred to in Article 10 of the GDPR; or</w:t>
      </w:r>
    </w:p>
    <w:p w14:paraId="37383EED" w14:textId="77777777" w:rsidR="007960A8" w:rsidRDefault="007960A8">
      <w:pPr>
        <w:pBdr>
          <w:top w:val="nil"/>
          <w:left w:val="nil"/>
          <w:bottom w:val="nil"/>
          <w:right w:val="nil"/>
          <w:between w:val="nil"/>
        </w:pBdr>
        <w:spacing w:before="9"/>
        <w:rPr>
          <w:color w:val="000000"/>
          <w:sz w:val="20"/>
          <w:szCs w:val="20"/>
        </w:rPr>
      </w:pPr>
    </w:p>
    <w:p w14:paraId="03D2ECDB" w14:textId="77777777" w:rsidR="007960A8" w:rsidRDefault="00A26397">
      <w:pPr>
        <w:numPr>
          <w:ilvl w:val="0"/>
          <w:numId w:val="39"/>
        </w:numPr>
        <w:pBdr>
          <w:top w:val="nil"/>
          <w:left w:val="nil"/>
          <w:bottom w:val="nil"/>
          <w:right w:val="nil"/>
          <w:between w:val="nil"/>
        </w:pBdr>
        <w:tabs>
          <w:tab w:val="left" w:pos="540"/>
        </w:tabs>
        <w:spacing w:line="259" w:lineRule="auto"/>
        <w:ind w:left="220" w:right="459" w:firstLine="0"/>
        <w:jc w:val="both"/>
        <w:rPr>
          <w:color w:val="000000"/>
        </w:rPr>
      </w:pPr>
      <w:r>
        <w:rPr>
          <w:color w:val="000000"/>
        </w:rPr>
        <w:t>the Controller determines that the processing is likely to result in a risk to the rights and freedoms of Data Subjects.</w:t>
      </w:r>
    </w:p>
    <w:p w14:paraId="4DD55078" w14:textId="77777777" w:rsidR="007960A8" w:rsidRDefault="007960A8">
      <w:pPr>
        <w:pBdr>
          <w:top w:val="nil"/>
          <w:left w:val="nil"/>
          <w:bottom w:val="nil"/>
          <w:right w:val="nil"/>
          <w:between w:val="nil"/>
        </w:pBdr>
        <w:spacing w:before="11"/>
        <w:rPr>
          <w:color w:val="000000"/>
          <w:sz w:val="20"/>
          <w:szCs w:val="20"/>
        </w:rPr>
      </w:pPr>
    </w:p>
    <w:p w14:paraId="0B7CED4E" w14:textId="77777777" w:rsidR="007960A8" w:rsidRDefault="00A26397">
      <w:pPr>
        <w:numPr>
          <w:ilvl w:val="1"/>
          <w:numId w:val="49"/>
        </w:numPr>
        <w:pBdr>
          <w:top w:val="nil"/>
          <w:left w:val="nil"/>
          <w:bottom w:val="nil"/>
          <w:right w:val="nil"/>
          <w:between w:val="nil"/>
        </w:pBdr>
        <w:tabs>
          <w:tab w:val="left" w:pos="588"/>
        </w:tabs>
        <w:spacing w:line="256" w:lineRule="auto"/>
        <w:ind w:right="539" w:firstLine="0"/>
        <w:rPr>
          <w:color w:val="000000"/>
        </w:rPr>
        <w:sectPr w:rsidR="007960A8">
          <w:pgSz w:w="11910" w:h="16840"/>
          <w:pgMar w:top="2080" w:right="1220" w:bottom="1200" w:left="1220" w:header="838" w:footer="1000" w:gutter="0"/>
          <w:cols w:space="720"/>
        </w:sectPr>
      </w:pPr>
      <w:r>
        <w:rPr>
          <w:color w:val="000000"/>
        </w:rPr>
        <w:t>The Processor shall allow for audits of its Data Processing activity by the Controller or the Controller’s designated</w:t>
      </w:r>
      <w:r>
        <w:rPr>
          <w:color w:val="000000"/>
        </w:rPr>
        <w:t xml:space="preserve"> auditor.</w:t>
      </w:r>
    </w:p>
    <w:p w14:paraId="52A8776B" w14:textId="77777777" w:rsidR="007960A8" w:rsidRDefault="007960A8">
      <w:pPr>
        <w:pBdr>
          <w:top w:val="nil"/>
          <w:left w:val="nil"/>
          <w:bottom w:val="nil"/>
          <w:right w:val="nil"/>
          <w:between w:val="nil"/>
        </w:pBdr>
        <w:rPr>
          <w:color w:val="000000"/>
          <w:sz w:val="20"/>
          <w:szCs w:val="20"/>
        </w:rPr>
      </w:pPr>
    </w:p>
    <w:p w14:paraId="23FA128C" w14:textId="77777777" w:rsidR="007960A8" w:rsidRDefault="007960A8">
      <w:pPr>
        <w:pBdr>
          <w:top w:val="nil"/>
          <w:left w:val="nil"/>
          <w:bottom w:val="nil"/>
          <w:right w:val="nil"/>
          <w:between w:val="nil"/>
        </w:pBdr>
        <w:spacing w:before="9"/>
        <w:rPr>
          <w:color w:val="000000"/>
          <w:sz w:val="19"/>
          <w:szCs w:val="19"/>
        </w:rPr>
      </w:pPr>
    </w:p>
    <w:p w14:paraId="4BA6540F" w14:textId="77777777" w:rsidR="007960A8" w:rsidRDefault="00A26397">
      <w:pPr>
        <w:numPr>
          <w:ilvl w:val="1"/>
          <w:numId w:val="49"/>
        </w:numPr>
        <w:pBdr>
          <w:top w:val="nil"/>
          <w:left w:val="nil"/>
          <w:bottom w:val="nil"/>
          <w:right w:val="nil"/>
          <w:between w:val="nil"/>
        </w:pBdr>
        <w:tabs>
          <w:tab w:val="left" w:pos="713"/>
        </w:tabs>
        <w:spacing w:before="1" w:line="259" w:lineRule="auto"/>
        <w:ind w:right="997" w:firstLine="0"/>
        <w:rPr>
          <w:color w:val="000000"/>
        </w:rPr>
      </w:pPr>
      <w:r>
        <w:rPr>
          <w:color w:val="000000"/>
        </w:rPr>
        <w:t>Each Party shall designate its own data protection officer if required by the Data Protection Legislation.</w:t>
      </w:r>
    </w:p>
    <w:p w14:paraId="46F39D10" w14:textId="77777777" w:rsidR="007960A8" w:rsidRDefault="007960A8">
      <w:pPr>
        <w:pBdr>
          <w:top w:val="nil"/>
          <w:left w:val="nil"/>
          <w:bottom w:val="nil"/>
          <w:right w:val="nil"/>
          <w:between w:val="nil"/>
        </w:pBdr>
        <w:spacing w:before="10"/>
        <w:rPr>
          <w:color w:val="000000"/>
          <w:sz w:val="20"/>
          <w:szCs w:val="20"/>
        </w:rPr>
      </w:pPr>
    </w:p>
    <w:p w14:paraId="0ADD51F2" w14:textId="77777777" w:rsidR="007960A8" w:rsidRDefault="00A26397">
      <w:pPr>
        <w:numPr>
          <w:ilvl w:val="1"/>
          <w:numId w:val="49"/>
        </w:numPr>
        <w:pBdr>
          <w:top w:val="nil"/>
          <w:left w:val="nil"/>
          <w:bottom w:val="nil"/>
          <w:right w:val="nil"/>
          <w:between w:val="nil"/>
        </w:pBdr>
        <w:tabs>
          <w:tab w:val="left" w:pos="713"/>
        </w:tabs>
        <w:spacing w:line="256" w:lineRule="auto"/>
        <w:ind w:right="1013" w:firstLine="0"/>
        <w:rPr>
          <w:color w:val="000000"/>
        </w:rPr>
      </w:pPr>
      <w:r>
        <w:rPr>
          <w:color w:val="000000"/>
        </w:rPr>
        <w:t>Before allowing any Sub-processor to process any Personal Data related to this Agreement, the Processor must:</w:t>
      </w:r>
    </w:p>
    <w:p w14:paraId="679D704D" w14:textId="77777777" w:rsidR="007960A8" w:rsidRDefault="007960A8">
      <w:pPr>
        <w:pBdr>
          <w:top w:val="nil"/>
          <w:left w:val="nil"/>
          <w:bottom w:val="nil"/>
          <w:right w:val="nil"/>
          <w:between w:val="nil"/>
        </w:pBdr>
        <w:spacing w:before="2"/>
        <w:rPr>
          <w:color w:val="000000"/>
          <w:sz w:val="21"/>
          <w:szCs w:val="21"/>
        </w:rPr>
      </w:pPr>
    </w:p>
    <w:p w14:paraId="1DEA2D71" w14:textId="77777777" w:rsidR="007960A8" w:rsidRDefault="00A26397">
      <w:pPr>
        <w:numPr>
          <w:ilvl w:val="0"/>
          <w:numId w:val="38"/>
        </w:numPr>
        <w:pBdr>
          <w:top w:val="nil"/>
          <w:left w:val="nil"/>
          <w:bottom w:val="nil"/>
          <w:right w:val="nil"/>
          <w:between w:val="nil"/>
        </w:pBdr>
        <w:tabs>
          <w:tab w:val="left" w:pos="552"/>
        </w:tabs>
        <w:ind w:hanging="332"/>
        <w:rPr>
          <w:color w:val="000000"/>
        </w:rPr>
      </w:pPr>
      <w:r>
        <w:rPr>
          <w:color w:val="000000"/>
        </w:rPr>
        <w:t>notify the Controller in writing of the intended Sub-processor and processing;</w:t>
      </w:r>
    </w:p>
    <w:p w14:paraId="3BDDF801" w14:textId="77777777" w:rsidR="007960A8" w:rsidRDefault="007960A8">
      <w:pPr>
        <w:pBdr>
          <w:top w:val="nil"/>
          <w:left w:val="nil"/>
          <w:bottom w:val="nil"/>
          <w:right w:val="nil"/>
          <w:between w:val="nil"/>
        </w:pBdr>
        <w:spacing w:before="8"/>
        <w:rPr>
          <w:color w:val="000000"/>
        </w:rPr>
      </w:pPr>
    </w:p>
    <w:p w14:paraId="4D8021CB" w14:textId="77777777" w:rsidR="007960A8" w:rsidRDefault="00A26397">
      <w:pPr>
        <w:numPr>
          <w:ilvl w:val="0"/>
          <w:numId w:val="38"/>
        </w:numPr>
        <w:pBdr>
          <w:top w:val="nil"/>
          <w:left w:val="nil"/>
          <w:bottom w:val="nil"/>
          <w:right w:val="nil"/>
          <w:between w:val="nil"/>
        </w:pBdr>
        <w:tabs>
          <w:tab w:val="left" w:pos="552"/>
        </w:tabs>
        <w:ind w:hanging="332"/>
        <w:rPr>
          <w:color w:val="000000"/>
        </w:rPr>
      </w:pPr>
      <w:r>
        <w:rPr>
          <w:color w:val="000000"/>
        </w:rPr>
        <w:t>obtain the written consent of the Controller;</w:t>
      </w:r>
    </w:p>
    <w:p w14:paraId="479D4402" w14:textId="77777777" w:rsidR="007960A8" w:rsidRDefault="007960A8">
      <w:pPr>
        <w:pBdr>
          <w:top w:val="nil"/>
          <w:left w:val="nil"/>
          <w:bottom w:val="nil"/>
          <w:right w:val="nil"/>
          <w:between w:val="nil"/>
        </w:pBdr>
        <w:spacing w:before="8"/>
        <w:rPr>
          <w:color w:val="000000"/>
        </w:rPr>
      </w:pPr>
    </w:p>
    <w:p w14:paraId="7746E3B4" w14:textId="77777777" w:rsidR="007960A8" w:rsidRDefault="00A26397">
      <w:pPr>
        <w:numPr>
          <w:ilvl w:val="0"/>
          <w:numId w:val="38"/>
        </w:numPr>
        <w:pBdr>
          <w:top w:val="nil"/>
          <w:left w:val="nil"/>
          <w:bottom w:val="nil"/>
          <w:right w:val="nil"/>
          <w:between w:val="nil"/>
        </w:pBdr>
        <w:tabs>
          <w:tab w:val="left" w:pos="540"/>
        </w:tabs>
        <w:spacing w:line="256" w:lineRule="auto"/>
        <w:ind w:left="220" w:right="426" w:firstLine="0"/>
        <w:rPr>
          <w:color w:val="000000"/>
        </w:rPr>
      </w:pPr>
      <w:r>
        <w:rPr>
          <w:color w:val="000000"/>
        </w:rPr>
        <w:t>enter into a written agreement with the Sub-processor which give effect to the terms set out in this clause [X] such that they apply to the Sub-processor; and</w:t>
      </w:r>
    </w:p>
    <w:p w14:paraId="759A6E91" w14:textId="77777777" w:rsidR="007960A8" w:rsidRDefault="007960A8">
      <w:pPr>
        <w:pBdr>
          <w:top w:val="nil"/>
          <w:left w:val="nil"/>
          <w:bottom w:val="nil"/>
          <w:right w:val="nil"/>
          <w:between w:val="nil"/>
        </w:pBdr>
        <w:spacing w:before="2"/>
        <w:rPr>
          <w:color w:val="000000"/>
          <w:sz w:val="21"/>
          <w:szCs w:val="21"/>
        </w:rPr>
      </w:pPr>
    </w:p>
    <w:p w14:paraId="4090AC62" w14:textId="77777777" w:rsidR="007960A8" w:rsidRDefault="00A26397">
      <w:pPr>
        <w:numPr>
          <w:ilvl w:val="0"/>
          <w:numId w:val="38"/>
        </w:numPr>
        <w:pBdr>
          <w:top w:val="nil"/>
          <w:left w:val="nil"/>
          <w:bottom w:val="nil"/>
          <w:right w:val="nil"/>
          <w:between w:val="nil"/>
        </w:pBdr>
        <w:tabs>
          <w:tab w:val="left" w:pos="552"/>
        </w:tabs>
        <w:spacing w:line="259" w:lineRule="auto"/>
        <w:ind w:left="220" w:right="1167" w:firstLine="0"/>
        <w:rPr>
          <w:color w:val="000000"/>
        </w:rPr>
      </w:pPr>
      <w:r>
        <w:rPr>
          <w:color w:val="000000"/>
        </w:rPr>
        <w:t>provide the Controller with such information regarding the Sub-processor as the Controller may reasonably require.</w:t>
      </w:r>
    </w:p>
    <w:p w14:paraId="09320140" w14:textId="77777777" w:rsidR="007960A8" w:rsidRDefault="007960A8">
      <w:pPr>
        <w:pBdr>
          <w:top w:val="nil"/>
          <w:left w:val="nil"/>
          <w:bottom w:val="nil"/>
          <w:right w:val="nil"/>
          <w:between w:val="nil"/>
        </w:pBdr>
        <w:spacing w:before="11"/>
        <w:rPr>
          <w:color w:val="000000"/>
          <w:sz w:val="20"/>
          <w:szCs w:val="20"/>
        </w:rPr>
      </w:pPr>
    </w:p>
    <w:p w14:paraId="5E6698F7" w14:textId="77777777" w:rsidR="007960A8" w:rsidRDefault="00A26397">
      <w:pPr>
        <w:numPr>
          <w:ilvl w:val="1"/>
          <w:numId w:val="49"/>
        </w:numPr>
        <w:pBdr>
          <w:top w:val="nil"/>
          <w:left w:val="nil"/>
          <w:bottom w:val="nil"/>
          <w:right w:val="nil"/>
          <w:between w:val="nil"/>
        </w:pBdr>
        <w:tabs>
          <w:tab w:val="left" w:pos="710"/>
        </w:tabs>
        <w:spacing w:line="256" w:lineRule="auto"/>
        <w:ind w:right="912" w:firstLine="0"/>
        <w:rPr>
          <w:color w:val="000000"/>
        </w:rPr>
      </w:pPr>
      <w:r>
        <w:rPr>
          <w:color w:val="000000"/>
        </w:rPr>
        <w:t>The Processor shall remain fully liable for all acts or omissions of any of its Sub- processors.</w:t>
      </w:r>
    </w:p>
    <w:p w14:paraId="210715B9" w14:textId="77777777" w:rsidR="007960A8" w:rsidRDefault="007960A8">
      <w:pPr>
        <w:pBdr>
          <w:top w:val="nil"/>
          <w:left w:val="nil"/>
          <w:bottom w:val="nil"/>
          <w:right w:val="nil"/>
          <w:between w:val="nil"/>
        </w:pBdr>
        <w:spacing w:before="2"/>
        <w:rPr>
          <w:color w:val="000000"/>
          <w:sz w:val="21"/>
          <w:szCs w:val="21"/>
        </w:rPr>
      </w:pPr>
    </w:p>
    <w:p w14:paraId="27D91374" w14:textId="77777777" w:rsidR="007960A8" w:rsidRDefault="00A26397">
      <w:pPr>
        <w:numPr>
          <w:ilvl w:val="1"/>
          <w:numId w:val="49"/>
        </w:numPr>
        <w:pBdr>
          <w:top w:val="nil"/>
          <w:left w:val="nil"/>
          <w:bottom w:val="nil"/>
          <w:right w:val="nil"/>
          <w:between w:val="nil"/>
        </w:pBdr>
        <w:tabs>
          <w:tab w:val="left" w:pos="710"/>
        </w:tabs>
        <w:spacing w:line="259" w:lineRule="auto"/>
        <w:ind w:right="353" w:firstLine="0"/>
        <w:rPr>
          <w:color w:val="000000"/>
        </w:rPr>
      </w:pPr>
      <w:r>
        <w:rPr>
          <w:color w:val="000000"/>
        </w:rPr>
        <w:t>The Controller may, at any time on not less than 30 Working Days’ notice, revise this clause by replacing it with any applicable controller to processor standard clauses or similar terms forming part of an applicable certification scheme (which shall apply</w:t>
      </w:r>
      <w:r>
        <w:rPr>
          <w:color w:val="000000"/>
        </w:rPr>
        <w:t xml:space="preserve"> when incorporated by attachment to this Agreement).</w:t>
      </w:r>
    </w:p>
    <w:p w14:paraId="4DCC1A4A" w14:textId="77777777" w:rsidR="007960A8" w:rsidRDefault="007960A8">
      <w:pPr>
        <w:pBdr>
          <w:top w:val="nil"/>
          <w:left w:val="nil"/>
          <w:bottom w:val="nil"/>
          <w:right w:val="nil"/>
          <w:between w:val="nil"/>
        </w:pBdr>
        <w:spacing w:before="9"/>
        <w:rPr>
          <w:color w:val="000000"/>
          <w:sz w:val="20"/>
          <w:szCs w:val="20"/>
        </w:rPr>
      </w:pPr>
    </w:p>
    <w:p w14:paraId="2A1957DC" w14:textId="77777777" w:rsidR="007960A8" w:rsidRDefault="00A26397">
      <w:pPr>
        <w:numPr>
          <w:ilvl w:val="1"/>
          <w:numId w:val="49"/>
        </w:numPr>
        <w:pBdr>
          <w:top w:val="nil"/>
          <w:left w:val="nil"/>
          <w:bottom w:val="nil"/>
          <w:right w:val="nil"/>
          <w:between w:val="nil"/>
        </w:pBdr>
        <w:tabs>
          <w:tab w:val="left" w:pos="710"/>
        </w:tabs>
        <w:spacing w:line="259" w:lineRule="auto"/>
        <w:ind w:right="317" w:firstLine="0"/>
        <w:rPr>
          <w:color w:val="000000"/>
        </w:rPr>
      </w:pPr>
      <w:r>
        <w:rPr>
          <w:color w:val="000000"/>
        </w:rPr>
        <w:t>The Parties agree to take account of any guidance issued by the Information Commissioner’s Office. The Controller may on not less than 30 Working Days’ notice to the Processor amend this agreement to en</w:t>
      </w:r>
      <w:r>
        <w:rPr>
          <w:color w:val="000000"/>
        </w:rPr>
        <w:t>sure that it complies with any guidance issued by the Information Commissioner’s Office.</w:t>
      </w:r>
    </w:p>
    <w:p w14:paraId="294C57A2" w14:textId="77777777" w:rsidR="007960A8" w:rsidRDefault="007960A8">
      <w:pPr>
        <w:pBdr>
          <w:top w:val="nil"/>
          <w:left w:val="nil"/>
          <w:bottom w:val="nil"/>
          <w:right w:val="nil"/>
          <w:between w:val="nil"/>
        </w:pBdr>
        <w:spacing w:before="9"/>
        <w:rPr>
          <w:color w:val="000000"/>
          <w:sz w:val="20"/>
          <w:szCs w:val="20"/>
        </w:rPr>
      </w:pPr>
    </w:p>
    <w:p w14:paraId="70CAAAFB" w14:textId="77777777" w:rsidR="007960A8" w:rsidRDefault="00A26397">
      <w:pPr>
        <w:numPr>
          <w:ilvl w:val="1"/>
          <w:numId w:val="49"/>
        </w:numPr>
        <w:pBdr>
          <w:top w:val="nil"/>
          <w:left w:val="nil"/>
          <w:bottom w:val="nil"/>
          <w:right w:val="nil"/>
          <w:between w:val="nil"/>
        </w:pBdr>
        <w:tabs>
          <w:tab w:val="left" w:pos="706"/>
        </w:tabs>
        <w:spacing w:before="1" w:line="259" w:lineRule="auto"/>
        <w:ind w:right="222" w:firstLine="0"/>
        <w:rPr>
          <w:color w:val="000000"/>
        </w:rPr>
      </w:pPr>
      <w:r>
        <w:rPr>
          <w:color w:val="000000"/>
        </w:rPr>
        <w:t>Where the Parties include two or more Joint Controllers as identified in Schedule [X] in accordance with GDPR Article 26, those Parties shall enter into a Joint Controller Agreement based on the terms outlined in Schedule [Y] in replacement of Clauses 1.1-</w:t>
      </w:r>
      <w:r>
        <w:rPr>
          <w:color w:val="000000"/>
        </w:rPr>
        <w:t>1.14 for the Personal Data under Joint Control.</w:t>
      </w:r>
    </w:p>
    <w:p w14:paraId="2A0E43D0" w14:textId="77777777" w:rsidR="007960A8" w:rsidRDefault="007960A8">
      <w:pPr>
        <w:pBdr>
          <w:top w:val="nil"/>
          <w:left w:val="nil"/>
          <w:bottom w:val="nil"/>
          <w:right w:val="nil"/>
          <w:between w:val="nil"/>
        </w:pBdr>
        <w:spacing w:before="6"/>
        <w:rPr>
          <w:color w:val="000000"/>
          <w:sz w:val="20"/>
          <w:szCs w:val="20"/>
        </w:rPr>
      </w:pPr>
    </w:p>
    <w:p w14:paraId="004C5A4F" w14:textId="77777777" w:rsidR="007960A8" w:rsidRDefault="00A26397">
      <w:pPr>
        <w:pStyle w:val="Heading1"/>
        <w:spacing w:line="487" w:lineRule="auto"/>
        <w:ind w:right="1344" w:firstLine="220"/>
      </w:pPr>
      <w:r>
        <w:t>Annex A - Part 2: Schedule of Processing, Personal Data and Data Subjects Schedule [X] Processing, Personal Data and Data Subjects</w:t>
      </w:r>
    </w:p>
    <w:p w14:paraId="0C3130B7" w14:textId="77777777" w:rsidR="007960A8" w:rsidRDefault="00A26397">
      <w:pPr>
        <w:pBdr>
          <w:top w:val="nil"/>
          <w:left w:val="nil"/>
          <w:bottom w:val="nil"/>
          <w:right w:val="nil"/>
          <w:between w:val="nil"/>
        </w:pBdr>
        <w:spacing w:before="3" w:line="259" w:lineRule="auto"/>
        <w:ind w:left="220" w:right="229"/>
        <w:rPr>
          <w:color w:val="000000"/>
        </w:rPr>
      </w:pPr>
      <w:r>
        <w:rPr>
          <w:color w:val="000000"/>
        </w:rPr>
        <w:t>This Schedule shall be completed by the Controller, who may take account of the view of the Processors, however the final decision as to the content of this Schedule shall be with the Controller at its absolute discretion.</w:t>
      </w:r>
    </w:p>
    <w:p w14:paraId="56268FCF" w14:textId="77777777" w:rsidR="007960A8" w:rsidRDefault="007960A8">
      <w:pPr>
        <w:pBdr>
          <w:top w:val="nil"/>
          <w:left w:val="nil"/>
          <w:bottom w:val="nil"/>
          <w:right w:val="nil"/>
          <w:between w:val="nil"/>
        </w:pBdr>
        <w:spacing w:before="7"/>
        <w:rPr>
          <w:color w:val="000000"/>
          <w:sz w:val="20"/>
          <w:szCs w:val="20"/>
        </w:rPr>
      </w:pPr>
    </w:p>
    <w:p w14:paraId="2067CA50" w14:textId="77777777" w:rsidR="007960A8" w:rsidRDefault="00A26397">
      <w:pPr>
        <w:numPr>
          <w:ilvl w:val="0"/>
          <w:numId w:val="34"/>
        </w:numPr>
        <w:pBdr>
          <w:top w:val="nil"/>
          <w:left w:val="nil"/>
          <w:bottom w:val="nil"/>
          <w:right w:val="nil"/>
          <w:between w:val="nil"/>
        </w:pBdr>
        <w:tabs>
          <w:tab w:val="left" w:pos="941"/>
        </w:tabs>
        <w:ind w:right="224"/>
        <w:rPr>
          <w:color w:val="000000"/>
        </w:rPr>
      </w:pPr>
      <w:r>
        <w:rPr>
          <w:color w:val="000000"/>
        </w:rPr>
        <w:t>The contact details of the Contr</w:t>
      </w:r>
      <w:r>
        <w:rPr>
          <w:color w:val="000000"/>
        </w:rPr>
        <w:t>oller’s Data Protection Officer are: [Insert Contact details]</w:t>
      </w:r>
    </w:p>
    <w:p w14:paraId="48C92C9D" w14:textId="77777777" w:rsidR="007960A8" w:rsidRDefault="007960A8">
      <w:pPr>
        <w:pBdr>
          <w:top w:val="nil"/>
          <w:left w:val="nil"/>
          <w:bottom w:val="nil"/>
          <w:right w:val="nil"/>
          <w:between w:val="nil"/>
        </w:pBdr>
        <w:spacing w:before="10"/>
        <w:rPr>
          <w:color w:val="000000"/>
          <w:sz w:val="20"/>
          <w:szCs w:val="20"/>
        </w:rPr>
      </w:pPr>
    </w:p>
    <w:p w14:paraId="68C15CCC" w14:textId="77777777" w:rsidR="007960A8" w:rsidRDefault="00A26397">
      <w:pPr>
        <w:numPr>
          <w:ilvl w:val="0"/>
          <w:numId w:val="34"/>
        </w:numPr>
        <w:pBdr>
          <w:top w:val="nil"/>
          <w:left w:val="nil"/>
          <w:bottom w:val="nil"/>
          <w:right w:val="nil"/>
          <w:between w:val="nil"/>
        </w:pBdr>
        <w:tabs>
          <w:tab w:val="left" w:pos="941"/>
        </w:tabs>
        <w:ind w:right="220"/>
        <w:rPr>
          <w:color w:val="000000"/>
        </w:rPr>
        <w:sectPr w:rsidR="007960A8">
          <w:pgSz w:w="11910" w:h="16840"/>
          <w:pgMar w:top="2080" w:right="1220" w:bottom="1200" w:left="1220" w:header="838" w:footer="1000" w:gutter="0"/>
          <w:cols w:space="720"/>
        </w:sectPr>
      </w:pPr>
      <w:r>
        <w:rPr>
          <w:color w:val="000000"/>
        </w:rPr>
        <w:t>The contact details of the Processor’s Data Protection Officer are: [Insert Contact details]</w:t>
      </w:r>
    </w:p>
    <w:p w14:paraId="5D11EF2D" w14:textId="77777777" w:rsidR="007960A8" w:rsidRDefault="007960A8">
      <w:pPr>
        <w:pBdr>
          <w:top w:val="nil"/>
          <w:left w:val="nil"/>
          <w:bottom w:val="nil"/>
          <w:right w:val="nil"/>
          <w:between w:val="nil"/>
        </w:pBdr>
        <w:rPr>
          <w:color w:val="000000"/>
          <w:sz w:val="20"/>
          <w:szCs w:val="20"/>
        </w:rPr>
      </w:pPr>
    </w:p>
    <w:p w14:paraId="14116EDC" w14:textId="77777777" w:rsidR="007960A8" w:rsidRDefault="007960A8">
      <w:pPr>
        <w:pBdr>
          <w:top w:val="nil"/>
          <w:left w:val="nil"/>
          <w:bottom w:val="nil"/>
          <w:right w:val="nil"/>
          <w:between w:val="nil"/>
        </w:pBdr>
        <w:spacing w:before="7"/>
        <w:rPr>
          <w:color w:val="000000"/>
          <w:sz w:val="19"/>
          <w:szCs w:val="19"/>
        </w:rPr>
      </w:pPr>
    </w:p>
    <w:p w14:paraId="7BD6BBC5" w14:textId="77777777" w:rsidR="007960A8" w:rsidRDefault="00A26397">
      <w:pPr>
        <w:numPr>
          <w:ilvl w:val="0"/>
          <w:numId w:val="34"/>
        </w:numPr>
        <w:pBdr>
          <w:top w:val="nil"/>
          <w:left w:val="nil"/>
          <w:bottom w:val="nil"/>
          <w:right w:val="nil"/>
          <w:between w:val="nil"/>
        </w:pBdr>
        <w:tabs>
          <w:tab w:val="left" w:pos="941"/>
        </w:tabs>
        <w:ind w:right="219"/>
        <w:rPr>
          <w:color w:val="000000"/>
        </w:rPr>
      </w:pPr>
      <w:r>
        <w:rPr>
          <w:color w:val="000000"/>
        </w:rPr>
        <w:t>The Processor shall comply with any further written instructions with respect to processing by the Controller.</w:t>
      </w:r>
    </w:p>
    <w:p w14:paraId="77EE6A33" w14:textId="77777777" w:rsidR="007960A8" w:rsidRDefault="007960A8">
      <w:pPr>
        <w:pBdr>
          <w:top w:val="nil"/>
          <w:left w:val="nil"/>
          <w:bottom w:val="nil"/>
          <w:right w:val="nil"/>
          <w:between w:val="nil"/>
        </w:pBdr>
        <w:spacing w:before="11"/>
        <w:rPr>
          <w:color w:val="000000"/>
          <w:sz w:val="20"/>
          <w:szCs w:val="20"/>
        </w:rPr>
      </w:pPr>
    </w:p>
    <w:p w14:paraId="106D2DA0" w14:textId="77777777" w:rsidR="007960A8" w:rsidRDefault="00A26397">
      <w:pPr>
        <w:numPr>
          <w:ilvl w:val="0"/>
          <w:numId w:val="34"/>
        </w:numPr>
        <w:pBdr>
          <w:top w:val="nil"/>
          <w:left w:val="nil"/>
          <w:bottom w:val="nil"/>
          <w:right w:val="nil"/>
          <w:between w:val="nil"/>
        </w:pBdr>
        <w:tabs>
          <w:tab w:val="left" w:pos="941"/>
        </w:tabs>
        <w:ind w:hanging="721"/>
        <w:rPr>
          <w:color w:val="000000"/>
        </w:rPr>
      </w:pPr>
      <w:r>
        <w:rPr>
          <w:color w:val="000000"/>
        </w:rPr>
        <w:t>Any such further instructions shall be incorporated into this Schedule.</w:t>
      </w:r>
    </w:p>
    <w:p w14:paraId="477C19C8" w14:textId="77777777" w:rsidR="007960A8" w:rsidRDefault="007960A8">
      <w:pPr>
        <w:pBdr>
          <w:top w:val="nil"/>
          <w:left w:val="nil"/>
          <w:bottom w:val="nil"/>
          <w:right w:val="nil"/>
          <w:between w:val="nil"/>
        </w:pBdr>
        <w:rPr>
          <w:color w:val="000000"/>
          <w:sz w:val="20"/>
          <w:szCs w:val="20"/>
        </w:rPr>
      </w:pPr>
    </w:p>
    <w:p w14:paraId="7EF5F282" w14:textId="77777777" w:rsidR="007960A8" w:rsidRDefault="007960A8">
      <w:pPr>
        <w:pBdr>
          <w:top w:val="nil"/>
          <w:left w:val="nil"/>
          <w:bottom w:val="nil"/>
          <w:right w:val="nil"/>
          <w:between w:val="nil"/>
        </w:pBdr>
        <w:spacing w:before="1"/>
        <w:rPr>
          <w:color w:val="000000"/>
          <w:sz w:val="23"/>
          <w:szCs w:val="23"/>
        </w:rPr>
      </w:pPr>
    </w:p>
    <w:tbl>
      <w:tblPr>
        <w:tblStyle w:val="a"/>
        <w:tblW w:w="9018" w:type="dxa"/>
        <w:tblInd w:w="220" w:type="dxa"/>
        <w:tblLayout w:type="fixed"/>
        <w:tblLook w:val="0000" w:firstRow="0" w:lastRow="0" w:firstColumn="0" w:lastColumn="0" w:noHBand="0" w:noVBand="0"/>
      </w:tblPr>
      <w:tblGrid>
        <w:gridCol w:w="2491"/>
        <w:gridCol w:w="6527"/>
      </w:tblGrid>
      <w:tr w:rsidR="007960A8" w14:paraId="2A5B4508" w14:textId="77777777">
        <w:trPr>
          <w:trHeight w:val="513"/>
        </w:trPr>
        <w:tc>
          <w:tcPr>
            <w:tcW w:w="2491" w:type="dxa"/>
            <w:tcBorders>
              <w:top w:val="single" w:sz="4" w:space="0" w:color="000000"/>
              <w:left w:val="single" w:sz="4" w:space="0" w:color="000000"/>
              <w:bottom w:val="single" w:sz="4" w:space="0" w:color="000000"/>
              <w:right w:val="single" w:sz="4" w:space="0" w:color="000000"/>
            </w:tcBorders>
            <w:shd w:val="clear" w:color="auto" w:fill="BEBEBE"/>
          </w:tcPr>
          <w:p w14:paraId="3C6551CC" w14:textId="77777777" w:rsidR="007960A8" w:rsidRDefault="007960A8">
            <w:pPr>
              <w:pBdr>
                <w:top w:val="nil"/>
                <w:left w:val="nil"/>
                <w:bottom w:val="nil"/>
                <w:right w:val="nil"/>
                <w:between w:val="nil"/>
              </w:pBdr>
              <w:spacing w:before="9"/>
              <w:rPr>
                <w:color w:val="000000"/>
                <w:sz w:val="20"/>
                <w:szCs w:val="20"/>
              </w:rPr>
            </w:pPr>
          </w:p>
          <w:p w14:paraId="15FFE098" w14:textId="77777777" w:rsidR="007960A8" w:rsidRDefault="00A26397">
            <w:pPr>
              <w:pBdr>
                <w:top w:val="nil"/>
                <w:left w:val="nil"/>
                <w:bottom w:val="nil"/>
                <w:right w:val="nil"/>
                <w:between w:val="nil"/>
              </w:pBdr>
              <w:spacing w:before="1"/>
              <w:ind w:left="107"/>
              <w:rPr>
                <w:color w:val="000000"/>
              </w:rPr>
            </w:pPr>
            <w:r>
              <w:rPr>
                <w:color w:val="000000"/>
              </w:rPr>
              <w:t>Description</w:t>
            </w:r>
          </w:p>
        </w:tc>
        <w:tc>
          <w:tcPr>
            <w:tcW w:w="6527" w:type="dxa"/>
            <w:tcBorders>
              <w:top w:val="single" w:sz="4" w:space="0" w:color="000000"/>
              <w:left w:val="single" w:sz="4" w:space="0" w:color="000000"/>
              <w:bottom w:val="single" w:sz="4" w:space="0" w:color="000000"/>
              <w:right w:val="single" w:sz="4" w:space="0" w:color="000000"/>
            </w:tcBorders>
            <w:shd w:val="clear" w:color="auto" w:fill="BEBEBE"/>
          </w:tcPr>
          <w:p w14:paraId="1457E6C3" w14:textId="77777777" w:rsidR="007960A8" w:rsidRDefault="007960A8">
            <w:pPr>
              <w:pBdr>
                <w:top w:val="nil"/>
                <w:left w:val="nil"/>
                <w:bottom w:val="nil"/>
                <w:right w:val="nil"/>
                <w:between w:val="nil"/>
              </w:pBdr>
              <w:spacing w:before="9"/>
              <w:rPr>
                <w:color w:val="000000"/>
                <w:sz w:val="20"/>
                <w:szCs w:val="20"/>
              </w:rPr>
            </w:pPr>
          </w:p>
          <w:p w14:paraId="0B3C7B85" w14:textId="77777777" w:rsidR="007960A8" w:rsidRDefault="00A26397">
            <w:pPr>
              <w:pBdr>
                <w:top w:val="nil"/>
                <w:left w:val="nil"/>
                <w:bottom w:val="nil"/>
                <w:right w:val="nil"/>
                <w:between w:val="nil"/>
              </w:pBdr>
              <w:spacing w:before="1"/>
              <w:ind w:left="2905" w:right="2898"/>
              <w:jc w:val="center"/>
              <w:rPr>
                <w:color w:val="000000"/>
              </w:rPr>
            </w:pPr>
            <w:r>
              <w:rPr>
                <w:color w:val="000000"/>
              </w:rPr>
              <w:t>Details</w:t>
            </w:r>
          </w:p>
        </w:tc>
      </w:tr>
      <w:tr w:rsidR="007960A8" w14:paraId="57E6E235" w14:textId="77777777">
        <w:trPr>
          <w:trHeight w:val="5294"/>
        </w:trPr>
        <w:tc>
          <w:tcPr>
            <w:tcW w:w="2491" w:type="dxa"/>
            <w:tcBorders>
              <w:top w:val="single" w:sz="4" w:space="0" w:color="000000"/>
              <w:left w:val="single" w:sz="4" w:space="0" w:color="000000"/>
              <w:bottom w:val="single" w:sz="4" w:space="0" w:color="000000"/>
              <w:right w:val="single" w:sz="4" w:space="0" w:color="000000"/>
            </w:tcBorders>
          </w:tcPr>
          <w:p w14:paraId="0A7401BA" w14:textId="77777777" w:rsidR="007960A8" w:rsidRDefault="007960A8">
            <w:pPr>
              <w:pBdr>
                <w:top w:val="nil"/>
                <w:left w:val="nil"/>
                <w:bottom w:val="nil"/>
                <w:right w:val="nil"/>
                <w:between w:val="nil"/>
              </w:pBdr>
              <w:spacing w:before="9"/>
              <w:rPr>
                <w:color w:val="000000"/>
                <w:sz w:val="20"/>
                <w:szCs w:val="20"/>
              </w:rPr>
            </w:pPr>
          </w:p>
          <w:p w14:paraId="1F72EA6E" w14:textId="77777777" w:rsidR="007960A8" w:rsidRDefault="00A26397">
            <w:pPr>
              <w:pBdr>
                <w:top w:val="nil"/>
                <w:left w:val="nil"/>
                <w:bottom w:val="nil"/>
                <w:right w:val="nil"/>
                <w:between w:val="nil"/>
              </w:pBdr>
              <w:spacing w:before="1" w:line="259" w:lineRule="auto"/>
              <w:ind w:left="107" w:right="986"/>
              <w:jc w:val="both"/>
              <w:rPr>
                <w:color w:val="000000"/>
              </w:rPr>
            </w:pPr>
            <w:r>
              <w:rPr>
                <w:color w:val="000000"/>
              </w:rPr>
              <w:t>Identity of the Controller and Processor</w:t>
            </w:r>
          </w:p>
        </w:tc>
        <w:tc>
          <w:tcPr>
            <w:tcW w:w="6527" w:type="dxa"/>
            <w:tcBorders>
              <w:top w:val="single" w:sz="4" w:space="0" w:color="000000"/>
              <w:left w:val="single" w:sz="4" w:space="0" w:color="000000"/>
              <w:bottom w:val="single" w:sz="4" w:space="0" w:color="000000"/>
              <w:right w:val="single" w:sz="4" w:space="0" w:color="000000"/>
            </w:tcBorders>
          </w:tcPr>
          <w:p w14:paraId="169837BC" w14:textId="77777777" w:rsidR="007960A8" w:rsidRDefault="007960A8">
            <w:pPr>
              <w:pBdr>
                <w:top w:val="nil"/>
                <w:left w:val="nil"/>
                <w:bottom w:val="nil"/>
                <w:right w:val="nil"/>
                <w:between w:val="nil"/>
              </w:pBdr>
              <w:spacing w:before="9"/>
              <w:rPr>
                <w:color w:val="000000"/>
                <w:sz w:val="20"/>
                <w:szCs w:val="20"/>
              </w:rPr>
            </w:pPr>
          </w:p>
          <w:p w14:paraId="689EDC7E" w14:textId="77777777" w:rsidR="007960A8" w:rsidRDefault="00A26397">
            <w:pPr>
              <w:pBdr>
                <w:top w:val="nil"/>
                <w:left w:val="nil"/>
                <w:bottom w:val="nil"/>
                <w:right w:val="nil"/>
                <w:between w:val="nil"/>
              </w:pBdr>
              <w:spacing w:before="1" w:line="259" w:lineRule="auto"/>
              <w:ind w:left="108" w:right="666"/>
              <w:rPr>
                <w:color w:val="000000"/>
              </w:rPr>
            </w:pPr>
            <w:r>
              <w:rPr>
                <w:color w:val="000000"/>
              </w:rPr>
              <w:t xml:space="preserve">The Parties acknowledge that for the purposes of the Data Protection Legislation, the </w:t>
            </w:r>
            <w:r>
              <w:rPr>
                <w:i/>
                <w:iCs/>
                <w:color w:val="000000"/>
              </w:rPr>
              <w:t xml:space="preserve">Client </w:t>
            </w:r>
            <w:r>
              <w:rPr>
                <w:color w:val="000000"/>
              </w:rPr>
              <w:t xml:space="preserve">is the Controller and the </w:t>
            </w:r>
            <w:r>
              <w:rPr>
                <w:i/>
                <w:iCs/>
                <w:color w:val="000000"/>
              </w:rPr>
              <w:t xml:space="preserve">Service Provider </w:t>
            </w:r>
            <w:r>
              <w:rPr>
                <w:color w:val="000000"/>
              </w:rPr>
              <w:t>is the Processor in accordance with Clause 1.1.</w:t>
            </w:r>
          </w:p>
          <w:p w14:paraId="317DCCA1" w14:textId="77777777" w:rsidR="007960A8" w:rsidRDefault="007960A8">
            <w:pPr>
              <w:pBdr>
                <w:top w:val="nil"/>
                <w:left w:val="nil"/>
                <w:bottom w:val="nil"/>
                <w:right w:val="nil"/>
                <w:between w:val="nil"/>
              </w:pBdr>
              <w:spacing w:before="9"/>
              <w:rPr>
                <w:color w:val="000000"/>
                <w:sz w:val="20"/>
                <w:szCs w:val="20"/>
              </w:rPr>
            </w:pPr>
          </w:p>
          <w:p w14:paraId="422003D2" w14:textId="77777777" w:rsidR="007960A8" w:rsidRDefault="00A26397">
            <w:pPr>
              <w:pBdr>
                <w:top w:val="nil"/>
                <w:left w:val="nil"/>
                <w:bottom w:val="nil"/>
                <w:right w:val="nil"/>
                <w:between w:val="nil"/>
              </w:pBdr>
              <w:spacing w:line="259" w:lineRule="auto"/>
              <w:ind w:left="108" w:right="176"/>
              <w:rPr>
                <w:color w:val="000000"/>
              </w:rPr>
            </w:pPr>
            <w:r>
              <w:rPr>
                <w:color w:val="000000"/>
              </w:rPr>
              <w:t>[Guidance: You may need to vary this section where (in the rare case) t</w:t>
            </w:r>
            <w:r>
              <w:rPr>
                <w:color w:val="000000"/>
              </w:rPr>
              <w:t xml:space="preserve">he </w:t>
            </w:r>
            <w:r>
              <w:rPr>
                <w:i/>
                <w:iCs/>
                <w:color w:val="000000"/>
              </w:rPr>
              <w:t xml:space="preserve">Client </w:t>
            </w:r>
            <w:r>
              <w:rPr>
                <w:color w:val="000000"/>
              </w:rPr>
              <w:t xml:space="preserve">and </w:t>
            </w:r>
            <w:r>
              <w:rPr>
                <w:i/>
                <w:iCs/>
                <w:color w:val="000000"/>
              </w:rPr>
              <w:t xml:space="preserve">Service Provider </w:t>
            </w:r>
            <w:r>
              <w:rPr>
                <w:color w:val="000000"/>
              </w:rPr>
              <w:t>have a different relationship.</w:t>
            </w:r>
          </w:p>
          <w:p w14:paraId="613F6621" w14:textId="77777777" w:rsidR="007960A8" w:rsidRDefault="00A26397">
            <w:pPr>
              <w:pBdr>
                <w:top w:val="nil"/>
                <w:left w:val="nil"/>
                <w:bottom w:val="nil"/>
                <w:right w:val="nil"/>
                <w:between w:val="nil"/>
              </w:pBdr>
              <w:spacing w:before="1" w:line="256" w:lineRule="auto"/>
              <w:ind w:left="108" w:right="629"/>
              <w:rPr>
                <w:color w:val="000000"/>
              </w:rPr>
            </w:pPr>
            <w:r>
              <w:rPr>
                <w:color w:val="000000"/>
              </w:rPr>
              <w:t>For example, where the Parties are Joint Controller of some Personal Data:</w:t>
            </w:r>
          </w:p>
          <w:p w14:paraId="583DEDD5" w14:textId="77777777" w:rsidR="007960A8" w:rsidRDefault="007960A8">
            <w:pPr>
              <w:pBdr>
                <w:top w:val="nil"/>
                <w:left w:val="nil"/>
                <w:bottom w:val="nil"/>
                <w:right w:val="nil"/>
                <w:between w:val="nil"/>
              </w:pBdr>
              <w:spacing w:before="1"/>
              <w:rPr>
                <w:color w:val="000000"/>
                <w:sz w:val="21"/>
                <w:szCs w:val="21"/>
              </w:rPr>
            </w:pPr>
          </w:p>
          <w:p w14:paraId="5AD9E928" w14:textId="77777777" w:rsidR="007960A8" w:rsidRDefault="00A26397">
            <w:pPr>
              <w:pBdr>
                <w:top w:val="nil"/>
                <w:left w:val="nil"/>
                <w:bottom w:val="nil"/>
                <w:right w:val="nil"/>
                <w:between w:val="nil"/>
              </w:pBdr>
              <w:spacing w:before="1" w:line="259" w:lineRule="auto"/>
              <w:ind w:left="108" w:right="115"/>
              <w:rPr>
                <w:color w:val="000000"/>
              </w:rPr>
            </w:pPr>
            <w:r>
              <w:rPr>
                <w:color w:val="000000"/>
              </w:rPr>
              <w:t>“Notwithstanding Clause 1.1 the Parties acknowledge that they are also Joint Controllers for the purposes of the Data Protection Legislation in respect of:</w:t>
            </w:r>
          </w:p>
          <w:p w14:paraId="74D28922" w14:textId="77777777" w:rsidR="007960A8" w:rsidRDefault="007960A8">
            <w:pPr>
              <w:pBdr>
                <w:top w:val="nil"/>
                <w:left w:val="nil"/>
                <w:bottom w:val="nil"/>
                <w:right w:val="nil"/>
                <w:between w:val="nil"/>
              </w:pBdr>
              <w:spacing w:before="8"/>
              <w:rPr>
                <w:color w:val="000000"/>
                <w:sz w:val="20"/>
                <w:szCs w:val="20"/>
              </w:rPr>
            </w:pPr>
          </w:p>
          <w:p w14:paraId="4BE3C2E1" w14:textId="77777777" w:rsidR="007960A8" w:rsidRDefault="00A26397">
            <w:pPr>
              <w:pBdr>
                <w:top w:val="nil"/>
                <w:left w:val="nil"/>
                <w:bottom w:val="nil"/>
                <w:right w:val="nil"/>
                <w:between w:val="nil"/>
              </w:pBdr>
              <w:spacing w:line="259" w:lineRule="auto"/>
              <w:ind w:left="391" w:right="370"/>
              <w:rPr>
                <w:color w:val="000000"/>
              </w:rPr>
            </w:pPr>
            <w:r>
              <w:rPr>
                <w:color w:val="000000"/>
              </w:rPr>
              <w:t>[Insert the scope of Personal Data which the purposes and means of the processing is determined by the both Parties]</w:t>
            </w:r>
          </w:p>
          <w:p w14:paraId="7BB8105F" w14:textId="77777777" w:rsidR="007960A8" w:rsidRDefault="007960A8">
            <w:pPr>
              <w:pBdr>
                <w:top w:val="nil"/>
                <w:left w:val="nil"/>
                <w:bottom w:val="nil"/>
                <w:right w:val="nil"/>
                <w:between w:val="nil"/>
              </w:pBdr>
              <w:rPr>
                <w:color w:val="000000"/>
                <w:sz w:val="21"/>
                <w:szCs w:val="21"/>
              </w:rPr>
            </w:pPr>
          </w:p>
          <w:p w14:paraId="5F58F629" w14:textId="77777777" w:rsidR="007960A8" w:rsidRDefault="00A26397">
            <w:pPr>
              <w:pBdr>
                <w:top w:val="nil"/>
                <w:left w:val="nil"/>
                <w:bottom w:val="nil"/>
                <w:right w:val="nil"/>
                <w:between w:val="nil"/>
              </w:pBdr>
              <w:ind w:left="108"/>
              <w:rPr>
                <w:color w:val="000000"/>
              </w:rPr>
            </w:pPr>
            <w:r>
              <w:rPr>
                <w:color w:val="000000"/>
              </w:rPr>
              <w:t>In respect of Personal Data under Joint Control, Clause 1.1-1.15</w:t>
            </w:r>
          </w:p>
          <w:p w14:paraId="72E8613A" w14:textId="77777777" w:rsidR="007960A8" w:rsidRDefault="00A26397">
            <w:pPr>
              <w:pBdr>
                <w:top w:val="nil"/>
                <w:left w:val="nil"/>
                <w:bottom w:val="nil"/>
                <w:right w:val="nil"/>
                <w:between w:val="nil"/>
              </w:pBdr>
              <w:spacing w:before="4"/>
              <w:ind w:left="108" w:right="824"/>
              <w:rPr>
                <w:color w:val="000000"/>
              </w:rPr>
            </w:pPr>
            <w:r>
              <w:rPr>
                <w:color w:val="000000"/>
              </w:rPr>
              <w:t>will not apply and the Parties agree to put in place a Joint Controller Agreement as outlined in Schedule Y instead.”</w:t>
            </w:r>
          </w:p>
        </w:tc>
      </w:tr>
      <w:tr w:rsidR="007960A8" w14:paraId="235A82D8" w14:textId="77777777">
        <w:trPr>
          <w:trHeight w:val="1845"/>
        </w:trPr>
        <w:tc>
          <w:tcPr>
            <w:tcW w:w="2491" w:type="dxa"/>
            <w:tcBorders>
              <w:top w:val="single" w:sz="4" w:space="0" w:color="000000"/>
              <w:left w:val="single" w:sz="4" w:space="0" w:color="000000"/>
              <w:bottom w:val="single" w:sz="4" w:space="0" w:color="000000"/>
              <w:right w:val="single" w:sz="4" w:space="0" w:color="000000"/>
            </w:tcBorders>
          </w:tcPr>
          <w:p w14:paraId="4F80FA12" w14:textId="77777777" w:rsidR="007960A8" w:rsidRDefault="007960A8">
            <w:pPr>
              <w:pBdr>
                <w:top w:val="nil"/>
                <w:left w:val="nil"/>
                <w:bottom w:val="nil"/>
                <w:right w:val="nil"/>
                <w:between w:val="nil"/>
              </w:pBdr>
              <w:spacing w:before="9"/>
              <w:rPr>
                <w:color w:val="000000"/>
                <w:sz w:val="20"/>
                <w:szCs w:val="20"/>
              </w:rPr>
            </w:pPr>
          </w:p>
          <w:p w14:paraId="2206772E" w14:textId="77777777" w:rsidR="007960A8" w:rsidRDefault="00A26397">
            <w:pPr>
              <w:pBdr>
                <w:top w:val="nil"/>
                <w:left w:val="nil"/>
                <w:bottom w:val="nil"/>
                <w:right w:val="nil"/>
                <w:between w:val="nil"/>
              </w:pBdr>
              <w:spacing w:before="1" w:line="259" w:lineRule="auto"/>
              <w:ind w:left="107" w:right="324"/>
              <w:rPr>
                <w:color w:val="000000"/>
              </w:rPr>
            </w:pPr>
            <w:r>
              <w:rPr>
                <w:color w:val="000000"/>
              </w:rPr>
              <w:t>Subject matter of the processing</w:t>
            </w:r>
          </w:p>
        </w:tc>
        <w:tc>
          <w:tcPr>
            <w:tcW w:w="6527" w:type="dxa"/>
            <w:tcBorders>
              <w:top w:val="single" w:sz="4" w:space="0" w:color="000000"/>
              <w:left w:val="single" w:sz="4" w:space="0" w:color="000000"/>
              <w:bottom w:val="single" w:sz="4" w:space="0" w:color="000000"/>
              <w:right w:val="single" w:sz="4" w:space="0" w:color="000000"/>
            </w:tcBorders>
          </w:tcPr>
          <w:p w14:paraId="6D16F61A" w14:textId="77777777" w:rsidR="007960A8" w:rsidRDefault="007960A8">
            <w:pPr>
              <w:pBdr>
                <w:top w:val="nil"/>
                <w:left w:val="nil"/>
                <w:bottom w:val="nil"/>
                <w:right w:val="nil"/>
                <w:between w:val="nil"/>
              </w:pBdr>
              <w:spacing w:before="9"/>
              <w:rPr>
                <w:color w:val="000000"/>
                <w:sz w:val="20"/>
                <w:szCs w:val="20"/>
              </w:rPr>
            </w:pPr>
          </w:p>
          <w:p w14:paraId="24EC2DD8" w14:textId="77777777" w:rsidR="007960A8" w:rsidRDefault="00A26397">
            <w:pPr>
              <w:pBdr>
                <w:top w:val="nil"/>
                <w:left w:val="nil"/>
                <w:bottom w:val="nil"/>
                <w:right w:val="nil"/>
                <w:between w:val="nil"/>
              </w:pBdr>
              <w:spacing w:before="1" w:line="259" w:lineRule="auto"/>
              <w:ind w:left="108" w:right="849"/>
              <w:rPr>
                <w:color w:val="000000"/>
              </w:rPr>
            </w:pPr>
            <w:r>
              <w:rPr>
                <w:color w:val="000000"/>
              </w:rPr>
              <w:t>[This should be a high level, short description of what the processing is about i.e., its subject matter of the contract.</w:t>
            </w:r>
          </w:p>
          <w:p w14:paraId="13A78E9D" w14:textId="77777777" w:rsidR="007960A8" w:rsidRDefault="007960A8">
            <w:pPr>
              <w:pBdr>
                <w:top w:val="nil"/>
                <w:left w:val="nil"/>
                <w:bottom w:val="nil"/>
                <w:right w:val="nil"/>
                <w:between w:val="nil"/>
              </w:pBdr>
              <w:spacing w:before="10"/>
              <w:rPr>
                <w:color w:val="000000"/>
                <w:sz w:val="20"/>
                <w:szCs w:val="20"/>
              </w:rPr>
            </w:pPr>
          </w:p>
          <w:p w14:paraId="1E16DA07" w14:textId="77777777" w:rsidR="007960A8" w:rsidRDefault="00A26397">
            <w:pPr>
              <w:pBdr>
                <w:top w:val="nil"/>
                <w:left w:val="nil"/>
                <w:bottom w:val="nil"/>
                <w:right w:val="nil"/>
                <w:between w:val="nil"/>
              </w:pBdr>
              <w:ind w:left="108"/>
              <w:rPr>
                <w:color w:val="000000"/>
              </w:rPr>
            </w:pPr>
            <w:r>
              <w:rPr>
                <w:color w:val="000000"/>
              </w:rPr>
              <w:t>Example: The processing is needed in order to ensure that the</w:t>
            </w:r>
          </w:p>
          <w:p w14:paraId="6DB712D6" w14:textId="77777777" w:rsidR="007960A8" w:rsidRDefault="00A26397">
            <w:pPr>
              <w:pBdr>
                <w:top w:val="nil"/>
                <w:left w:val="nil"/>
                <w:bottom w:val="nil"/>
                <w:right w:val="nil"/>
                <w:between w:val="nil"/>
              </w:pBdr>
              <w:spacing w:before="4"/>
              <w:ind w:left="108" w:right="666"/>
              <w:rPr>
                <w:color w:val="000000"/>
              </w:rPr>
            </w:pPr>
            <w:r>
              <w:rPr>
                <w:color w:val="000000"/>
              </w:rPr>
              <w:t>Processor can effectively deliver the contract to provide a service to members of the public.]</w:t>
            </w:r>
          </w:p>
        </w:tc>
      </w:tr>
      <w:tr w:rsidR="007960A8" w14:paraId="556E7E63" w14:textId="77777777">
        <w:trPr>
          <w:trHeight w:val="786"/>
        </w:trPr>
        <w:tc>
          <w:tcPr>
            <w:tcW w:w="2491" w:type="dxa"/>
            <w:tcBorders>
              <w:top w:val="single" w:sz="4" w:space="0" w:color="000000"/>
              <w:left w:val="single" w:sz="4" w:space="0" w:color="000000"/>
              <w:bottom w:val="single" w:sz="4" w:space="0" w:color="000000"/>
              <w:right w:val="single" w:sz="4" w:space="0" w:color="000000"/>
            </w:tcBorders>
          </w:tcPr>
          <w:p w14:paraId="625A6FE9" w14:textId="77777777" w:rsidR="007960A8" w:rsidRDefault="007960A8">
            <w:pPr>
              <w:pBdr>
                <w:top w:val="nil"/>
                <w:left w:val="nil"/>
                <w:bottom w:val="nil"/>
                <w:right w:val="nil"/>
                <w:between w:val="nil"/>
              </w:pBdr>
              <w:spacing w:before="4"/>
              <w:rPr>
                <w:color w:val="000000"/>
                <w:sz w:val="19"/>
                <w:szCs w:val="19"/>
              </w:rPr>
            </w:pPr>
          </w:p>
          <w:p w14:paraId="42841682" w14:textId="77777777" w:rsidR="007960A8" w:rsidRDefault="00A26397">
            <w:pPr>
              <w:pBdr>
                <w:top w:val="nil"/>
                <w:left w:val="nil"/>
                <w:bottom w:val="nil"/>
                <w:right w:val="nil"/>
                <w:between w:val="nil"/>
              </w:pBdr>
              <w:ind w:left="107" w:right="910"/>
              <w:rPr>
                <w:color w:val="000000"/>
              </w:rPr>
            </w:pPr>
            <w:r>
              <w:rPr>
                <w:color w:val="000000"/>
              </w:rPr>
              <w:t>Duration of the processing</w:t>
            </w:r>
          </w:p>
        </w:tc>
        <w:tc>
          <w:tcPr>
            <w:tcW w:w="6527" w:type="dxa"/>
            <w:tcBorders>
              <w:top w:val="single" w:sz="4" w:space="0" w:color="000000"/>
              <w:left w:val="single" w:sz="4" w:space="0" w:color="000000"/>
              <w:bottom w:val="single" w:sz="4" w:space="0" w:color="000000"/>
              <w:right w:val="single" w:sz="4" w:space="0" w:color="000000"/>
            </w:tcBorders>
          </w:tcPr>
          <w:p w14:paraId="60606366" w14:textId="77777777" w:rsidR="007960A8" w:rsidRDefault="007960A8">
            <w:pPr>
              <w:pBdr>
                <w:top w:val="nil"/>
                <w:left w:val="nil"/>
                <w:bottom w:val="nil"/>
                <w:right w:val="nil"/>
                <w:between w:val="nil"/>
              </w:pBdr>
              <w:spacing w:before="9"/>
              <w:rPr>
                <w:color w:val="000000"/>
                <w:sz w:val="20"/>
                <w:szCs w:val="20"/>
              </w:rPr>
            </w:pPr>
          </w:p>
          <w:p w14:paraId="6CD228A7" w14:textId="77777777" w:rsidR="007960A8" w:rsidRDefault="00A26397">
            <w:pPr>
              <w:pBdr>
                <w:top w:val="nil"/>
                <w:left w:val="nil"/>
                <w:bottom w:val="nil"/>
                <w:right w:val="nil"/>
                <w:between w:val="nil"/>
              </w:pBdr>
              <w:spacing w:before="1"/>
              <w:ind w:left="108"/>
              <w:rPr>
                <w:color w:val="000000"/>
              </w:rPr>
            </w:pPr>
            <w:r>
              <w:rPr>
                <w:color w:val="000000"/>
              </w:rPr>
              <w:t>[Clearly set out the duration of the processing including dates]</w:t>
            </w:r>
          </w:p>
        </w:tc>
      </w:tr>
      <w:tr w:rsidR="007960A8" w14:paraId="09BCE081" w14:textId="77777777">
        <w:trPr>
          <w:trHeight w:val="4195"/>
        </w:trPr>
        <w:tc>
          <w:tcPr>
            <w:tcW w:w="2491" w:type="dxa"/>
            <w:tcBorders>
              <w:top w:val="single" w:sz="4" w:space="0" w:color="000000"/>
              <w:left w:val="single" w:sz="4" w:space="0" w:color="000000"/>
              <w:right w:val="single" w:sz="4" w:space="0" w:color="000000"/>
            </w:tcBorders>
          </w:tcPr>
          <w:p w14:paraId="0AF36F37" w14:textId="77777777" w:rsidR="007960A8" w:rsidRDefault="007960A8">
            <w:pPr>
              <w:pBdr>
                <w:top w:val="nil"/>
                <w:left w:val="nil"/>
                <w:bottom w:val="nil"/>
                <w:right w:val="nil"/>
                <w:between w:val="nil"/>
              </w:pBdr>
              <w:spacing w:before="9"/>
              <w:rPr>
                <w:color w:val="000000"/>
                <w:sz w:val="20"/>
                <w:szCs w:val="20"/>
              </w:rPr>
            </w:pPr>
          </w:p>
          <w:p w14:paraId="37FE3CE4" w14:textId="77777777" w:rsidR="007960A8" w:rsidRDefault="00A26397">
            <w:pPr>
              <w:pBdr>
                <w:top w:val="nil"/>
                <w:left w:val="nil"/>
                <w:bottom w:val="nil"/>
                <w:right w:val="nil"/>
                <w:between w:val="nil"/>
              </w:pBdr>
              <w:spacing w:before="1" w:line="259" w:lineRule="auto"/>
              <w:ind w:left="107" w:right="299"/>
              <w:rPr>
                <w:color w:val="000000"/>
              </w:rPr>
            </w:pPr>
            <w:r>
              <w:rPr>
                <w:color w:val="000000"/>
              </w:rPr>
              <w:t>Nature and purposes of the processing</w:t>
            </w:r>
          </w:p>
        </w:tc>
        <w:tc>
          <w:tcPr>
            <w:tcW w:w="6527" w:type="dxa"/>
            <w:tcBorders>
              <w:top w:val="single" w:sz="4" w:space="0" w:color="000000"/>
              <w:left w:val="single" w:sz="4" w:space="0" w:color="000000"/>
              <w:right w:val="single" w:sz="4" w:space="0" w:color="000000"/>
            </w:tcBorders>
          </w:tcPr>
          <w:p w14:paraId="2F72BB3D" w14:textId="77777777" w:rsidR="007960A8" w:rsidRDefault="007960A8">
            <w:pPr>
              <w:pBdr>
                <w:top w:val="nil"/>
                <w:left w:val="nil"/>
                <w:bottom w:val="nil"/>
                <w:right w:val="nil"/>
                <w:between w:val="nil"/>
              </w:pBdr>
              <w:spacing w:before="9"/>
              <w:rPr>
                <w:color w:val="000000"/>
                <w:sz w:val="20"/>
                <w:szCs w:val="20"/>
              </w:rPr>
            </w:pPr>
          </w:p>
          <w:p w14:paraId="5F85E6C7" w14:textId="77777777" w:rsidR="007960A8" w:rsidRDefault="00A26397">
            <w:pPr>
              <w:pBdr>
                <w:top w:val="nil"/>
                <w:left w:val="nil"/>
                <w:bottom w:val="nil"/>
                <w:right w:val="nil"/>
                <w:between w:val="nil"/>
              </w:pBdr>
              <w:spacing w:before="1" w:line="259" w:lineRule="auto"/>
              <w:ind w:left="108" w:right="140"/>
              <w:rPr>
                <w:color w:val="000000"/>
              </w:rPr>
            </w:pPr>
            <w:r>
              <w:rPr>
                <w:color w:val="000000"/>
              </w:rPr>
              <w:t>[Please be as specific as possible, but make sure that you cover all intended purposes.</w:t>
            </w:r>
          </w:p>
          <w:p w14:paraId="2EF35568" w14:textId="77777777" w:rsidR="007960A8" w:rsidRDefault="007960A8">
            <w:pPr>
              <w:pBdr>
                <w:top w:val="nil"/>
                <w:left w:val="nil"/>
                <w:bottom w:val="nil"/>
                <w:right w:val="nil"/>
                <w:between w:val="nil"/>
              </w:pBdr>
              <w:spacing w:before="8"/>
              <w:rPr>
                <w:color w:val="000000"/>
                <w:sz w:val="20"/>
                <w:szCs w:val="20"/>
              </w:rPr>
            </w:pPr>
          </w:p>
          <w:p w14:paraId="48204CF3" w14:textId="77777777" w:rsidR="007960A8" w:rsidRDefault="00A26397">
            <w:pPr>
              <w:pBdr>
                <w:top w:val="nil"/>
                <w:left w:val="nil"/>
                <w:bottom w:val="nil"/>
                <w:right w:val="nil"/>
                <w:between w:val="nil"/>
              </w:pBdr>
              <w:spacing w:before="1" w:line="259" w:lineRule="auto"/>
              <w:ind w:left="108" w:right="347"/>
              <w:rPr>
                <w:color w:val="000000"/>
              </w:rPr>
            </w:pPr>
            <w:r>
              <w:rPr>
                <w:color w:val="000000"/>
              </w:rPr>
              <w:t>The nature of the processing means any operation such as collection, recording, organisation, structuring, storage, adaptation or alteration, retrieval, consultation, use, disclosure by transmission, dissemination or otherwise making available, alignment o</w:t>
            </w:r>
            <w:r>
              <w:rPr>
                <w:color w:val="000000"/>
              </w:rPr>
              <w:t>r combination, restriction, erasure or destruction of</w:t>
            </w:r>
          </w:p>
          <w:p w14:paraId="1A34DBC6" w14:textId="77777777" w:rsidR="007960A8" w:rsidRDefault="00A26397">
            <w:pPr>
              <w:pBdr>
                <w:top w:val="nil"/>
                <w:left w:val="nil"/>
                <w:bottom w:val="nil"/>
                <w:right w:val="nil"/>
                <w:between w:val="nil"/>
              </w:pBdr>
              <w:spacing w:line="252" w:lineRule="auto"/>
              <w:ind w:left="108"/>
              <w:rPr>
                <w:color w:val="000000"/>
              </w:rPr>
            </w:pPr>
            <w:r>
              <w:rPr>
                <w:color w:val="000000"/>
              </w:rPr>
              <w:t>data (whether or not by automated means) etc.</w:t>
            </w:r>
          </w:p>
          <w:p w14:paraId="78DFF811" w14:textId="77777777" w:rsidR="007960A8" w:rsidRDefault="007960A8">
            <w:pPr>
              <w:pBdr>
                <w:top w:val="nil"/>
                <w:left w:val="nil"/>
                <w:bottom w:val="nil"/>
                <w:right w:val="nil"/>
                <w:between w:val="nil"/>
              </w:pBdr>
              <w:spacing w:before="9"/>
              <w:rPr>
                <w:rFonts w:ascii="Times New Roman" w:eastAsia="Times New Roman" w:hAnsi="Times New Roman" w:cs="Times New Roman"/>
                <w:color w:val="000000"/>
                <w:sz w:val="20"/>
                <w:szCs w:val="20"/>
              </w:rPr>
            </w:pPr>
          </w:p>
          <w:p w14:paraId="433CACC5" w14:textId="77777777" w:rsidR="007960A8" w:rsidRDefault="00A26397">
            <w:pPr>
              <w:pBdr>
                <w:top w:val="nil"/>
                <w:left w:val="nil"/>
                <w:bottom w:val="nil"/>
                <w:right w:val="nil"/>
                <w:between w:val="nil"/>
              </w:pBdr>
              <w:spacing w:before="1" w:line="259" w:lineRule="auto"/>
              <w:ind w:left="108" w:right="384"/>
              <w:rPr>
                <w:color w:val="000000"/>
              </w:rPr>
            </w:pPr>
            <w:r>
              <w:rPr>
                <w:color w:val="000000"/>
              </w:rPr>
              <w:t>The purpose might include: employment processing, statutory obligation, recruitment assessment etc]</w:t>
            </w:r>
          </w:p>
        </w:tc>
      </w:tr>
      <w:tr w:rsidR="007960A8" w14:paraId="562D39EC" w14:textId="77777777">
        <w:trPr>
          <w:trHeight w:val="784"/>
        </w:trPr>
        <w:tc>
          <w:tcPr>
            <w:tcW w:w="2491" w:type="dxa"/>
            <w:tcBorders>
              <w:top w:val="single" w:sz="4" w:space="0" w:color="000000"/>
              <w:left w:val="single" w:sz="4" w:space="0" w:color="000000"/>
              <w:bottom w:val="single" w:sz="4" w:space="0" w:color="000000"/>
              <w:right w:val="single" w:sz="4" w:space="0" w:color="000000"/>
            </w:tcBorders>
          </w:tcPr>
          <w:p w14:paraId="2DFD6DA9" w14:textId="77777777" w:rsidR="007960A8" w:rsidRDefault="007960A8">
            <w:pPr>
              <w:pBdr>
                <w:top w:val="nil"/>
                <w:left w:val="nil"/>
                <w:bottom w:val="nil"/>
                <w:right w:val="nil"/>
                <w:between w:val="nil"/>
              </w:pBdr>
              <w:spacing w:before="4"/>
              <w:rPr>
                <w:rFonts w:ascii="Times New Roman" w:eastAsia="Times New Roman" w:hAnsi="Times New Roman" w:cs="Times New Roman"/>
                <w:color w:val="000000"/>
                <w:sz w:val="19"/>
                <w:szCs w:val="19"/>
              </w:rPr>
            </w:pPr>
          </w:p>
          <w:p w14:paraId="6E64BA18" w14:textId="77777777" w:rsidR="007960A8" w:rsidRDefault="00A26397">
            <w:pPr>
              <w:pBdr>
                <w:top w:val="nil"/>
                <w:left w:val="nil"/>
                <w:bottom w:val="nil"/>
                <w:right w:val="nil"/>
                <w:between w:val="nil"/>
              </w:pBdr>
              <w:ind w:left="107" w:right="165"/>
              <w:rPr>
                <w:color w:val="000000"/>
              </w:rPr>
            </w:pPr>
            <w:r>
              <w:rPr>
                <w:color w:val="000000"/>
              </w:rPr>
              <w:t>Type of Personal Data being Processed</w:t>
            </w:r>
          </w:p>
        </w:tc>
        <w:tc>
          <w:tcPr>
            <w:tcW w:w="6527" w:type="dxa"/>
            <w:tcBorders>
              <w:top w:val="single" w:sz="4" w:space="0" w:color="000000"/>
              <w:left w:val="single" w:sz="4" w:space="0" w:color="000000"/>
              <w:bottom w:val="single" w:sz="4" w:space="0" w:color="000000"/>
              <w:right w:val="single" w:sz="4" w:space="0" w:color="000000"/>
            </w:tcBorders>
          </w:tcPr>
          <w:p w14:paraId="2944126C" w14:textId="77777777" w:rsidR="007960A8" w:rsidRDefault="007960A8">
            <w:pPr>
              <w:pBdr>
                <w:top w:val="nil"/>
                <w:left w:val="nil"/>
                <w:bottom w:val="nil"/>
                <w:right w:val="nil"/>
                <w:between w:val="nil"/>
              </w:pBdr>
              <w:spacing w:before="4"/>
              <w:rPr>
                <w:rFonts w:ascii="Times New Roman" w:eastAsia="Times New Roman" w:hAnsi="Times New Roman" w:cs="Times New Roman"/>
                <w:color w:val="000000"/>
                <w:sz w:val="19"/>
                <w:szCs w:val="19"/>
              </w:rPr>
            </w:pPr>
          </w:p>
          <w:p w14:paraId="33837BB2" w14:textId="77777777" w:rsidR="007960A8" w:rsidRDefault="00A26397">
            <w:pPr>
              <w:pBdr>
                <w:top w:val="nil"/>
                <w:left w:val="nil"/>
                <w:bottom w:val="nil"/>
                <w:right w:val="nil"/>
                <w:between w:val="nil"/>
              </w:pBdr>
              <w:ind w:left="108" w:right="519"/>
              <w:rPr>
                <w:color w:val="000000"/>
              </w:rPr>
            </w:pPr>
            <w:r>
              <w:rPr>
                <w:color w:val="000000"/>
              </w:rPr>
              <w:t>[Examples here include: name, address, date of birth, NI number, telephone number, pay, images, biometric data etc]</w:t>
            </w:r>
          </w:p>
        </w:tc>
      </w:tr>
      <w:tr w:rsidR="007960A8" w14:paraId="47835AF5" w14:textId="77777777">
        <w:trPr>
          <w:trHeight w:val="1332"/>
        </w:trPr>
        <w:tc>
          <w:tcPr>
            <w:tcW w:w="2491" w:type="dxa"/>
            <w:tcBorders>
              <w:top w:val="single" w:sz="4" w:space="0" w:color="000000"/>
              <w:left w:val="single" w:sz="4" w:space="0" w:color="000000"/>
              <w:bottom w:val="single" w:sz="4" w:space="0" w:color="000000"/>
              <w:right w:val="single" w:sz="4" w:space="0" w:color="000000"/>
            </w:tcBorders>
          </w:tcPr>
          <w:p w14:paraId="2013FFE8" w14:textId="77777777" w:rsidR="007960A8" w:rsidRDefault="007960A8">
            <w:pPr>
              <w:pBdr>
                <w:top w:val="nil"/>
                <w:left w:val="nil"/>
                <w:bottom w:val="nil"/>
                <w:right w:val="nil"/>
                <w:between w:val="nil"/>
              </w:pBdr>
              <w:spacing w:before="9"/>
              <w:rPr>
                <w:rFonts w:ascii="Times New Roman" w:eastAsia="Times New Roman" w:hAnsi="Times New Roman" w:cs="Times New Roman"/>
                <w:color w:val="000000"/>
                <w:sz w:val="20"/>
                <w:szCs w:val="20"/>
              </w:rPr>
            </w:pPr>
          </w:p>
          <w:p w14:paraId="3A4D33B5" w14:textId="77777777" w:rsidR="007960A8" w:rsidRDefault="00A26397">
            <w:pPr>
              <w:pBdr>
                <w:top w:val="nil"/>
                <w:left w:val="nil"/>
                <w:bottom w:val="nil"/>
                <w:right w:val="nil"/>
                <w:between w:val="nil"/>
              </w:pBdr>
              <w:spacing w:before="1" w:line="259" w:lineRule="auto"/>
              <w:ind w:left="107" w:right="519"/>
              <w:rPr>
                <w:color w:val="000000"/>
              </w:rPr>
            </w:pPr>
            <w:r>
              <w:rPr>
                <w:color w:val="000000"/>
              </w:rPr>
              <w:t>Categories of Data Subject</w:t>
            </w:r>
          </w:p>
        </w:tc>
        <w:tc>
          <w:tcPr>
            <w:tcW w:w="6527" w:type="dxa"/>
            <w:tcBorders>
              <w:top w:val="single" w:sz="4" w:space="0" w:color="000000"/>
              <w:left w:val="single" w:sz="4" w:space="0" w:color="000000"/>
              <w:bottom w:val="single" w:sz="4" w:space="0" w:color="000000"/>
              <w:right w:val="single" w:sz="4" w:space="0" w:color="000000"/>
            </w:tcBorders>
          </w:tcPr>
          <w:p w14:paraId="3EC58B15" w14:textId="77777777" w:rsidR="007960A8" w:rsidRDefault="007960A8">
            <w:pPr>
              <w:pBdr>
                <w:top w:val="nil"/>
                <w:left w:val="nil"/>
                <w:bottom w:val="nil"/>
                <w:right w:val="nil"/>
                <w:between w:val="nil"/>
              </w:pBdr>
              <w:spacing w:before="9"/>
              <w:rPr>
                <w:rFonts w:ascii="Times New Roman" w:eastAsia="Times New Roman" w:hAnsi="Times New Roman" w:cs="Times New Roman"/>
                <w:color w:val="000000"/>
                <w:sz w:val="20"/>
                <w:szCs w:val="20"/>
              </w:rPr>
            </w:pPr>
          </w:p>
          <w:p w14:paraId="3B7586C9" w14:textId="77777777" w:rsidR="007960A8" w:rsidRDefault="00A26397">
            <w:pPr>
              <w:pBdr>
                <w:top w:val="nil"/>
                <w:left w:val="nil"/>
                <w:bottom w:val="nil"/>
                <w:right w:val="nil"/>
                <w:between w:val="nil"/>
              </w:pBdr>
              <w:spacing w:before="1" w:line="259" w:lineRule="auto"/>
              <w:ind w:left="108" w:right="458"/>
              <w:rPr>
                <w:color w:val="000000"/>
              </w:rPr>
            </w:pPr>
            <w:r>
              <w:rPr>
                <w:color w:val="000000"/>
              </w:rPr>
              <w:t>[Examples include: Staff (including volunteers, agents, and temporary workers), customers/ clients, suppliers, patients, students / pupils, members of the public, users of a particular</w:t>
            </w:r>
          </w:p>
          <w:p w14:paraId="26C0A4EA" w14:textId="77777777" w:rsidR="007960A8" w:rsidRDefault="00A26397">
            <w:pPr>
              <w:pBdr>
                <w:top w:val="nil"/>
                <w:left w:val="nil"/>
                <w:bottom w:val="nil"/>
                <w:right w:val="nil"/>
                <w:between w:val="nil"/>
              </w:pBdr>
              <w:spacing w:before="1" w:line="251" w:lineRule="auto"/>
              <w:ind w:left="108"/>
              <w:rPr>
                <w:color w:val="000000"/>
              </w:rPr>
            </w:pPr>
            <w:r>
              <w:rPr>
                <w:color w:val="000000"/>
              </w:rPr>
              <w:t>website etc]</w:t>
            </w:r>
          </w:p>
        </w:tc>
      </w:tr>
      <w:tr w:rsidR="007960A8" w14:paraId="7C668FB6" w14:textId="77777777">
        <w:trPr>
          <w:trHeight w:val="1447"/>
        </w:trPr>
        <w:tc>
          <w:tcPr>
            <w:tcW w:w="2491" w:type="dxa"/>
            <w:tcBorders>
              <w:top w:val="single" w:sz="4" w:space="0" w:color="000000"/>
              <w:left w:val="single" w:sz="4" w:space="0" w:color="000000"/>
              <w:bottom w:val="nil"/>
              <w:right w:val="single" w:sz="4" w:space="0" w:color="000000"/>
            </w:tcBorders>
          </w:tcPr>
          <w:p w14:paraId="15453A74" w14:textId="77777777" w:rsidR="007960A8" w:rsidRDefault="007960A8">
            <w:pPr>
              <w:pBdr>
                <w:top w:val="nil"/>
                <w:left w:val="nil"/>
                <w:bottom w:val="nil"/>
                <w:right w:val="nil"/>
                <w:between w:val="nil"/>
              </w:pBdr>
              <w:rPr>
                <w:rFonts w:ascii="Times New Roman" w:eastAsia="Times New Roman" w:hAnsi="Times New Roman" w:cs="Times New Roman"/>
                <w:color w:val="000000"/>
                <w:sz w:val="21"/>
                <w:szCs w:val="21"/>
              </w:rPr>
            </w:pPr>
          </w:p>
          <w:p w14:paraId="1BE038A1" w14:textId="77777777" w:rsidR="007960A8" w:rsidRDefault="00A26397">
            <w:pPr>
              <w:pBdr>
                <w:top w:val="nil"/>
                <w:left w:val="nil"/>
                <w:bottom w:val="nil"/>
                <w:right w:val="nil"/>
                <w:between w:val="nil"/>
              </w:pBdr>
              <w:spacing w:line="259" w:lineRule="auto"/>
              <w:ind w:left="107" w:right="164"/>
              <w:rPr>
                <w:color w:val="000000"/>
              </w:rPr>
            </w:pPr>
            <w:r>
              <w:rPr>
                <w:color w:val="000000"/>
              </w:rPr>
              <w:t>Plan for return and destruction of the data once the processing is complete</w:t>
            </w:r>
          </w:p>
        </w:tc>
        <w:tc>
          <w:tcPr>
            <w:tcW w:w="6527" w:type="dxa"/>
            <w:tcBorders>
              <w:top w:val="single" w:sz="4" w:space="0" w:color="000000"/>
              <w:left w:val="single" w:sz="4" w:space="0" w:color="000000"/>
              <w:bottom w:val="nil"/>
              <w:right w:val="single" w:sz="4" w:space="0" w:color="000000"/>
            </w:tcBorders>
          </w:tcPr>
          <w:p w14:paraId="03E92CB8" w14:textId="77777777" w:rsidR="007960A8" w:rsidRDefault="007960A8">
            <w:pPr>
              <w:pBdr>
                <w:top w:val="nil"/>
                <w:left w:val="nil"/>
                <w:bottom w:val="nil"/>
                <w:right w:val="nil"/>
                <w:between w:val="nil"/>
              </w:pBdr>
              <w:rPr>
                <w:rFonts w:ascii="Times New Roman" w:eastAsia="Times New Roman" w:hAnsi="Times New Roman" w:cs="Times New Roman"/>
                <w:color w:val="000000"/>
                <w:sz w:val="21"/>
                <w:szCs w:val="21"/>
              </w:rPr>
            </w:pPr>
          </w:p>
          <w:p w14:paraId="2365331C" w14:textId="77777777" w:rsidR="007960A8" w:rsidRDefault="00A26397">
            <w:pPr>
              <w:pBdr>
                <w:top w:val="nil"/>
                <w:left w:val="nil"/>
                <w:bottom w:val="nil"/>
                <w:right w:val="nil"/>
                <w:between w:val="nil"/>
              </w:pBdr>
              <w:spacing w:line="256" w:lineRule="auto"/>
              <w:ind w:left="108" w:right="812"/>
              <w:rPr>
                <w:color w:val="000000"/>
              </w:rPr>
            </w:pPr>
            <w:r>
              <w:rPr>
                <w:color w:val="000000"/>
              </w:rPr>
              <w:t>[Describe how long the data will be retained for, how it be returned or destroyed]</w:t>
            </w:r>
          </w:p>
        </w:tc>
      </w:tr>
      <w:tr w:rsidR="007960A8" w14:paraId="580058B1" w14:textId="77777777">
        <w:trPr>
          <w:trHeight w:val="1492"/>
        </w:trPr>
        <w:tc>
          <w:tcPr>
            <w:tcW w:w="2491" w:type="dxa"/>
            <w:tcBorders>
              <w:top w:val="nil"/>
              <w:left w:val="single" w:sz="4" w:space="0" w:color="000000"/>
              <w:bottom w:val="single" w:sz="4" w:space="0" w:color="000000"/>
              <w:right w:val="single" w:sz="4" w:space="0" w:color="000000"/>
            </w:tcBorders>
          </w:tcPr>
          <w:p w14:paraId="05A43175" w14:textId="77777777" w:rsidR="007960A8" w:rsidRDefault="00A26397">
            <w:pPr>
              <w:pBdr>
                <w:top w:val="nil"/>
                <w:left w:val="nil"/>
                <w:bottom w:val="nil"/>
                <w:right w:val="nil"/>
                <w:between w:val="nil"/>
              </w:pBdr>
              <w:spacing w:before="127" w:line="259" w:lineRule="auto"/>
              <w:ind w:left="107" w:right="238"/>
              <w:rPr>
                <w:color w:val="000000"/>
              </w:rPr>
            </w:pPr>
            <w:r>
              <w:rPr>
                <w:color w:val="000000"/>
              </w:rPr>
              <w:t>UNLESS requirement under union or member state law to preserve that type of</w:t>
            </w:r>
          </w:p>
          <w:p w14:paraId="0709FE32" w14:textId="77777777" w:rsidR="007960A8" w:rsidRDefault="00A26397">
            <w:pPr>
              <w:pBdr>
                <w:top w:val="nil"/>
                <w:left w:val="nil"/>
                <w:bottom w:val="nil"/>
                <w:right w:val="nil"/>
                <w:between w:val="nil"/>
              </w:pBdr>
              <w:spacing w:line="252" w:lineRule="auto"/>
              <w:ind w:left="107"/>
              <w:rPr>
                <w:color w:val="000000"/>
              </w:rPr>
            </w:pPr>
            <w:r>
              <w:rPr>
                <w:color w:val="000000"/>
              </w:rPr>
              <w:t>data</w:t>
            </w:r>
          </w:p>
        </w:tc>
        <w:tc>
          <w:tcPr>
            <w:tcW w:w="6527" w:type="dxa"/>
            <w:tcBorders>
              <w:top w:val="nil"/>
              <w:left w:val="single" w:sz="4" w:space="0" w:color="000000"/>
              <w:bottom w:val="single" w:sz="4" w:space="0" w:color="000000"/>
              <w:right w:val="single" w:sz="4" w:space="0" w:color="000000"/>
            </w:tcBorders>
          </w:tcPr>
          <w:p w14:paraId="2569697B" w14:textId="77777777" w:rsidR="007960A8" w:rsidRDefault="007960A8">
            <w:pPr>
              <w:pBdr>
                <w:top w:val="nil"/>
                <w:left w:val="nil"/>
                <w:bottom w:val="nil"/>
                <w:right w:val="nil"/>
                <w:between w:val="nil"/>
              </w:pBdr>
              <w:rPr>
                <w:rFonts w:ascii="Times New Roman" w:eastAsia="Times New Roman" w:hAnsi="Times New Roman" w:cs="Times New Roman"/>
                <w:color w:val="000000"/>
              </w:rPr>
            </w:pPr>
          </w:p>
        </w:tc>
      </w:tr>
    </w:tbl>
    <w:p w14:paraId="2057634E" w14:textId="77777777" w:rsidR="007960A8" w:rsidRDefault="007960A8">
      <w:pPr>
        <w:rPr>
          <w:rFonts w:ascii="Times New Roman" w:eastAsia="Times New Roman" w:hAnsi="Times New Roman" w:cs="Times New Roman"/>
          <w:sz w:val="19"/>
          <w:szCs w:val="19"/>
        </w:rPr>
        <w:sectPr w:rsidR="007960A8">
          <w:pgSz w:w="11910" w:h="16840"/>
          <w:pgMar w:top="2080" w:right="1220" w:bottom="1200" w:left="1220" w:header="838" w:footer="1000" w:gutter="0"/>
          <w:cols w:space="720"/>
        </w:sectPr>
      </w:pPr>
    </w:p>
    <w:p w14:paraId="53897B7B" w14:textId="77777777" w:rsidR="007960A8" w:rsidRDefault="007960A8">
      <w:pPr>
        <w:pBdr>
          <w:top w:val="nil"/>
          <w:left w:val="nil"/>
          <w:bottom w:val="nil"/>
          <w:right w:val="nil"/>
          <w:between w:val="nil"/>
        </w:pBdr>
        <w:rPr>
          <w:rFonts w:ascii="Times New Roman" w:eastAsia="Times New Roman" w:hAnsi="Times New Roman" w:cs="Times New Roman"/>
          <w:color w:val="000000"/>
          <w:sz w:val="20"/>
          <w:szCs w:val="20"/>
        </w:rPr>
      </w:pPr>
    </w:p>
    <w:p w14:paraId="5C52F6D9" w14:textId="77777777" w:rsidR="007960A8" w:rsidRDefault="007960A8">
      <w:pPr>
        <w:pBdr>
          <w:top w:val="nil"/>
          <w:left w:val="nil"/>
          <w:bottom w:val="nil"/>
          <w:right w:val="nil"/>
          <w:between w:val="nil"/>
        </w:pBdr>
        <w:spacing w:before="7"/>
        <w:rPr>
          <w:rFonts w:ascii="Times New Roman" w:eastAsia="Times New Roman" w:hAnsi="Times New Roman" w:cs="Times New Roman"/>
          <w:color w:val="000000"/>
          <w:sz w:val="19"/>
          <w:szCs w:val="19"/>
        </w:rPr>
      </w:pPr>
    </w:p>
    <w:p w14:paraId="75D4C283" w14:textId="77777777" w:rsidR="007960A8" w:rsidRDefault="00A26397">
      <w:pPr>
        <w:pStyle w:val="Heading1"/>
        <w:ind w:left="0"/>
        <w:jc w:val="center"/>
      </w:pPr>
      <w:r>
        <w:t>SCHEDULE [Guidance: insert schedule ref here] Security</w:t>
      </w:r>
    </w:p>
    <w:p w14:paraId="7E371A11" w14:textId="77777777" w:rsidR="007960A8" w:rsidRDefault="007960A8">
      <w:pPr>
        <w:pBdr>
          <w:top w:val="nil"/>
          <w:left w:val="nil"/>
          <w:bottom w:val="nil"/>
          <w:right w:val="nil"/>
          <w:between w:val="nil"/>
        </w:pBdr>
        <w:spacing w:before="8"/>
        <w:rPr>
          <w:b/>
          <w:bCs/>
          <w:color w:val="000000"/>
        </w:rPr>
      </w:pPr>
    </w:p>
    <w:p w14:paraId="22EFEF65" w14:textId="77777777" w:rsidR="007960A8" w:rsidRDefault="00A26397">
      <w:pPr>
        <w:numPr>
          <w:ilvl w:val="0"/>
          <w:numId w:val="23"/>
        </w:numPr>
        <w:pBdr>
          <w:top w:val="nil"/>
          <w:left w:val="nil"/>
          <w:bottom w:val="nil"/>
          <w:right w:val="nil"/>
          <w:between w:val="nil"/>
        </w:pBdr>
        <w:tabs>
          <w:tab w:val="left" w:pos="941"/>
        </w:tabs>
        <w:ind w:hanging="721"/>
        <w:rPr>
          <w:color w:val="000000"/>
        </w:rPr>
      </w:pPr>
      <w:r>
        <w:rPr>
          <w:color w:val="000000"/>
        </w:rPr>
        <w:t>CONTRACT SCHEDULE [Guidance: insert schedule ref here] - SECURITY PROVISIONS</w:t>
      </w:r>
    </w:p>
    <w:p w14:paraId="69BFBAD9" w14:textId="77777777" w:rsidR="007960A8" w:rsidRDefault="007960A8">
      <w:pPr>
        <w:pBdr>
          <w:top w:val="nil"/>
          <w:left w:val="nil"/>
          <w:bottom w:val="nil"/>
          <w:right w:val="nil"/>
          <w:between w:val="nil"/>
        </w:pBdr>
        <w:spacing w:before="9"/>
        <w:rPr>
          <w:color w:val="000000"/>
          <w:sz w:val="20"/>
          <w:szCs w:val="20"/>
        </w:rPr>
      </w:pPr>
    </w:p>
    <w:p w14:paraId="7B7009C5" w14:textId="77777777" w:rsidR="007960A8" w:rsidRDefault="00A26397">
      <w:pPr>
        <w:numPr>
          <w:ilvl w:val="1"/>
          <w:numId w:val="23"/>
        </w:numPr>
        <w:pBdr>
          <w:top w:val="nil"/>
          <w:left w:val="nil"/>
          <w:bottom w:val="nil"/>
          <w:right w:val="nil"/>
          <w:between w:val="nil"/>
        </w:pBdr>
        <w:tabs>
          <w:tab w:val="left" w:pos="941"/>
        </w:tabs>
        <w:ind w:hanging="721"/>
        <w:rPr>
          <w:color w:val="000000"/>
        </w:rPr>
      </w:pPr>
      <w:r>
        <w:rPr>
          <w:color w:val="000000"/>
        </w:rPr>
        <w:t>Definitions</w:t>
      </w:r>
    </w:p>
    <w:p w14:paraId="1433BCD6" w14:textId="77777777" w:rsidR="007960A8" w:rsidRDefault="007960A8">
      <w:pPr>
        <w:pBdr>
          <w:top w:val="nil"/>
          <w:left w:val="nil"/>
          <w:bottom w:val="nil"/>
          <w:right w:val="nil"/>
          <w:between w:val="nil"/>
        </w:pBdr>
        <w:rPr>
          <w:color w:val="000000"/>
          <w:sz w:val="21"/>
          <w:szCs w:val="21"/>
        </w:rPr>
      </w:pPr>
    </w:p>
    <w:p w14:paraId="1FE0115F" w14:textId="77777777" w:rsidR="007960A8" w:rsidRDefault="00A26397">
      <w:pPr>
        <w:pBdr>
          <w:top w:val="nil"/>
          <w:left w:val="nil"/>
          <w:bottom w:val="nil"/>
          <w:right w:val="nil"/>
          <w:between w:val="nil"/>
        </w:pBdr>
        <w:ind w:left="220"/>
        <w:rPr>
          <w:color w:val="000000"/>
        </w:rPr>
      </w:pPr>
      <w:r>
        <w:rPr>
          <w:color w:val="000000"/>
        </w:rPr>
        <w:t>For the purposes of this schedule the following terms shall have the meanings given below:</w:t>
      </w:r>
    </w:p>
    <w:p w14:paraId="720722C1" w14:textId="77777777" w:rsidR="007960A8" w:rsidRDefault="007960A8">
      <w:pPr>
        <w:pBdr>
          <w:top w:val="nil"/>
          <w:left w:val="nil"/>
          <w:bottom w:val="nil"/>
          <w:right w:val="nil"/>
          <w:between w:val="nil"/>
        </w:pBdr>
        <w:rPr>
          <w:color w:val="000000"/>
          <w:sz w:val="21"/>
          <w:szCs w:val="21"/>
        </w:rPr>
      </w:pPr>
    </w:p>
    <w:p w14:paraId="16CD3DA0" w14:textId="77777777" w:rsidR="007960A8" w:rsidRDefault="00A26397">
      <w:pPr>
        <w:pBdr>
          <w:top w:val="nil"/>
          <w:left w:val="nil"/>
          <w:bottom w:val="nil"/>
          <w:right w:val="nil"/>
          <w:between w:val="nil"/>
        </w:pBdr>
        <w:tabs>
          <w:tab w:val="left" w:pos="2988"/>
        </w:tabs>
        <w:ind w:left="328"/>
        <w:rPr>
          <w:color w:val="000000"/>
        </w:rPr>
      </w:pPr>
      <w:r>
        <w:rPr>
          <w:b/>
          <w:bCs/>
          <w:color w:val="000000"/>
        </w:rPr>
        <w:t>"Affiliates"</w:t>
      </w:r>
      <w:r>
        <w:rPr>
          <w:b/>
          <w:bCs/>
          <w:color w:val="000000"/>
        </w:rPr>
        <w:tab/>
      </w:r>
      <w:r>
        <w:rPr>
          <w:color w:val="000000"/>
        </w:rPr>
        <w:t>in relation to a body corporate, any other entity which</w:t>
      </w:r>
    </w:p>
    <w:p w14:paraId="5AC1F22C" w14:textId="77777777" w:rsidR="007960A8" w:rsidRDefault="00A26397">
      <w:pPr>
        <w:pBdr>
          <w:top w:val="nil"/>
          <w:left w:val="nil"/>
          <w:bottom w:val="nil"/>
          <w:right w:val="nil"/>
          <w:between w:val="nil"/>
        </w:pBdr>
        <w:spacing w:before="20" w:line="259" w:lineRule="auto"/>
        <w:ind w:left="2988" w:right="751"/>
        <w:rPr>
          <w:color w:val="000000"/>
        </w:rPr>
      </w:pPr>
      <w:r>
        <w:rPr>
          <w:color w:val="000000"/>
        </w:rPr>
        <w:t>directly or indirectly Controls, is Controlled by, or is under direct or indirect common Contro</w:t>
      </w:r>
      <w:r>
        <w:rPr>
          <w:color w:val="000000"/>
        </w:rPr>
        <w:t>l with, that body corporate from time to time;</w:t>
      </w:r>
    </w:p>
    <w:p w14:paraId="5D747406" w14:textId="77777777" w:rsidR="007960A8" w:rsidRDefault="007960A8">
      <w:pPr>
        <w:pBdr>
          <w:top w:val="nil"/>
          <w:left w:val="nil"/>
          <w:bottom w:val="nil"/>
          <w:right w:val="nil"/>
          <w:between w:val="nil"/>
        </w:pBdr>
        <w:spacing w:before="10"/>
        <w:rPr>
          <w:color w:val="000000"/>
          <w:sz w:val="20"/>
          <w:szCs w:val="20"/>
        </w:rPr>
      </w:pPr>
    </w:p>
    <w:p w14:paraId="5793F58D" w14:textId="77777777" w:rsidR="007960A8" w:rsidRDefault="00A26397">
      <w:pPr>
        <w:pBdr>
          <w:top w:val="nil"/>
          <w:left w:val="nil"/>
          <w:bottom w:val="nil"/>
          <w:right w:val="nil"/>
          <w:between w:val="nil"/>
        </w:pBdr>
        <w:tabs>
          <w:tab w:val="left" w:pos="2988"/>
        </w:tabs>
        <w:ind w:left="328"/>
        <w:rPr>
          <w:color w:val="000000"/>
        </w:rPr>
      </w:pPr>
      <w:r>
        <w:rPr>
          <w:b/>
          <w:bCs/>
          <w:color w:val="000000"/>
        </w:rPr>
        <w:t>"Breach of Security"</w:t>
      </w:r>
      <w:r>
        <w:rPr>
          <w:b/>
          <w:bCs/>
          <w:color w:val="000000"/>
        </w:rPr>
        <w:tab/>
      </w:r>
      <w:r>
        <w:rPr>
          <w:color w:val="000000"/>
        </w:rPr>
        <w:t>in accordance with the Security Requirements and the</w:t>
      </w:r>
    </w:p>
    <w:p w14:paraId="62400739" w14:textId="77777777" w:rsidR="007960A8" w:rsidRDefault="00A26397">
      <w:pPr>
        <w:pBdr>
          <w:top w:val="nil"/>
          <w:left w:val="nil"/>
          <w:bottom w:val="nil"/>
          <w:right w:val="nil"/>
          <w:between w:val="nil"/>
        </w:pBdr>
        <w:spacing w:before="20"/>
        <w:ind w:left="2988"/>
        <w:rPr>
          <w:color w:val="000000"/>
        </w:rPr>
      </w:pPr>
      <w:r>
        <w:rPr>
          <w:color w:val="000000"/>
        </w:rPr>
        <w:t>Security Policy, the occurrence of:</w:t>
      </w:r>
    </w:p>
    <w:p w14:paraId="4D621037" w14:textId="77777777" w:rsidR="007960A8" w:rsidRDefault="007960A8">
      <w:pPr>
        <w:pBdr>
          <w:top w:val="nil"/>
          <w:left w:val="nil"/>
          <w:bottom w:val="nil"/>
          <w:right w:val="nil"/>
          <w:between w:val="nil"/>
        </w:pBdr>
        <w:spacing w:before="6"/>
        <w:rPr>
          <w:color w:val="000000"/>
        </w:rPr>
      </w:pPr>
    </w:p>
    <w:p w14:paraId="4614E725" w14:textId="77777777" w:rsidR="007960A8" w:rsidRDefault="00A26397">
      <w:pPr>
        <w:numPr>
          <w:ilvl w:val="2"/>
          <w:numId w:val="23"/>
        </w:numPr>
        <w:pBdr>
          <w:top w:val="nil"/>
          <w:left w:val="nil"/>
          <w:bottom w:val="nil"/>
          <w:right w:val="nil"/>
          <w:between w:val="nil"/>
        </w:pBdr>
        <w:tabs>
          <w:tab w:val="left" w:pos="3709"/>
        </w:tabs>
        <w:ind w:right="749"/>
        <w:jc w:val="both"/>
        <w:rPr>
          <w:color w:val="000000"/>
        </w:rPr>
      </w:pPr>
      <w:r>
        <w:rPr>
          <w:color w:val="000000"/>
        </w:rPr>
        <w:t xml:space="preserve">any unauthorised access to or use of the </w:t>
      </w:r>
      <w:r>
        <w:rPr>
          <w:i/>
          <w:iCs/>
          <w:color w:val="000000"/>
        </w:rPr>
        <w:t>service</w:t>
      </w:r>
      <w:r>
        <w:rPr>
          <w:color w:val="000000"/>
        </w:rPr>
        <w:t xml:space="preserve"> the Client Premises, the </w:t>
      </w:r>
      <w:r>
        <w:rPr>
          <w:i/>
          <w:iCs/>
          <w:color w:val="000000"/>
        </w:rPr>
        <w:t>Service Areas</w:t>
      </w:r>
      <w:r>
        <w:rPr>
          <w:color w:val="000000"/>
        </w:rPr>
        <w:t xml:space="preserve">, the Service Provider System and/or any ICT, information or data (including the Confidential Information and the Client Data) used by the </w:t>
      </w:r>
      <w:r>
        <w:rPr>
          <w:i/>
          <w:iCs/>
          <w:color w:val="000000"/>
        </w:rPr>
        <w:t xml:space="preserve">Client </w:t>
      </w:r>
      <w:r>
        <w:rPr>
          <w:color w:val="000000"/>
        </w:rPr>
        <w:t xml:space="preserve">and/or the </w:t>
      </w:r>
      <w:r>
        <w:rPr>
          <w:i/>
          <w:iCs/>
          <w:color w:val="000000"/>
        </w:rPr>
        <w:t xml:space="preserve">Service Provider </w:t>
      </w:r>
      <w:r>
        <w:rPr>
          <w:color w:val="000000"/>
        </w:rPr>
        <w:t>in connection with this contract; and/or</w:t>
      </w:r>
    </w:p>
    <w:p w14:paraId="2AF45620" w14:textId="77777777" w:rsidR="007960A8" w:rsidRDefault="007960A8">
      <w:pPr>
        <w:pBdr>
          <w:top w:val="nil"/>
          <w:left w:val="nil"/>
          <w:bottom w:val="nil"/>
          <w:right w:val="nil"/>
          <w:between w:val="nil"/>
        </w:pBdr>
        <w:spacing w:before="8"/>
        <w:rPr>
          <w:color w:val="000000"/>
          <w:sz w:val="20"/>
          <w:szCs w:val="20"/>
        </w:rPr>
      </w:pPr>
    </w:p>
    <w:p w14:paraId="7A98E1BD" w14:textId="77777777" w:rsidR="007960A8" w:rsidRDefault="00A26397">
      <w:pPr>
        <w:numPr>
          <w:ilvl w:val="2"/>
          <w:numId w:val="23"/>
        </w:numPr>
        <w:pBdr>
          <w:top w:val="nil"/>
          <w:left w:val="nil"/>
          <w:bottom w:val="nil"/>
          <w:right w:val="nil"/>
          <w:between w:val="nil"/>
        </w:pBdr>
        <w:tabs>
          <w:tab w:val="left" w:pos="3709"/>
        </w:tabs>
        <w:spacing w:before="1"/>
        <w:ind w:right="748"/>
        <w:jc w:val="both"/>
        <w:rPr>
          <w:color w:val="000000"/>
        </w:rPr>
      </w:pPr>
      <w:r>
        <w:rPr>
          <w:color w:val="000000"/>
        </w:rPr>
        <w:t>t</w:t>
      </w:r>
      <w:r>
        <w:rPr>
          <w:color w:val="000000"/>
        </w:rPr>
        <w:t xml:space="preserve">he loss and/or unauthorised disclosure of any information or data (including the Confidential Information and the Client Data), including any copies of such information or data, used by the </w:t>
      </w:r>
      <w:r>
        <w:rPr>
          <w:i/>
          <w:iCs/>
          <w:color w:val="000000"/>
        </w:rPr>
        <w:t xml:space="preserve">Client </w:t>
      </w:r>
      <w:r>
        <w:rPr>
          <w:color w:val="000000"/>
        </w:rPr>
        <w:t xml:space="preserve">and/or the </w:t>
      </w:r>
      <w:r>
        <w:rPr>
          <w:i/>
          <w:iCs/>
          <w:color w:val="000000"/>
        </w:rPr>
        <w:t xml:space="preserve">Service Provider </w:t>
      </w:r>
      <w:r>
        <w:rPr>
          <w:color w:val="000000"/>
        </w:rPr>
        <w:t>in connection with this contrac</w:t>
      </w:r>
      <w:r>
        <w:rPr>
          <w:color w:val="000000"/>
        </w:rPr>
        <w:t>t.</w:t>
      </w:r>
    </w:p>
    <w:p w14:paraId="561900E0" w14:textId="77777777" w:rsidR="007960A8" w:rsidRDefault="007960A8">
      <w:pPr>
        <w:pBdr>
          <w:top w:val="nil"/>
          <w:left w:val="nil"/>
          <w:bottom w:val="nil"/>
          <w:right w:val="nil"/>
          <w:between w:val="nil"/>
        </w:pBdr>
        <w:spacing w:before="9"/>
        <w:rPr>
          <w:color w:val="000000"/>
          <w:sz w:val="20"/>
          <w:szCs w:val="20"/>
        </w:rPr>
      </w:pPr>
    </w:p>
    <w:p w14:paraId="18437CE6" w14:textId="77777777" w:rsidR="007960A8" w:rsidRDefault="00A26397">
      <w:pPr>
        <w:pBdr>
          <w:top w:val="nil"/>
          <w:left w:val="nil"/>
          <w:bottom w:val="nil"/>
          <w:right w:val="nil"/>
          <w:between w:val="nil"/>
        </w:pBdr>
        <w:tabs>
          <w:tab w:val="left" w:pos="2988"/>
        </w:tabs>
        <w:ind w:left="328"/>
        <w:rPr>
          <w:color w:val="000000"/>
        </w:rPr>
      </w:pPr>
      <w:r>
        <w:rPr>
          <w:b/>
          <w:bCs/>
          <w:color w:val="000000"/>
        </w:rPr>
        <w:t>"Clearance"</w:t>
      </w:r>
      <w:r>
        <w:rPr>
          <w:b/>
          <w:bCs/>
          <w:color w:val="000000"/>
        </w:rPr>
        <w:tab/>
      </w:r>
      <w:r>
        <w:rPr>
          <w:color w:val="000000"/>
        </w:rPr>
        <w:t>means national security clearance and employment checks</w:t>
      </w:r>
    </w:p>
    <w:p w14:paraId="701B5021" w14:textId="77777777" w:rsidR="007960A8" w:rsidRDefault="00A26397">
      <w:pPr>
        <w:pBdr>
          <w:top w:val="nil"/>
          <w:left w:val="nil"/>
          <w:bottom w:val="nil"/>
          <w:right w:val="nil"/>
          <w:between w:val="nil"/>
        </w:pBdr>
        <w:spacing w:before="1"/>
        <w:ind w:left="2988" w:right="518"/>
        <w:rPr>
          <w:color w:val="000000"/>
          <w:sz w:val="14"/>
          <w:szCs w:val="14"/>
        </w:rPr>
        <w:sectPr w:rsidR="007960A8">
          <w:pgSz w:w="11910" w:h="16840"/>
          <w:pgMar w:top="2080" w:right="1220" w:bottom="1200" w:left="1220" w:header="838" w:footer="1000" w:gutter="0"/>
          <w:cols w:space="720"/>
        </w:sectPr>
      </w:pPr>
      <w:r>
        <w:rPr>
          <w:color w:val="000000"/>
        </w:rPr>
        <w:t>undertaken by and/or obtained from the Defence Vetting Agency;</w:t>
      </w:r>
    </w:p>
    <w:p w14:paraId="62DDF441" w14:textId="77777777" w:rsidR="007960A8" w:rsidRDefault="007960A8">
      <w:pPr>
        <w:pBdr>
          <w:top w:val="nil"/>
          <w:left w:val="nil"/>
          <w:bottom w:val="nil"/>
          <w:right w:val="nil"/>
          <w:between w:val="nil"/>
        </w:pBdr>
        <w:spacing w:before="96"/>
        <w:ind w:left="328" w:right="746"/>
        <w:jc w:val="both"/>
        <w:rPr>
          <w:color w:val="000000"/>
        </w:rPr>
        <w:sectPr w:rsidR="007960A8">
          <w:type w:val="continuous"/>
          <w:pgSz w:w="11910" w:h="16840"/>
          <w:pgMar w:top="1580" w:right="1220" w:bottom="280" w:left="1220" w:header="720" w:footer="720" w:gutter="0"/>
          <w:cols w:num="2" w:space="720" w:equalWidth="0">
            <w:col w:w="4210" w:space="1049"/>
            <w:col w:w="4210" w:space="0"/>
          </w:cols>
        </w:sectPr>
      </w:pPr>
    </w:p>
    <w:p w14:paraId="77F03B99" w14:textId="77777777" w:rsidR="007960A8" w:rsidRDefault="007960A8">
      <w:pPr>
        <w:pBdr>
          <w:top w:val="nil"/>
          <w:left w:val="nil"/>
          <w:bottom w:val="nil"/>
          <w:right w:val="nil"/>
          <w:between w:val="nil"/>
        </w:pBdr>
        <w:tabs>
          <w:tab w:val="left" w:pos="2659"/>
        </w:tabs>
        <w:ind w:right="750"/>
        <w:jc w:val="right"/>
        <w:rPr>
          <w:b/>
          <w:bCs/>
          <w:color w:val="000000"/>
        </w:rPr>
      </w:pPr>
    </w:p>
    <w:p w14:paraId="562B628E" w14:textId="77777777" w:rsidR="007960A8" w:rsidRDefault="00A26397">
      <w:pPr>
        <w:pBdr>
          <w:top w:val="nil"/>
          <w:left w:val="nil"/>
          <w:bottom w:val="nil"/>
          <w:right w:val="nil"/>
          <w:between w:val="nil"/>
        </w:pBdr>
        <w:tabs>
          <w:tab w:val="left" w:pos="2659"/>
        </w:tabs>
        <w:ind w:right="750"/>
        <w:jc w:val="right"/>
        <w:rPr>
          <w:color w:val="000000"/>
          <w:sz w:val="20"/>
          <w:szCs w:val="20"/>
        </w:rPr>
      </w:pPr>
      <w:r>
        <w:rPr>
          <w:b/>
          <w:bCs/>
          <w:color w:val="000000"/>
        </w:rPr>
        <w:t>"Control"</w:t>
      </w:r>
      <w:r>
        <w:rPr>
          <w:b/>
          <w:bCs/>
          <w:color w:val="000000"/>
        </w:rPr>
        <w:tab/>
      </w:r>
      <w:r>
        <w:rPr>
          <w:color w:val="000000"/>
        </w:rPr>
        <w:t>means that a person possesses, directly or indirectly, the power to direct or cause the direction of the management</w:t>
      </w:r>
    </w:p>
    <w:p w14:paraId="5970B2BB" w14:textId="77777777" w:rsidR="007960A8" w:rsidRDefault="007960A8">
      <w:pPr>
        <w:pBdr>
          <w:top w:val="nil"/>
          <w:left w:val="nil"/>
          <w:bottom w:val="nil"/>
          <w:right w:val="nil"/>
          <w:between w:val="nil"/>
        </w:pBdr>
        <w:spacing w:before="7"/>
        <w:rPr>
          <w:color w:val="000000"/>
          <w:sz w:val="19"/>
          <w:szCs w:val="19"/>
        </w:rPr>
      </w:pPr>
    </w:p>
    <w:p w14:paraId="5385A545" w14:textId="77777777" w:rsidR="007960A8" w:rsidRDefault="00A26397">
      <w:pPr>
        <w:pBdr>
          <w:top w:val="nil"/>
          <w:left w:val="nil"/>
          <w:bottom w:val="nil"/>
          <w:right w:val="nil"/>
          <w:between w:val="nil"/>
        </w:pBdr>
        <w:ind w:left="2988" w:right="749"/>
        <w:jc w:val="both"/>
        <w:rPr>
          <w:color w:val="000000"/>
        </w:rPr>
      </w:pPr>
      <w:r>
        <w:rPr>
          <w:color w:val="000000"/>
        </w:rPr>
        <w:t>and policies of the other person (whether through the ownership of voting shares, by contract or otherwise) and "Controls" and "Controlled"</w:t>
      </w:r>
      <w:r>
        <w:rPr>
          <w:color w:val="000000"/>
        </w:rPr>
        <w:t xml:space="preserve"> shall be interpreted accordingly;</w:t>
      </w:r>
    </w:p>
    <w:p w14:paraId="49223324" w14:textId="77777777" w:rsidR="007960A8" w:rsidRDefault="007960A8">
      <w:pPr>
        <w:pBdr>
          <w:top w:val="nil"/>
          <w:left w:val="nil"/>
          <w:bottom w:val="nil"/>
          <w:right w:val="nil"/>
          <w:between w:val="nil"/>
        </w:pBdr>
        <w:spacing w:before="10"/>
        <w:rPr>
          <w:color w:val="000000"/>
          <w:sz w:val="20"/>
          <w:szCs w:val="20"/>
        </w:rPr>
      </w:pPr>
    </w:p>
    <w:p w14:paraId="4010B535" w14:textId="77777777" w:rsidR="007960A8" w:rsidRDefault="00A26397">
      <w:pPr>
        <w:pBdr>
          <w:top w:val="nil"/>
          <w:left w:val="nil"/>
          <w:bottom w:val="nil"/>
          <w:right w:val="nil"/>
          <w:between w:val="nil"/>
        </w:pBdr>
        <w:tabs>
          <w:tab w:val="left" w:pos="2988"/>
        </w:tabs>
        <w:ind w:left="2988" w:right="748" w:hanging="2660"/>
        <w:jc w:val="both"/>
        <w:rPr>
          <w:color w:val="000000"/>
        </w:rPr>
      </w:pPr>
      <w:r>
        <w:rPr>
          <w:b/>
          <w:bCs/>
          <w:color w:val="000000"/>
        </w:rPr>
        <w:t>"Default"</w:t>
      </w:r>
      <w:r>
        <w:rPr>
          <w:b/>
          <w:bCs/>
          <w:color w:val="000000"/>
        </w:rPr>
        <w:tab/>
      </w:r>
      <w:r>
        <w:rPr>
          <w:color w:val="000000"/>
        </w:rPr>
        <w:t>any breach of the obligations of the relevant party (including but not limited to fundamental breach or breach of a fundamental term) or any other default, act, omission, negligence or statement of the relevant party, its employees, servants, agents or Sub</w:t>
      </w:r>
      <w:r>
        <w:rPr>
          <w:color w:val="000000"/>
        </w:rPr>
        <w:t xml:space="preserve"> Consultants in connection with or in relation to the subject-matter of this contract and in respect of which such party is liable to the other;</w:t>
      </w:r>
    </w:p>
    <w:p w14:paraId="5C0496E2" w14:textId="77777777" w:rsidR="007960A8" w:rsidRDefault="007960A8">
      <w:pPr>
        <w:pBdr>
          <w:top w:val="nil"/>
          <w:left w:val="nil"/>
          <w:bottom w:val="nil"/>
          <w:right w:val="nil"/>
          <w:between w:val="nil"/>
        </w:pBdr>
        <w:spacing w:before="8"/>
        <w:rPr>
          <w:color w:val="000000"/>
          <w:sz w:val="12"/>
          <w:szCs w:val="12"/>
        </w:rPr>
        <w:sectPr w:rsidR="007960A8">
          <w:pgSz w:w="11910" w:h="16840"/>
          <w:pgMar w:top="2080" w:right="1220" w:bottom="1200" w:left="1220" w:header="838" w:footer="1000" w:gutter="0"/>
          <w:cols w:space="720"/>
        </w:sectPr>
      </w:pPr>
    </w:p>
    <w:p w14:paraId="371D33C5" w14:textId="77777777" w:rsidR="007960A8" w:rsidRDefault="00A26397">
      <w:pPr>
        <w:pStyle w:val="Heading1"/>
        <w:spacing w:before="94"/>
        <w:ind w:left="328" w:right="24"/>
      </w:pPr>
      <w:r>
        <w:t>"Dispute Resolution Procedure"</w:t>
      </w:r>
    </w:p>
    <w:p w14:paraId="7657D3F8" w14:textId="77777777" w:rsidR="007960A8" w:rsidRDefault="00A26397">
      <w:pPr>
        <w:pBdr>
          <w:top w:val="nil"/>
          <w:left w:val="nil"/>
          <w:bottom w:val="nil"/>
          <w:right w:val="nil"/>
          <w:between w:val="nil"/>
        </w:pBdr>
        <w:spacing w:before="96"/>
        <w:ind w:left="328" w:right="485"/>
        <w:rPr>
          <w:color w:val="000000"/>
        </w:rPr>
        <w:sectPr w:rsidR="007960A8">
          <w:type w:val="continuous"/>
          <w:pgSz w:w="11910" w:h="16840"/>
          <w:pgMar w:top="1580" w:right="1220" w:bottom="280" w:left="1220" w:header="720" w:footer="720" w:gutter="0"/>
          <w:cols w:num="2" w:space="720" w:equalWidth="0">
            <w:col w:w="4645" w:space="179"/>
            <w:col w:w="4645" w:space="0"/>
          </w:cols>
        </w:sectPr>
      </w:pPr>
      <w:r>
        <w:br w:type="column"/>
      </w:r>
      <w:r>
        <w:rPr>
          <w:color w:val="000000"/>
        </w:rPr>
        <w:t xml:space="preserve">the dispute resolution procedure </w:t>
      </w:r>
      <w:r>
        <w:rPr>
          <w:color w:val="000000"/>
        </w:rPr>
        <w:t>set out in this contract (if any) or as agreed between the parties;</w:t>
      </w:r>
    </w:p>
    <w:p w14:paraId="226BD545" w14:textId="77777777" w:rsidR="007960A8" w:rsidRDefault="007960A8">
      <w:pPr>
        <w:pBdr>
          <w:top w:val="nil"/>
          <w:left w:val="nil"/>
          <w:bottom w:val="nil"/>
          <w:right w:val="nil"/>
          <w:between w:val="nil"/>
        </w:pBdr>
        <w:spacing w:before="4"/>
        <w:rPr>
          <w:color w:val="000000"/>
          <w:sz w:val="12"/>
          <w:szCs w:val="12"/>
        </w:rPr>
      </w:pPr>
    </w:p>
    <w:p w14:paraId="1DE17B6E" w14:textId="77777777" w:rsidR="007960A8" w:rsidRDefault="00A26397">
      <w:pPr>
        <w:pBdr>
          <w:top w:val="nil"/>
          <w:left w:val="nil"/>
          <w:bottom w:val="nil"/>
          <w:right w:val="nil"/>
          <w:between w:val="nil"/>
        </w:pBdr>
        <w:tabs>
          <w:tab w:val="left" w:pos="2988"/>
        </w:tabs>
        <w:spacing w:before="96"/>
        <w:ind w:left="328"/>
        <w:jc w:val="both"/>
        <w:rPr>
          <w:color w:val="000000"/>
        </w:rPr>
      </w:pPr>
      <w:r>
        <w:rPr>
          <w:b/>
          <w:bCs/>
          <w:color w:val="000000"/>
        </w:rPr>
        <w:t>"Client Premises"</w:t>
      </w:r>
      <w:r>
        <w:rPr>
          <w:b/>
          <w:bCs/>
          <w:color w:val="000000"/>
        </w:rPr>
        <w:tab/>
      </w:r>
      <w:r>
        <w:rPr>
          <w:color w:val="000000"/>
        </w:rPr>
        <w:t>means premises owned, controlled or occupied by the</w:t>
      </w:r>
    </w:p>
    <w:p w14:paraId="6E48E9C0" w14:textId="77777777" w:rsidR="007960A8" w:rsidRDefault="00A26397">
      <w:pPr>
        <w:pBdr>
          <w:top w:val="nil"/>
          <w:left w:val="nil"/>
          <w:bottom w:val="nil"/>
          <w:right w:val="nil"/>
          <w:between w:val="nil"/>
        </w:pBdr>
        <w:spacing w:before="2"/>
        <w:ind w:left="2988" w:right="747"/>
        <w:jc w:val="both"/>
        <w:rPr>
          <w:color w:val="000000"/>
        </w:rPr>
      </w:pPr>
      <w:r>
        <w:rPr>
          <w:i/>
          <w:iCs/>
          <w:color w:val="000000"/>
        </w:rPr>
        <w:t xml:space="preserve">Client </w:t>
      </w:r>
      <w:r>
        <w:rPr>
          <w:color w:val="000000"/>
        </w:rPr>
        <w:t xml:space="preserve">or its Affiliates which are made available for use by the </w:t>
      </w:r>
      <w:r>
        <w:rPr>
          <w:i/>
          <w:iCs/>
          <w:color w:val="000000"/>
        </w:rPr>
        <w:t xml:space="preserve">Service Provider </w:t>
      </w:r>
      <w:r>
        <w:rPr>
          <w:color w:val="000000"/>
        </w:rPr>
        <w:t xml:space="preserve">or its Subcontractors for carrying out of the </w:t>
      </w:r>
      <w:r>
        <w:rPr>
          <w:i/>
          <w:iCs/>
          <w:color w:val="000000"/>
        </w:rPr>
        <w:t xml:space="preserve">service </w:t>
      </w:r>
      <w:r>
        <w:rPr>
          <w:color w:val="000000"/>
        </w:rPr>
        <w:t>(or any of them) on the terms set out in this contract or any separate agreement or licence;</w:t>
      </w:r>
    </w:p>
    <w:p w14:paraId="7E3C4CD4" w14:textId="77777777" w:rsidR="007960A8" w:rsidRDefault="007960A8">
      <w:pPr>
        <w:pBdr>
          <w:top w:val="nil"/>
          <w:left w:val="nil"/>
          <w:bottom w:val="nil"/>
          <w:right w:val="nil"/>
          <w:between w:val="nil"/>
        </w:pBdr>
        <w:spacing w:before="8"/>
        <w:rPr>
          <w:color w:val="000000"/>
          <w:sz w:val="20"/>
          <w:szCs w:val="20"/>
        </w:rPr>
      </w:pPr>
    </w:p>
    <w:p w14:paraId="6A5C5860" w14:textId="77777777" w:rsidR="007960A8" w:rsidRDefault="00A26397">
      <w:pPr>
        <w:pBdr>
          <w:top w:val="nil"/>
          <w:left w:val="nil"/>
          <w:bottom w:val="nil"/>
          <w:right w:val="nil"/>
          <w:between w:val="nil"/>
        </w:pBdr>
        <w:tabs>
          <w:tab w:val="left" w:pos="2988"/>
        </w:tabs>
        <w:ind w:left="328"/>
        <w:jc w:val="both"/>
        <w:rPr>
          <w:color w:val="000000"/>
        </w:rPr>
      </w:pPr>
      <w:r>
        <w:rPr>
          <w:b/>
          <w:bCs/>
          <w:color w:val="000000"/>
        </w:rPr>
        <w:t>"Client System"</w:t>
      </w:r>
      <w:r>
        <w:rPr>
          <w:b/>
          <w:bCs/>
          <w:color w:val="000000"/>
        </w:rPr>
        <w:tab/>
      </w:r>
      <w:r>
        <w:rPr>
          <w:color w:val="000000"/>
        </w:rPr>
        <w:t xml:space="preserve">the </w:t>
      </w:r>
      <w:r>
        <w:rPr>
          <w:i/>
          <w:iCs/>
          <w:color w:val="000000"/>
        </w:rPr>
        <w:t>Client</w:t>
      </w:r>
      <w:r>
        <w:rPr>
          <w:color w:val="000000"/>
        </w:rPr>
        <w:t>'s computing environment (consisting of</w:t>
      </w:r>
    </w:p>
    <w:p w14:paraId="73B74259" w14:textId="77777777" w:rsidR="007960A8" w:rsidRDefault="00A26397">
      <w:pPr>
        <w:pBdr>
          <w:top w:val="nil"/>
          <w:left w:val="nil"/>
          <w:bottom w:val="nil"/>
          <w:right w:val="nil"/>
          <w:between w:val="nil"/>
        </w:pBdr>
        <w:spacing w:before="2"/>
        <w:ind w:left="2988" w:right="745"/>
        <w:jc w:val="both"/>
        <w:rPr>
          <w:color w:val="000000"/>
        </w:rPr>
      </w:pPr>
      <w:r>
        <w:rPr>
          <w:color w:val="000000"/>
        </w:rPr>
        <w:t xml:space="preserve">hardware, software and/or telecommunications networks or equipment) used by the </w:t>
      </w:r>
      <w:r>
        <w:rPr>
          <w:i/>
          <w:iCs/>
          <w:color w:val="000000"/>
        </w:rPr>
        <w:t xml:space="preserve">Client </w:t>
      </w:r>
      <w:r>
        <w:rPr>
          <w:color w:val="000000"/>
        </w:rPr>
        <w:t xml:space="preserve">or the </w:t>
      </w:r>
      <w:r>
        <w:rPr>
          <w:i/>
          <w:iCs/>
          <w:color w:val="000000"/>
        </w:rPr>
        <w:t xml:space="preserve">Service Provider </w:t>
      </w:r>
      <w:r>
        <w:rPr>
          <w:color w:val="000000"/>
        </w:rPr>
        <w:t xml:space="preserve">in connection with this contract which is owned by or licensed to the </w:t>
      </w:r>
      <w:r>
        <w:rPr>
          <w:i/>
          <w:iCs/>
          <w:color w:val="000000"/>
        </w:rPr>
        <w:t xml:space="preserve">Client </w:t>
      </w:r>
      <w:r>
        <w:rPr>
          <w:color w:val="000000"/>
        </w:rPr>
        <w:t>by a third party and which i</w:t>
      </w:r>
      <w:r>
        <w:rPr>
          <w:color w:val="000000"/>
        </w:rPr>
        <w:t xml:space="preserve">nterfaces with the </w:t>
      </w:r>
      <w:r>
        <w:rPr>
          <w:i/>
          <w:iCs/>
          <w:color w:val="000000"/>
        </w:rPr>
        <w:t xml:space="preserve">Service Provider </w:t>
      </w:r>
      <w:r>
        <w:rPr>
          <w:color w:val="000000"/>
        </w:rPr>
        <w:t xml:space="preserve">System or which is necessary for the </w:t>
      </w:r>
      <w:r>
        <w:rPr>
          <w:i/>
          <w:iCs/>
          <w:color w:val="000000"/>
        </w:rPr>
        <w:t xml:space="preserve">Client </w:t>
      </w:r>
      <w:r>
        <w:rPr>
          <w:color w:val="000000"/>
        </w:rPr>
        <w:t xml:space="preserve">to receive the </w:t>
      </w:r>
      <w:r>
        <w:rPr>
          <w:i/>
          <w:iCs/>
          <w:color w:val="000000"/>
        </w:rPr>
        <w:t>service</w:t>
      </w:r>
      <w:r>
        <w:rPr>
          <w:color w:val="000000"/>
        </w:rPr>
        <w:t>;</w:t>
      </w:r>
    </w:p>
    <w:p w14:paraId="58794A9D" w14:textId="77777777" w:rsidR="007960A8" w:rsidRDefault="007960A8">
      <w:pPr>
        <w:pBdr>
          <w:top w:val="nil"/>
          <w:left w:val="nil"/>
          <w:bottom w:val="nil"/>
          <w:right w:val="nil"/>
          <w:between w:val="nil"/>
        </w:pBdr>
        <w:spacing w:before="5"/>
        <w:rPr>
          <w:color w:val="000000"/>
          <w:sz w:val="12"/>
          <w:szCs w:val="12"/>
        </w:rPr>
        <w:sectPr w:rsidR="007960A8">
          <w:type w:val="continuous"/>
          <w:pgSz w:w="11910" w:h="16840"/>
          <w:pgMar w:top="1580" w:right="1220" w:bottom="280" w:left="1220" w:header="720" w:footer="720" w:gutter="0"/>
          <w:cols w:space="720"/>
        </w:sectPr>
      </w:pPr>
    </w:p>
    <w:p w14:paraId="403053A9" w14:textId="77777777" w:rsidR="007960A8" w:rsidRDefault="00A26397">
      <w:pPr>
        <w:pStyle w:val="Heading1"/>
        <w:spacing w:before="93"/>
        <w:ind w:left="328" w:right="21"/>
      </w:pPr>
      <w:r>
        <w:t>"Environmental Information Regulations"</w:t>
      </w:r>
    </w:p>
    <w:p w14:paraId="19064015" w14:textId="77777777" w:rsidR="007960A8" w:rsidRDefault="00A26397">
      <w:pPr>
        <w:pBdr>
          <w:top w:val="nil"/>
          <w:left w:val="nil"/>
          <w:bottom w:val="nil"/>
          <w:right w:val="nil"/>
          <w:between w:val="nil"/>
        </w:pBdr>
        <w:spacing w:before="96"/>
        <w:ind w:left="328" w:right="750"/>
        <w:jc w:val="both"/>
        <w:rPr>
          <w:color w:val="000000"/>
        </w:rPr>
        <w:sectPr w:rsidR="007960A8">
          <w:type w:val="continuous"/>
          <w:pgSz w:w="11910" w:h="16840"/>
          <w:pgMar w:top="1580" w:right="1220" w:bottom="280" w:left="1220" w:header="720" w:footer="720" w:gutter="0"/>
          <w:cols w:num="2" w:space="720" w:equalWidth="0">
            <w:col w:w="4406" w:space="658"/>
            <w:col w:w="4406" w:space="0"/>
          </w:cols>
        </w:sectPr>
      </w:pPr>
      <w:r>
        <w:br w:type="column"/>
      </w:r>
      <w:r>
        <w:rPr>
          <w:color w:val="000000"/>
        </w:rPr>
        <w:t>the Environmental Information Regulations 2004 together with any guidance and/or codes of practice issues by the Information Commissioner or relevant Government Department in relation to such regulations;</w:t>
      </w:r>
    </w:p>
    <w:p w14:paraId="1FD51642" w14:textId="77777777" w:rsidR="007960A8" w:rsidRDefault="007960A8">
      <w:pPr>
        <w:pBdr>
          <w:top w:val="nil"/>
          <w:left w:val="nil"/>
          <w:bottom w:val="nil"/>
          <w:right w:val="nil"/>
          <w:between w:val="nil"/>
        </w:pBdr>
        <w:spacing w:before="7"/>
        <w:rPr>
          <w:color w:val="000000"/>
          <w:sz w:val="12"/>
          <w:szCs w:val="12"/>
        </w:rPr>
      </w:pPr>
    </w:p>
    <w:p w14:paraId="4CC3B765" w14:textId="77777777" w:rsidR="007960A8" w:rsidRDefault="00A26397">
      <w:pPr>
        <w:pBdr>
          <w:top w:val="nil"/>
          <w:left w:val="nil"/>
          <w:bottom w:val="nil"/>
          <w:right w:val="nil"/>
          <w:between w:val="nil"/>
        </w:pBdr>
        <w:tabs>
          <w:tab w:val="left" w:pos="2988"/>
        </w:tabs>
        <w:spacing w:before="96"/>
        <w:ind w:left="2988" w:right="750" w:hanging="2660"/>
        <w:jc w:val="both"/>
        <w:rPr>
          <w:color w:val="000000"/>
        </w:rPr>
      </w:pPr>
      <w:r>
        <w:rPr>
          <w:b/>
          <w:bCs/>
          <w:color w:val="000000"/>
        </w:rPr>
        <w:t>"FOIA"</w:t>
      </w:r>
      <w:r>
        <w:rPr>
          <w:b/>
          <w:bCs/>
          <w:color w:val="000000"/>
        </w:rPr>
        <w:tab/>
      </w:r>
      <w:r>
        <w:rPr>
          <w:color w:val="000000"/>
        </w:rPr>
        <w:t>the Freedom of Information Act 2000 and any</w:t>
      </w:r>
      <w:r>
        <w:rPr>
          <w:color w:val="000000"/>
        </w:rPr>
        <w:t xml:space="preserve"> subordinate legislation made under this Act from time to time together with any guidance and/or codes of practice issued by the Information Commissioner or relevant Government Department in relation to such legislation;</w:t>
      </w:r>
    </w:p>
    <w:p w14:paraId="0B5F7A3B" w14:textId="77777777" w:rsidR="007960A8" w:rsidRDefault="007960A8">
      <w:pPr>
        <w:pBdr>
          <w:top w:val="nil"/>
          <w:left w:val="nil"/>
          <w:bottom w:val="nil"/>
          <w:right w:val="nil"/>
          <w:between w:val="nil"/>
        </w:pBdr>
        <w:spacing w:before="6"/>
        <w:rPr>
          <w:color w:val="000000"/>
          <w:sz w:val="12"/>
          <w:szCs w:val="12"/>
        </w:rPr>
        <w:sectPr w:rsidR="007960A8">
          <w:type w:val="continuous"/>
          <w:pgSz w:w="11910" w:h="16840"/>
          <w:pgMar w:top="1580" w:right="1220" w:bottom="280" w:left="1220" w:header="720" w:footer="720" w:gutter="0"/>
          <w:cols w:space="720"/>
        </w:sectPr>
      </w:pPr>
    </w:p>
    <w:p w14:paraId="68E0E96C" w14:textId="77777777" w:rsidR="007960A8" w:rsidRDefault="00A26397">
      <w:pPr>
        <w:pStyle w:val="Heading1"/>
        <w:spacing w:before="93"/>
        <w:ind w:left="328" w:right="22"/>
      </w:pPr>
      <w:r>
        <w:t>"Good Industry Practice"</w:t>
      </w:r>
    </w:p>
    <w:p w14:paraId="1767B2B9" w14:textId="77777777" w:rsidR="007960A8" w:rsidRDefault="00A26397">
      <w:pPr>
        <w:pBdr>
          <w:top w:val="nil"/>
          <w:left w:val="nil"/>
          <w:bottom w:val="nil"/>
          <w:right w:val="nil"/>
          <w:between w:val="nil"/>
        </w:pBdr>
        <w:spacing w:before="96"/>
        <w:ind w:left="328" w:right="749"/>
        <w:jc w:val="both"/>
        <w:rPr>
          <w:color w:val="000000"/>
        </w:rPr>
        <w:sectPr w:rsidR="007960A8">
          <w:type w:val="continuous"/>
          <w:pgSz w:w="11910" w:h="16840"/>
          <w:pgMar w:top="1580" w:right="1220" w:bottom="280" w:left="1220" w:header="720" w:footer="720" w:gutter="0"/>
          <w:cols w:num="2" w:space="720" w:equalWidth="0">
            <w:col w:w="4394" w:space="682"/>
            <w:col w:w="4394" w:space="0"/>
          </w:cols>
        </w:sectPr>
      </w:pPr>
      <w:r>
        <w:br w:type="column"/>
      </w:r>
      <w:r>
        <w:rPr>
          <w:color w:val="000000"/>
        </w:rPr>
        <w:t>the exercise of that degree of skill, care, prudence, efficiency, foresight and timeliness as would be expected from a leading company within the relevant industry or business sector;</w:t>
      </w:r>
    </w:p>
    <w:p w14:paraId="0040188F" w14:textId="77777777" w:rsidR="007960A8" w:rsidRDefault="007960A8">
      <w:pPr>
        <w:pBdr>
          <w:top w:val="nil"/>
          <w:left w:val="nil"/>
          <w:bottom w:val="nil"/>
          <w:right w:val="nil"/>
          <w:between w:val="nil"/>
        </w:pBdr>
        <w:spacing w:before="7"/>
        <w:rPr>
          <w:color w:val="000000"/>
          <w:sz w:val="12"/>
          <w:szCs w:val="12"/>
        </w:rPr>
      </w:pPr>
    </w:p>
    <w:p w14:paraId="35FAE604" w14:textId="77777777" w:rsidR="007960A8" w:rsidRDefault="00A26397">
      <w:pPr>
        <w:pBdr>
          <w:top w:val="nil"/>
          <w:left w:val="nil"/>
          <w:bottom w:val="nil"/>
          <w:right w:val="nil"/>
          <w:between w:val="nil"/>
        </w:pBdr>
        <w:tabs>
          <w:tab w:val="left" w:pos="2988"/>
        </w:tabs>
        <w:spacing w:before="96" w:line="465" w:lineRule="auto"/>
        <w:ind w:left="328" w:right="256"/>
        <w:rPr>
          <w:color w:val="000000"/>
        </w:rPr>
      </w:pPr>
      <w:r>
        <w:rPr>
          <w:b/>
          <w:bCs/>
          <w:color w:val="000000"/>
        </w:rPr>
        <w:t>"ICT"</w:t>
      </w:r>
      <w:r>
        <w:rPr>
          <w:b/>
          <w:bCs/>
          <w:color w:val="000000"/>
        </w:rPr>
        <w:tab/>
      </w:r>
      <w:r>
        <w:rPr>
          <w:color w:val="000000"/>
        </w:rPr>
        <w:t>information</w:t>
      </w:r>
      <w:r>
        <w:rPr>
          <w:color w:val="000000"/>
        </w:rPr>
        <w:t xml:space="preserve"> and communications technology; </w:t>
      </w:r>
    </w:p>
    <w:p w14:paraId="7556E68B" w14:textId="77777777" w:rsidR="007960A8" w:rsidRDefault="00A26397">
      <w:pPr>
        <w:pBdr>
          <w:top w:val="nil"/>
          <w:left w:val="nil"/>
          <w:bottom w:val="nil"/>
          <w:right w:val="nil"/>
          <w:between w:val="nil"/>
        </w:pBdr>
        <w:tabs>
          <w:tab w:val="left" w:pos="2988"/>
        </w:tabs>
        <w:spacing w:before="96" w:line="465" w:lineRule="auto"/>
        <w:ind w:left="328" w:right="256"/>
        <w:rPr>
          <w:color w:val="000000"/>
        </w:rPr>
      </w:pPr>
      <w:r>
        <w:rPr>
          <w:b/>
          <w:bCs/>
          <w:color w:val="000000"/>
        </w:rPr>
        <w:t>"ICT Environment"</w:t>
      </w:r>
      <w:r>
        <w:rPr>
          <w:b/>
          <w:bCs/>
          <w:color w:val="000000"/>
        </w:rPr>
        <w:tab/>
      </w:r>
      <w:r>
        <w:rPr>
          <w:color w:val="000000"/>
        </w:rPr>
        <w:t>the Client System and the Service Provider</w:t>
      </w:r>
      <w:r>
        <w:rPr>
          <w:i/>
          <w:iCs/>
          <w:color w:val="000000"/>
        </w:rPr>
        <w:t xml:space="preserve"> S</w:t>
      </w:r>
      <w:r>
        <w:rPr>
          <w:color w:val="000000"/>
        </w:rPr>
        <w:t xml:space="preserve">ystem; </w:t>
      </w:r>
    </w:p>
    <w:p w14:paraId="21D7487A" w14:textId="77777777" w:rsidR="007960A8" w:rsidRDefault="00A26397">
      <w:pPr>
        <w:pBdr>
          <w:top w:val="nil"/>
          <w:left w:val="nil"/>
          <w:bottom w:val="nil"/>
          <w:right w:val="nil"/>
          <w:between w:val="nil"/>
        </w:pBdr>
        <w:tabs>
          <w:tab w:val="left" w:pos="2988"/>
        </w:tabs>
        <w:spacing w:before="96" w:line="465" w:lineRule="auto"/>
        <w:ind w:left="328" w:right="256"/>
        <w:rPr>
          <w:color w:val="000000"/>
          <w:sz w:val="20"/>
          <w:szCs w:val="20"/>
        </w:rPr>
      </w:pPr>
      <w:r>
        <w:rPr>
          <w:b/>
          <w:bCs/>
          <w:color w:val="000000"/>
        </w:rPr>
        <w:t>"Impact Assessment"</w:t>
      </w:r>
      <w:r>
        <w:rPr>
          <w:b/>
          <w:bCs/>
          <w:color w:val="000000"/>
        </w:rPr>
        <w:tab/>
      </w:r>
      <w:r>
        <w:rPr>
          <w:color w:val="000000"/>
        </w:rPr>
        <w:t>an assessment of a Compensation Event;</w:t>
      </w:r>
    </w:p>
    <w:p w14:paraId="5B042C09" w14:textId="77777777" w:rsidR="007960A8" w:rsidRDefault="007960A8">
      <w:pPr>
        <w:pBdr>
          <w:top w:val="nil"/>
          <w:left w:val="nil"/>
          <w:bottom w:val="nil"/>
          <w:right w:val="nil"/>
          <w:between w:val="nil"/>
        </w:pBdr>
        <w:spacing w:before="6"/>
        <w:rPr>
          <w:color w:val="000000"/>
          <w:sz w:val="20"/>
          <w:szCs w:val="20"/>
        </w:rPr>
      </w:pPr>
    </w:p>
    <w:p w14:paraId="4A1A4C8E" w14:textId="77777777" w:rsidR="007960A8" w:rsidRDefault="00A26397">
      <w:pPr>
        <w:pBdr>
          <w:top w:val="nil"/>
          <w:left w:val="nil"/>
          <w:bottom w:val="nil"/>
          <w:right w:val="nil"/>
          <w:between w:val="nil"/>
        </w:pBdr>
        <w:tabs>
          <w:tab w:val="left" w:pos="2988"/>
        </w:tabs>
        <w:spacing w:line="252" w:lineRule="auto"/>
        <w:ind w:left="328"/>
        <w:rPr>
          <w:color w:val="000000"/>
        </w:rPr>
      </w:pPr>
      <w:r>
        <w:rPr>
          <w:b/>
          <w:bCs/>
          <w:color w:val="000000"/>
        </w:rPr>
        <w:t>"Information"</w:t>
      </w:r>
      <w:r>
        <w:rPr>
          <w:b/>
          <w:bCs/>
          <w:color w:val="000000"/>
        </w:rPr>
        <w:tab/>
      </w:r>
      <w:r>
        <w:rPr>
          <w:color w:val="000000"/>
        </w:rPr>
        <w:t>has the meaning given under section 84 of the Freedom of</w:t>
      </w:r>
    </w:p>
    <w:p w14:paraId="6DF7C404" w14:textId="77777777" w:rsidR="007960A8" w:rsidRDefault="00A26397">
      <w:pPr>
        <w:pBdr>
          <w:top w:val="nil"/>
          <w:left w:val="nil"/>
          <w:bottom w:val="nil"/>
          <w:right w:val="nil"/>
          <w:between w:val="nil"/>
        </w:pBdr>
        <w:spacing w:line="252" w:lineRule="auto"/>
        <w:ind w:left="2988"/>
        <w:rPr>
          <w:color w:val="000000"/>
        </w:rPr>
      </w:pPr>
      <w:r>
        <w:rPr>
          <w:color w:val="000000"/>
        </w:rPr>
        <w:t>Information Act 2000;</w:t>
      </w:r>
    </w:p>
    <w:p w14:paraId="5527C4E3" w14:textId="77777777" w:rsidR="007960A8" w:rsidRDefault="007960A8">
      <w:pPr>
        <w:pBdr>
          <w:top w:val="nil"/>
          <w:left w:val="nil"/>
          <w:bottom w:val="nil"/>
          <w:right w:val="nil"/>
          <w:between w:val="nil"/>
        </w:pBdr>
        <w:spacing w:before="7"/>
        <w:rPr>
          <w:color w:val="000000"/>
          <w:sz w:val="12"/>
          <w:szCs w:val="12"/>
        </w:rPr>
      </w:pPr>
    </w:p>
    <w:p w14:paraId="71B926FB" w14:textId="77777777" w:rsidR="007960A8" w:rsidRDefault="00A26397">
      <w:pPr>
        <w:pStyle w:val="Heading1"/>
        <w:spacing w:before="94"/>
        <w:ind w:left="2988" w:right="18" w:hanging="2660"/>
      </w:pPr>
      <w:r>
        <w:t>"Information Assets Register"</w:t>
      </w:r>
      <w:r>
        <w:tab/>
      </w:r>
    </w:p>
    <w:p w14:paraId="67196850" w14:textId="77777777" w:rsidR="007960A8" w:rsidRDefault="00A26397">
      <w:pPr>
        <w:pStyle w:val="Heading1"/>
        <w:spacing w:before="94"/>
        <w:ind w:left="2988" w:right="340"/>
        <w:rPr>
          <w:b w:val="0"/>
          <w:bCs w:val="0"/>
        </w:rPr>
      </w:pPr>
      <w:r>
        <w:rPr>
          <w:b w:val="0"/>
          <w:bCs w:val="0"/>
        </w:rPr>
        <w:t xml:space="preserve">the register of information assets to be created and maintained by the </w:t>
      </w:r>
      <w:r>
        <w:rPr>
          <w:b w:val="0"/>
          <w:bCs w:val="0"/>
          <w:i/>
          <w:iCs/>
        </w:rPr>
        <w:t xml:space="preserve">Service Provider </w:t>
      </w:r>
      <w:r>
        <w:rPr>
          <w:b w:val="0"/>
          <w:bCs w:val="0"/>
        </w:rPr>
        <w:t xml:space="preserve">throughout the carrying out of the </w:t>
      </w:r>
      <w:r>
        <w:rPr>
          <w:b w:val="0"/>
          <w:bCs w:val="0"/>
          <w:i/>
          <w:iCs/>
        </w:rPr>
        <w:t xml:space="preserve">service </w:t>
      </w:r>
      <w:r>
        <w:rPr>
          <w:b w:val="0"/>
          <w:bCs w:val="0"/>
        </w:rPr>
        <w:t>as described in the contract (if any) or as otherwise agreed between the parties;</w:t>
      </w:r>
    </w:p>
    <w:p w14:paraId="54C3AC17" w14:textId="77777777" w:rsidR="007960A8" w:rsidRDefault="007960A8">
      <w:pPr>
        <w:pBdr>
          <w:top w:val="nil"/>
          <w:left w:val="nil"/>
          <w:bottom w:val="nil"/>
          <w:right w:val="nil"/>
          <w:between w:val="nil"/>
        </w:pBdr>
        <w:spacing w:before="7"/>
        <w:rPr>
          <w:color w:val="000000"/>
          <w:sz w:val="12"/>
          <w:szCs w:val="12"/>
        </w:rPr>
      </w:pPr>
    </w:p>
    <w:p w14:paraId="71ADBED3" w14:textId="77777777" w:rsidR="007960A8" w:rsidRDefault="00A26397">
      <w:pPr>
        <w:pBdr>
          <w:top w:val="nil"/>
          <w:left w:val="nil"/>
          <w:bottom w:val="nil"/>
          <w:right w:val="nil"/>
          <w:between w:val="nil"/>
        </w:pBdr>
        <w:tabs>
          <w:tab w:val="left" w:pos="2988"/>
        </w:tabs>
        <w:spacing w:before="96"/>
        <w:ind w:left="2988" w:right="747" w:hanging="2660"/>
        <w:jc w:val="both"/>
        <w:rPr>
          <w:color w:val="000000"/>
        </w:rPr>
      </w:pPr>
      <w:r>
        <w:rPr>
          <w:b/>
          <w:bCs/>
          <w:color w:val="000000"/>
        </w:rPr>
        <w:t>"ISMS"</w:t>
      </w:r>
      <w:r>
        <w:rPr>
          <w:b/>
          <w:bCs/>
          <w:color w:val="000000"/>
        </w:rPr>
        <w:tab/>
      </w:r>
      <w:r>
        <w:rPr>
          <w:color w:val="000000"/>
        </w:rPr>
        <w:t>the Information Security Management System as defined by ISO/IEC 27001. The scope of the ISMS will be as agreed by the part</w:t>
      </w:r>
      <w:r>
        <w:rPr>
          <w:color w:val="000000"/>
        </w:rPr>
        <w:t xml:space="preserve">ies and will directly reflect the scope of the </w:t>
      </w:r>
      <w:r>
        <w:rPr>
          <w:i/>
          <w:iCs/>
          <w:color w:val="000000"/>
        </w:rPr>
        <w:t>service</w:t>
      </w:r>
      <w:r>
        <w:rPr>
          <w:color w:val="000000"/>
        </w:rPr>
        <w:t>;</w:t>
      </w:r>
    </w:p>
    <w:p w14:paraId="317EA801" w14:textId="77777777" w:rsidR="007960A8" w:rsidRDefault="007960A8">
      <w:pPr>
        <w:pBdr>
          <w:top w:val="nil"/>
          <w:left w:val="nil"/>
          <w:bottom w:val="nil"/>
          <w:right w:val="nil"/>
          <w:between w:val="nil"/>
        </w:pBdr>
        <w:spacing w:before="10"/>
        <w:rPr>
          <w:color w:val="000000"/>
          <w:sz w:val="20"/>
          <w:szCs w:val="20"/>
        </w:rPr>
      </w:pPr>
    </w:p>
    <w:p w14:paraId="62FFF1DF" w14:textId="77777777" w:rsidR="007960A8" w:rsidRDefault="00A26397">
      <w:pPr>
        <w:pBdr>
          <w:top w:val="nil"/>
          <w:left w:val="nil"/>
          <w:bottom w:val="nil"/>
          <w:right w:val="nil"/>
          <w:between w:val="nil"/>
        </w:pBdr>
        <w:tabs>
          <w:tab w:val="left" w:pos="2988"/>
        </w:tabs>
        <w:spacing w:line="252" w:lineRule="auto"/>
        <w:ind w:left="328"/>
        <w:jc w:val="both"/>
        <w:rPr>
          <w:color w:val="000000"/>
        </w:rPr>
      </w:pPr>
      <w:r>
        <w:rPr>
          <w:b/>
          <w:bCs/>
          <w:color w:val="000000"/>
        </w:rPr>
        <w:t>"Know-How"</w:t>
      </w:r>
      <w:r>
        <w:rPr>
          <w:b/>
          <w:bCs/>
          <w:color w:val="000000"/>
        </w:rPr>
        <w:tab/>
      </w:r>
      <w:r>
        <w:rPr>
          <w:color w:val="000000"/>
        </w:rPr>
        <w:t>all   ideas, concepts, schemes, information, knowledge,</w:t>
      </w:r>
    </w:p>
    <w:p w14:paraId="0FEEEB1B" w14:textId="77777777" w:rsidR="007960A8" w:rsidRDefault="00A26397">
      <w:pPr>
        <w:pBdr>
          <w:top w:val="nil"/>
          <w:left w:val="nil"/>
          <w:bottom w:val="nil"/>
          <w:right w:val="nil"/>
          <w:between w:val="nil"/>
        </w:pBdr>
        <w:ind w:left="2988" w:right="748"/>
        <w:jc w:val="both"/>
        <w:rPr>
          <w:color w:val="000000"/>
        </w:rPr>
      </w:pPr>
      <w:r>
        <w:rPr>
          <w:color w:val="000000"/>
        </w:rPr>
        <w:t xml:space="preserve">techniques, methodology, and anything else in the nature of know how relating to the </w:t>
      </w:r>
      <w:r>
        <w:rPr>
          <w:i/>
          <w:iCs/>
          <w:color w:val="000000"/>
        </w:rPr>
        <w:t xml:space="preserve">service </w:t>
      </w:r>
      <w:r>
        <w:rPr>
          <w:color w:val="000000"/>
        </w:rPr>
        <w:t xml:space="preserve">but excluding know how already in the </w:t>
      </w:r>
      <w:r>
        <w:rPr>
          <w:i/>
          <w:iCs/>
          <w:color w:val="000000"/>
        </w:rPr>
        <w:t>Service Provider</w:t>
      </w:r>
      <w:r>
        <w:rPr>
          <w:color w:val="000000"/>
        </w:rPr>
        <w:t xml:space="preserve">’s or the </w:t>
      </w:r>
      <w:r>
        <w:rPr>
          <w:i/>
          <w:iCs/>
          <w:color w:val="000000"/>
        </w:rPr>
        <w:t>Client</w:t>
      </w:r>
      <w:r>
        <w:rPr>
          <w:color w:val="000000"/>
        </w:rPr>
        <w:t>’s possession before this contract;</w:t>
      </w:r>
    </w:p>
    <w:p w14:paraId="5BBE1E48" w14:textId="77777777" w:rsidR="007960A8" w:rsidRDefault="007960A8">
      <w:pPr>
        <w:pBdr>
          <w:top w:val="nil"/>
          <w:left w:val="nil"/>
          <w:bottom w:val="nil"/>
          <w:right w:val="nil"/>
          <w:between w:val="nil"/>
        </w:pBdr>
        <w:spacing w:before="10"/>
        <w:rPr>
          <w:color w:val="000000"/>
          <w:sz w:val="20"/>
          <w:szCs w:val="20"/>
        </w:rPr>
      </w:pPr>
    </w:p>
    <w:p w14:paraId="279CA831" w14:textId="77777777" w:rsidR="007960A8" w:rsidRDefault="00A26397">
      <w:pPr>
        <w:pBdr>
          <w:top w:val="nil"/>
          <w:left w:val="nil"/>
          <w:bottom w:val="nil"/>
          <w:right w:val="nil"/>
          <w:between w:val="nil"/>
        </w:pBdr>
        <w:tabs>
          <w:tab w:val="left" w:pos="2988"/>
        </w:tabs>
        <w:spacing w:before="1"/>
        <w:ind w:left="2988" w:right="746" w:hanging="2660"/>
        <w:jc w:val="both"/>
        <w:rPr>
          <w:color w:val="000000"/>
        </w:rPr>
      </w:pPr>
      <w:r>
        <w:rPr>
          <w:b/>
          <w:bCs/>
          <w:color w:val="000000"/>
        </w:rPr>
        <w:t>"List x"</w:t>
      </w:r>
      <w:r>
        <w:rPr>
          <w:b/>
          <w:bCs/>
          <w:color w:val="000000"/>
        </w:rPr>
        <w:tab/>
      </w:r>
      <w:r>
        <w:rPr>
          <w:color w:val="000000"/>
        </w:rPr>
        <w:t>means, in relation to a Subcontractor, one who has been placed on List x in accordance with Ministry of Defence guidelines and procedures, due to that Subcontractor undertaking work on its premises marked as CONFIDENTIAL or above;</w:t>
      </w:r>
    </w:p>
    <w:p w14:paraId="3FED3931" w14:textId="77777777" w:rsidR="007960A8" w:rsidRDefault="007960A8">
      <w:pPr>
        <w:pBdr>
          <w:top w:val="nil"/>
          <w:left w:val="nil"/>
          <w:bottom w:val="nil"/>
          <w:right w:val="nil"/>
          <w:between w:val="nil"/>
        </w:pBdr>
        <w:spacing w:before="9"/>
        <w:rPr>
          <w:color w:val="000000"/>
          <w:sz w:val="20"/>
          <w:szCs w:val="20"/>
        </w:rPr>
      </w:pPr>
    </w:p>
    <w:p w14:paraId="0AB7DB08" w14:textId="77777777" w:rsidR="007960A8" w:rsidRDefault="00A26397">
      <w:pPr>
        <w:pBdr>
          <w:top w:val="nil"/>
          <w:left w:val="nil"/>
          <w:bottom w:val="nil"/>
          <w:right w:val="nil"/>
          <w:between w:val="nil"/>
        </w:pBdr>
        <w:spacing w:before="1" w:line="252" w:lineRule="auto"/>
        <w:ind w:left="2977" w:hanging="2649"/>
        <w:jc w:val="both"/>
        <w:rPr>
          <w:color w:val="000000"/>
        </w:rPr>
      </w:pPr>
      <w:r>
        <w:rPr>
          <w:b/>
          <w:bCs/>
          <w:color w:val="000000"/>
        </w:rPr>
        <w:t xml:space="preserve">"Malicious Software" </w:t>
      </w:r>
      <w:r>
        <w:rPr>
          <w:b/>
          <w:bCs/>
          <w:color w:val="000000"/>
        </w:rPr>
        <w:tab/>
      </w:r>
      <w:r>
        <w:rPr>
          <w:color w:val="000000"/>
        </w:rPr>
        <w:t>an</w:t>
      </w:r>
      <w:r>
        <w:rPr>
          <w:color w:val="000000"/>
        </w:rPr>
        <w:t>y software program or code intended to destroy, interfere</w:t>
      </w:r>
    </w:p>
    <w:p w14:paraId="4A5A674C" w14:textId="77777777" w:rsidR="007960A8" w:rsidRDefault="00A26397">
      <w:pPr>
        <w:pBdr>
          <w:top w:val="nil"/>
          <w:left w:val="nil"/>
          <w:bottom w:val="nil"/>
          <w:right w:val="nil"/>
          <w:between w:val="nil"/>
        </w:pBdr>
        <w:ind w:left="2988" w:right="749"/>
        <w:jc w:val="both"/>
        <w:rPr>
          <w:color w:val="000000"/>
        </w:rPr>
      </w:pPr>
      <w:r>
        <w:rPr>
          <w:color w:val="000000"/>
        </w:rPr>
        <w:t>with, corrupt, or cause undesired effects on program files, data or other information, executable code or application software macros, whether or not its operation is immediate or delayed, and whether the malicious software is introduced wilfully, negligen</w:t>
      </w:r>
      <w:r>
        <w:rPr>
          <w:color w:val="000000"/>
        </w:rPr>
        <w:t>tly or without knowledge of its existence;</w:t>
      </w:r>
    </w:p>
    <w:p w14:paraId="09399A97" w14:textId="77777777" w:rsidR="007960A8" w:rsidRDefault="007960A8">
      <w:pPr>
        <w:pBdr>
          <w:top w:val="nil"/>
          <w:left w:val="nil"/>
          <w:bottom w:val="nil"/>
          <w:right w:val="nil"/>
          <w:between w:val="nil"/>
        </w:pBdr>
        <w:spacing w:before="11"/>
        <w:rPr>
          <w:color w:val="000000"/>
          <w:sz w:val="20"/>
          <w:szCs w:val="20"/>
        </w:rPr>
      </w:pPr>
    </w:p>
    <w:p w14:paraId="01EC4D61" w14:textId="77777777" w:rsidR="007960A8" w:rsidRDefault="00A26397">
      <w:pPr>
        <w:pBdr>
          <w:top w:val="nil"/>
          <w:left w:val="nil"/>
          <w:bottom w:val="nil"/>
          <w:right w:val="nil"/>
          <w:between w:val="nil"/>
        </w:pBdr>
        <w:tabs>
          <w:tab w:val="left" w:pos="2988"/>
        </w:tabs>
        <w:spacing w:line="252" w:lineRule="auto"/>
        <w:ind w:left="328"/>
        <w:jc w:val="both"/>
        <w:rPr>
          <w:color w:val="000000"/>
        </w:rPr>
      </w:pPr>
      <w:r>
        <w:rPr>
          <w:b/>
          <w:bCs/>
          <w:color w:val="000000"/>
        </w:rPr>
        <w:t>"Process"</w:t>
      </w:r>
      <w:r>
        <w:rPr>
          <w:b/>
          <w:bCs/>
          <w:color w:val="000000"/>
        </w:rPr>
        <w:tab/>
      </w:r>
      <w:r>
        <w:rPr>
          <w:color w:val="000000"/>
        </w:rPr>
        <w:t>has the meaning given to it under the Data Protection</w:t>
      </w:r>
    </w:p>
    <w:p w14:paraId="61613064" w14:textId="77777777" w:rsidR="007960A8" w:rsidRDefault="00A26397">
      <w:pPr>
        <w:pBdr>
          <w:top w:val="nil"/>
          <w:left w:val="nil"/>
          <w:bottom w:val="nil"/>
          <w:right w:val="nil"/>
          <w:between w:val="nil"/>
        </w:pBdr>
        <w:ind w:left="2988" w:right="750"/>
        <w:jc w:val="both"/>
        <w:rPr>
          <w:color w:val="000000"/>
        </w:rPr>
      </w:pPr>
      <w:r>
        <w:rPr>
          <w:color w:val="000000"/>
        </w:rPr>
        <w:t>Legislation but, for the purposes of this contract, it shall include both manual and automatic processing;</w:t>
      </w:r>
    </w:p>
    <w:p w14:paraId="688A6856" w14:textId="77777777" w:rsidR="007960A8" w:rsidRDefault="007960A8">
      <w:pPr>
        <w:pBdr>
          <w:top w:val="nil"/>
          <w:left w:val="nil"/>
          <w:bottom w:val="nil"/>
          <w:right w:val="nil"/>
          <w:between w:val="nil"/>
        </w:pBdr>
        <w:spacing w:before="10"/>
        <w:rPr>
          <w:color w:val="000000"/>
          <w:sz w:val="20"/>
          <w:szCs w:val="20"/>
        </w:rPr>
      </w:pPr>
    </w:p>
    <w:p w14:paraId="20D18D53" w14:textId="77777777" w:rsidR="007960A8" w:rsidRDefault="00A26397">
      <w:pPr>
        <w:pBdr>
          <w:top w:val="nil"/>
          <w:left w:val="nil"/>
          <w:bottom w:val="nil"/>
          <w:right w:val="nil"/>
          <w:between w:val="nil"/>
        </w:pBdr>
        <w:tabs>
          <w:tab w:val="left" w:pos="2988"/>
        </w:tabs>
        <w:spacing w:line="252" w:lineRule="auto"/>
        <w:ind w:left="328"/>
        <w:rPr>
          <w:color w:val="000000"/>
        </w:rPr>
      </w:pPr>
      <w:r>
        <w:rPr>
          <w:b/>
          <w:bCs/>
          <w:color w:val="000000"/>
        </w:rPr>
        <w:t>"Protectively Marked"</w:t>
      </w:r>
      <w:r>
        <w:rPr>
          <w:b/>
          <w:bCs/>
          <w:color w:val="000000"/>
        </w:rPr>
        <w:tab/>
      </w:r>
      <w:r>
        <w:rPr>
          <w:color w:val="000000"/>
        </w:rPr>
        <w:t>shall have the meaning as set out in the Security Policy</w:t>
      </w:r>
    </w:p>
    <w:p w14:paraId="22277A14" w14:textId="77777777" w:rsidR="007960A8" w:rsidRDefault="00A26397">
      <w:pPr>
        <w:pBdr>
          <w:top w:val="nil"/>
          <w:left w:val="nil"/>
          <w:bottom w:val="nil"/>
          <w:right w:val="nil"/>
          <w:between w:val="nil"/>
        </w:pBdr>
        <w:spacing w:line="252" w:lineRule="auto"/>
        <w:ind w:left="2988"/>
        <w:rPr>
          <w:color w:val="000000"/>
        </w:rPr>
      </w:pPr>
      <w:r>
        <w:rPr>
          <w:color w:val="000000"/>
        </w:rPr>
        <w:t>Framework.</w:t>
      </w:r>
    </w:p>
    <w:p w14:paraId="5F830B55" w14:textId="77777777" w:rsidR="007960A8" w:rsidRDefault="007960A8">
      <w:pPr>
        <w:pBdr>
          <w:top w:val="nil"/>
          <w:left w:val="nil"/>
          <w:bottom w:val="nil"/>
          <w:right w:val="nil"/>
          <w:between w:val="nil"/>
        </w:pBdr>
        <w:rPr>
          <w:color w:val="000000"/>
          <w:sz w:val="21"/>
          <w:szCs w:val="21"/>
        </w:rPr>
      </w:pPr>
    </w:p>
    <w:p w14:paraId="4156B351" w14:textId="77777777" w:rsidR="007960A8" w:rsidRDefault="007960A8">
      <w:pPr>
        <w:pBdr>
          <w:top w:val="nil"/>
          <w:left w:val="nil"/>
          <w:bottom w:val="nil"/>
          <w:right w:val="nil"/>
          <w:between w:val="nil"/>
        </w:pBdr>
        <w:rPr>
          <w:color w:val="000000"/>
          <w:sz w:val="21"/>
          <w:szCs w:val="21"/>
        </w:rPr>
      </w:pPr>
    </w:p>
    <w:p w14:paraId="3629F26F" w14:textId="77777777" w:rsidR="007960A8" w:rsidRDefault="007960A8">
      <w:pPr>
        <w:pBdr>
          <w:top w:val="nil"/>
          <w:left w:val="nil"/>
          <w:bottom w:val="nil"/>
          <w:right w:val="nil"/>
          <w:between w:val="nil"/>
        </w:pBdr>
        <w:rPr>
          <w:color w:val="000000"/>
          <w:sz w:val="21"/>
          <w:szCs w:val="21"/>
        </w:rPr>
      </w:pPr>
    </w:p>
    <w:p w14:paraId="02465529" w14:textId="77777777" w:rsidR="007960A8" w:rsidRDefault="007960A8">
      <w:pPr>
        <w:pBdr>
          <w:top w:val="nil"/>
          <w:left w:val="nil"/>
          <w:bottom w:val="nil"/>
          <w:right w:val="nil"/>
          <w:between w:val="nil"/>
        </w:pBdr>
        <w:rPr>
          <w:color w:val="000000"/>
          <w:sz w:val="21"/>
          <w:szCs w:val="21"/>
        </w:rPr>
      </w:pPr>
    </w:p>
    <w:p w14:paraId="5F3DA849" w14:textId="77777777" w:rsidR="007960A8" w:rsidRDefault="007960A8">
      <w:pPr>
        <w:pBdr>
          <w:top w:val="nil"/>
          <w:left w:val="nil"/>
          <w:bottom w:val="nil"/>
          <w:right w:val="nil"/>
          <w:between w:val="nil"/>
        </w:pBdr>
        <w:rPr>
          <w:color w:val="000000"/>
          <w:sz w:val="21"/>
          <w:szCs w:val="21"/>
        </w:rPr>
      </w:pPr>
    </w:p>
    <w:p w14:paraId="5B6DE0AC" w14:textId="77777777" w:rsidR="007960A8" w:rsidRDefault="007960A8">
      <w:pPr>
        <w:pBdr>
          <w:top w:val="nil"/>
          <w:left w:val="nil"/>
          <w:bottom w:val="nil"/>
          <w:right w:val="nil"/>
          <w:between w:val="nil"/>
        </w:pBdr>
        <w:rPr>
          <w:color w:val="000000"/>
          <w:sz w:val="21"/>
          <w:szCs w:val="21"/>
        </w:rPr>
      </w:pPr>
    </w:p>
    <w:p w14:paraId="21510366" w14:textId="77777777" w:rsidR="007960A8" w:rsidRDefault="007960A8">
      <w:pPr>
        <w:pBdr>
          <w:top w:val="nil"/>
          <w:left w:val="nil"/>
          <w:bottom w:val="nil"/>
          <w:right w:val="nil"/>
          <w:between w:val="nil"/>
        </w:pBdr>
        <w:rPr>
          <w:color w:val="000000"/>
          <w:sz w:val="21"/>
          <w:szCs w:val="21"/>
        </w:rPr>
      </w:pPr>
    </w:p>
    <w:p w14:paraId="3BFC1C86" w14:textId="77777777" w:rsidR="007960A8" w:rsidRDefault="007960A8">
      <w:pPr>
        <w:pBdr>
          <w:top w:val="nil"/>
          <w:left w:val="nil"/>
          <w:bottom w:val="nil"/>
          <w:right w:val="nil"/>
          <w:between w:val="nil"/>
        </w:pBdr>
        <w:rPr>
          <w:color w:val="000000"/>
          <w:sz w:val="21"/>
          <w:szCs w:val="21"/>
        </w:rPr>
      </w:pPr>
    </w:p>
    <w:p w14:paraId="51DF0A8F" w14:textId="77777777" w:rsidR="007960A8" w:rsidRDefault="007960A8">
      <w:pPr>
        <w:pBdr>
          <w:top w:val="nil"/>
          <w:left w:val="nil"/>
          <w:bottom w:val="nil"/>
          <w:right w:val="nil"/>
          <w:between w:val="nil"/>
        </w:pBdr>
        <w:rPr>
          <w:color w:val="000000"/>
          <w:sz w:val="21"/>
          <w:szCs w:val="21"/>
        </w:rPr>
      </w:pPr>
    </w:p>
    <w:p w14:paraId="74A4ED88" w14:textId="77777777" w:rsidR="007960A8" w:rsidRDefault="007960A8">
      <w:pPr>
        <w:pBdr>
          <w:top w:val="nil"/>
          <w:left w:val="nil"/>
          <w:bottom w:val="nil"/>
          <w:right w:val="nil"/>
          <w:between w:val="nil"/>
        </w:pBdr>
        <w:rPr>
          <w:color w:val="000000"/>
          <w:sz w:val="21"/>
          <w:szCs w:val="21"/>
        </w:rPr>
      </w:pPr>
    </w:p>
    <w:p w14:paraId="76397596" w14:textId="77777777" w:rsidR="007960A8" w:rsidRDefault="007960A8">
      <w:pPr>
        <w:pBdr>
          <w:top w:val="nil"/>
          <w:left w:val="nil"/>
          <w:bottom w:val="nil"/>
          <w:right w:val="nil"/>
          <w:between w:val="nil"/>
        </w:pBdr>
        <w:rPr>
          <w:color w:val="000000"/>
          <w:sz w:val="21"/>
          <w:szCs w:val="21"/>
        </w:rPr>
      </w:pPr>
    </w:p>
    <w:p w14:paraId="1560ED03" w14:textId="77777777" w:rsidR="007960A8" w:rsidRDefault="00A26397">
      <w:pPr>
        <w:pBdr>
          <w:top w:val="nil"/>
          <w:left w:val="nil"/>
          <w:bottom w:val="nil"/>
          <w:right w:val="nil"/>
          <w:between w:val="nil"/>
        </w:pBdr>
        <w:tabs>
          <w:tab w:val="left" w:pos="2977"/>
        </w:tabs>
        <w:spacing w:line="252" w:lineRule="auto"/>
        <w:ind w:left="328"/>
        <w:jc w:val="both"/>
        <w:rPr>
          <w:color w:val="000000"/>
        </w:rPr>
      </w:pPr>
      <w:r>
        <w:rPr>
          <w:b/>
          <w:bCs/>
          <w:color w:val="000000"/>
        </w:rPr>
        <w:t xml:space="preserve">"Regulatory Bodies" </w:t>
      </w:r>
      <w:r>
        <w:rPr>
          <w:b/>
          <w:bCs/>
          <w:color w:val="000000"/>
        </w:rPr>
        <w:tab/>
      </w:r>
      <w:r>
        <w:rPr>
          <w:color w:val="000000"/>
        </w:rPr>
        <w:t>those government departments and regulatory, statutory</w:t>
      </w:r>
    </w:p>
    <w:p w14:paraId="427146C2" w14:textId="77777777" w:rsidR="007960A8" w:rsidRDefault="00A26397">
      <w:pPr>
        <w:pBdr>
          <w:top w:val="nil"/>
          <w:left w:val="nil"/>
          <w:bottom w:val="nil"/>
          <w:right w:val="nil"/>
          <w:between w:val="nil"/>
        </w:pBdr>
        <w:ind w:left="2988" w:right="746"/>
        <w:jc w:val="both"/>
        <w:rPr>
          <w:color w:val="000000"/>
        </w:rPr>
      </w:pPr>
      <w:r>
        <w:rPr>
          <w:color w:val="000000"/>
        </w:rPr>
        <w:t xml:space="preserve">and other entities, committees and bodies which, whether under statute, rules, regulations, codes of practice or otherwise, are entitled to regulate, investigate, or influence the matters dealt with in this contract or any other affairs of the </w:t>
      </w:r>
      <w:r>
        <w:rPr>
          <w:i/>
          <w:iCs/>
          <w:color w:val="000000"/>
        </w:rPr>
        <w:t xml:space="preserve">Client </w:t>
      </w:r>
      <w:r>
        <w:rPr>
          <w:color w:val="000000"/>
        </w:rPr>
        <w:t>and "</w:t>
      </w:r>
      <w:r>
        <w:rPr>
          <w:color w:val="000000"/>
        </w:rPr>
        <w:t>Regulatory Body" shall be construed accordingly;</w:t>
      </w:r>
    </w:p>
    <w:p w14:paraId="0EB462F0" w14:textId="77777777" w:rsidR="007960A8" w:rsidRDefault="007960A8">
      <w:pPr>
        <w:pStyle w:val="Heading1"/>
        <w:spacing w:before="94"/>
        <w:ind w:left="2977" w:right="23" w:hanging="2649"/>
      </w:pPr>
    </w:p>
    <w:p w14:paraId="3944383A" w14:textId="77777777" w:rsidR="007960A8" w:rsidRDefault="00A26397">
      <w:pPr>
        <w:pStyle w:val="Heading1"/>
        <w:spacing w:before="94"/>
        <w:ind w:left="2977" w:right="23" w:hanging="2649"/>
        <w:sectPr w:rsidR="007960A8">
          <w:pgSz w:w="11910" w:h="16840"/>
          <w:pgMar w:top="2080" w:right="1845" w:bottom="1200" w:left="1220" w:header="838" w:footer="1000" w:gutter="0"/>
          <w:cols w:space="720"/>
        </w:sectPr>
      </w:pPr>
      <w:r>
        <w:t xml:space="preserve">"Request for Information" </w:t>
      </w:r>
      <w:r>
        <w:rPr>
          <w:b w:val="0"/>
          <w:bCs w:val="0"/>
        </w:rPr>
        <w:t>a request for information or an apparent request under the Code of Practice on Access to Government Information, FOIA or the Environmental Information Regulations;</w:t>
      </w:r>
    </w:p>
    <w:p w14:paraId="092DD4E7" w14:textId="77777777" w:rsidR="007960A8" w:rsidRDefault="007960A8">
      <w:pPr>
        <w:pBdr>
          <w:top w:val="nil"/>
          <w:left w:val="nil"/>
          <w:bottom w:val="nil"/>
          <w:right w:val="nil"/>
          <w:between w:val="nil"/>
        </w:pBdr>
        <w:spacing w:before="3"/>
        <w:rPr>
          <w:color w:val="000000"/>
          <w:sz w:val="20"/>
          <w:szCs w:val="20"/>
        </w:rPr>
      </w:pPr>
    </w:p>
    <w:p w14:paraId="3E4D4E80" w14:textId="77777777" w:rsidR="007960A8" w:rsidRDefault="00A26397">
      <w:pPr>
        <w:pStyle w:val="Heading1"/>
        <w:ind w:left="328" w:right="-19"/>
      </w:pPr>
      <w:r>
        <w:t>"Security Management Plan"</w:t>
      </w:r>
    </w:p>
    <w:p w14:paraId="36C96143" w14:textId="77777777" w:rsidR="007960A8" w:rsidRDefault="007960A8">
      <w:pPr>
        <w:pBdr>
          <w:top w:val="nil"/>
          <w:left w:val="nil"/>
          <w:bottom w:val="nil"/>
          <w:right w:val="nil"/>
          <w:between w:val="nil"/>
        </w:pBdr>
        <w:rPr>
          <w:b/>
          <w:bCs/>
          <w:color w:val="000000"/>
          <w:sz w:val="24"/>
          <w:szCs w:val="24"/>
        </w:rPr>
      </w:pPr>
    </w:p>
    <w:p w14:paraId="66A51C3B" w14:textId="77777777" w:rsidR="007960A8" w:rsidRDefault="007960A8">
      <w:pPr>
        <w:pBdr>
          <w:top w:val="nil"/>
          <w:left w:val="nil"/>
          <w:bottom w:val="nil"/>
          <w:right w:val="nil"/>
          <w:between w:val="nil"/>
        </w:pBdr>
        <w:rPr>
          <w:b/>
          <w:bCs/>
          <w:color w:val="000000"/>
          <w:sz w:val="24"/>
          <w:szCs w:val="24"/>
        </w:rPr>
      </w:pPr>
    </w:p>
    <w:p w14:paraId="6738FBEB" w14:textId="77777777" w:rsidR="007960A8" w:rsidRDefault="00A26397">
      <w:pPr>
        <w:pBdr>
          <w:top w:val="nil"/>
          <w:left w:val="nil"/>
          <w:bottom w:val="nil"/>
          <w:right w:val="nil"/>
          <w:between w:val="nil"/>
        </w:pBdr>
        <w:spacing w:before="195"/>
        <w:ind w:left="328" w:right="678"/>
        <w:rPr>
          <w:b/>
          <w:bCs/>
          <w:color w:val="000000"/>
        </w:rPr>
      </w:pPr>
      <w:r>
        <w:rPr>
          <w:b/>
          <w:bCs/>
          <w:color w:val="000000"/>
        </w:rPr>
        <w:t>"Security Policy Framework"</w:t>
      </w:r>
    </w:p>
    <w:p w14:paraId="10254336" w14:textId="77777777" w:rsidR="007960A8" w:rsidRDefault="007960A8">
      <w:pPr>
        <w:pBdr>
          <w:top w:val="nil"/>
          <w:left w:val="nil"/>
          <w:bottom w:val="nil"/>
          <w:right w:val="nil"/>
          <w:between w:val="nil"/>
        </w:pBdr>
        <w:spacing w:before="11"/>
        <w:rPr>
          <w:b/>
          <w:bCs/>
          <w:color w:val="000000"/>
          <w:sz w:val="20"/>
          <w:szCs w:val="20"/>
        </w:rPr>
      </w:pPr>
    </w:p>
    <w:p w14:paraId="0090241F" w14:textId="77777777" w:rsidR="007960A8" w:rsidRDefault="00A26397">
      <w:pPr>
        <w:pBdr>
          <w:top w:val="nil"/>
          <w:left w:val="nil"/>
          <w:bottom w:val="nil"/>
          <w:right w:val="nil"/>
          <w:between w:val="nil"/>
        </w:pBdr>
        <w:ind w:left="328" w:right="788"/>
        <w:rPr>
          <w:b/>
          <w:bCs/>
          <w:color w:val="000000"/>
        </w:rPr>
      </w:pPr>
      <w:r>
        <w:rPr>
          <w:b/>
          <w:bCs/>
          <w:color w:val="000000"/>
        </w:rPr>
        <w:t>"Security Requirements"</w:t>
      </w:r>
    </w:p>
    <w:p w14:paraId="34C660E6" w14:textId="77777777" w:rsidR="007960A8" w:rsidRDefault="00A26397">
      <w:pPr>
        <w:pBdr>
          <w:top w:val="nil"/>
          <w:left w:val="nil"/>
          <w:bottom w:val="nil"/>
          <w:right w:val="nil"/>
          <w:between w:val="nil"/>
        </w:pBdr>
        <w:spacing w:before="6"/>
        <w:rPr>
          <w:b/>
          <w:bCs/>
          <w:color w:val="000000"/>
          <w:sz w:val="20"/>
          <w:szCs w:val="20"/>
        </w:rPr>
      </w:pPr>
      <w:r>
        <w:br w:type="column"/>
      </w:r>
    </w:p>
    <w:p w14:paraId="398034C4" w14:textId="77777777" w:rsidR="007960A8" w:rsidRDefault="00A26397">
      <w:pPr>
        <w:pBdr>
          <w:top w:val="nil"/>
          <w:left w:val="nil"/>
          <w:bottom w:val="nil"/>
          <w:right w:val="nil"/>
          <w:between w:val="nil"/>
        </w:pBdr>
        <w:ind w:left="240" w:right="747"/>
        <w:jc w:val="both"/>
        <w:rPr>
          <w:color w:val="000000"/>
        </w:rPr>
      </w:pPr>
      <w:r>
        <w:rPr>
          <w:color w:val="000000"/>
        </w:rPr>
        <w:t xml:space="preserve">the </w:t>
      </w:r>
      <w:r>
        <w:rPr>
          <w:i/>
          <w:iCs/>
          <w:color w:val="000000"/>
        </w:rPr>
        <w:t>Service Provider</w:t>
      </w:r>
      <w:r>
        <w:rPr>
          <w:color w:val="000000"/>
        </w:rPr>
        <w:t>'s security plan prepared pursuant to paragraph 1.5.3 of schedule J (Security Management Plan) an outline of which is set out in Appendix 1 of schedule J (Security Management Plan);</w:t>
      </w:r>
    </w:p>
    <w:p w14:paraId="0675270D" w14:textId="77777777" w:rsidR="007960A8" w:rsidRDefault="007960A8">
      <w:pPr>
        <w:pBdr>
          <w:top w:val="nil"/>
          <w:left w:val="nil"/>
          <w:bottom w:val="nil"/>
          <w:right w:val="nil"/>
          <w:between w:val="nil"/>
        </w:pBdr>
        <w:spacing w:before="11"/>
        <w:rPr>
          <w:color w:val="000000"/>
          <w:sz w:val="20"/>
          <w:szCs w:val="20"/>
        </w:rPr>
      </w:pPr>
    </w:p>
    <w:p w14:paraId="5767BF70" w14:textId="77777777" w:rsidR="007960A8" w:rsidRDefault="00A26397">
      <w:pPr>
        <w:pBdr>
          <w:top w:val="nil"/>
          <w:left w:val="nil"/>
          <w:bottom w:val="nil"/>
          <w:right w:val="nil"/>
          <w:between w:val="nil"/>
        </w:pBdr>
        <w:ind w:left="240" w:right="753"/>
        <w:jc w:val="both"/>
        <w:rPr>
          <w:color w:val="000000"/>
        </w:rPr>
      </w:pPr>
      <w:r>
        <w:rPr>
          <w:color w:val="000000"/>
        </w:rPr>
        <w:t>means the Cabinet Office Security Policy Framework (available from the Cabinet Office Security Policy Division);</w:t>
      </w:r>
    </w:p>
    <w:p w14:paraId="422821D9" w14:textId="77777777" w:rsidR="007960A8" w:rsidRDefault="007960A8">
      <w:pPr>
        <w:pBdr>
          <w:top w:val="nil"/>
          <w:left w:val="nil"/>
          <w:bottom w:val="nil"/>
          <w:right w:val="nil"/>
          <w:between w:val="nil"/>
        </w:pBdr>
        <w:spacing w:before="10"/>
        <w:rPr>
          <w:color w:val="000000"/>
          <w:sz w:val="20"/>
          <w:szCs w:val="20"/>
        </w:rPr>
      </w:pPr>
    </w:p>
    <w:p w14:paraId="18A76CD5" w14:textId="77777777" w:rsidR="007960A8" w:rsidRDefault="00A26397">
      <w:pPr>
        <w:pBdr>
          <w:top w:val="nil"/>
          <w:left w:val="nil"/>
          <w:bottom w:val="nil"/>
          <w:right w:val="nil"/>
          <w:between w:val="nil"/>
        </w:pBdr>
        <w:ind w:left="240" w:right="744"/>
        <w:jc w:val="both"/>
        <w:rPr>
          <w:color w:val="000000"/>
        </w:rPr>
        <w:sectPr w:rsidR="007960A8">
          <w:type w:val="continuous"/>
          <w:pgSz w:w="11910" w:h="16840"/>
          <w:pgMar w:top="1580" w:right="1220" w:bottom="280" w:left="1220" w:header="720" w:footer="720" w:gutter="0"/>
          <w:cols w:num="2" w:space="720" w:equalWidth="0">
            <w:col w:w="4715" w:space="40"/>
            <w:col w:w="4715" w:space="0"/>
          </w:cols>
        </w:sectPr>
      </w:pPr>
      <w:r>
        <w:rPr>
          <w:color w:val="000000"/>
        </w:rPr>
        <w:t xml:space="preserve">means the requirements in the contract relating to security of the carrying out of the </w:t>
      </w:r>
      <w:r>
        <w:rPr>
          <w:i/>
          <w:iCs/>
          <w:color w:val="000000"/>
        </w:rPr>
        <w:t xml:space="preserve">service </w:t>
      </w:r>
      <w:r>
        <w:rPr>
          <w:color w:val="000000"/>
        </w:rPr>
        <w:t>(if any) or such ot</w:t>
      </w:r>
      <w:r>
        <w:rPr>
          <w:color w:val="000000"/>
        </w:rPr>
        <w:t xml:space="preserve">her requirements as the </w:t>
      </w:r>
      <w:r>
        <w:rPr>
          <w:i/>
          <w:iCs/>
          <w:color w:val="000000"/>
        </w:rPr>
        <w:t xml:space="preserve">Client </w:t>
      </w:r>
      <w:r>
        <w:rPr>
          <w:color w:val="000000"/>
        </w:rPr>
        <w:t xml:space="preserve">may notify to the </w:t>
      </w:r>
      <w:r>
        <w:rPr>
          <w:i/>
          <w:iCs/>
          <w:color w:val="000000"/>
        </w:rPr>
        <w:t xml:space="preserve">Service Provider </w:t>
      </w:r>
      <w:r>
        <w:rPr>
          <w:color w:val="000000"/>
        </w:rPr>
        <w:t>from time to time</w:t>
      </w:r>
    </w:p>
    <w:p w14:paraId="6A06E98A" w14:textId="77777777" w:rsidR="007960A8" w:rsidRDefault="007960A8">
      <w:pPr>
        <w:pBdr>
          <w:top w:val="nil"/>
          <w:left w:val="nil"/>
          <w:bottom w:val="nil"/>
          <w:right w:val="nil"/>
          <w:between w:val="nil"/>
        </w:pBdr>
        <w:spacing w:before="5"/>
        <w:rPr>
          <w:color w:val="000000"/>
          <w:sz w:val="12"/>
          <w:szCs w:val="12"/>
        </w:rPr>
      </w:pPr>
    </w:p>
    <w:p w14:paraId="263A3BE2" w14:textId="77777777" w:rsidR="007960A8" w:rsidRDefault="00A26397">
      <w:pPr>
        <w:pBdr>
          <w:top w:val="nil"/>
          <w:left w:val="nil"/>
          <w:bottom w:val="nil"/>
          <w:right w:val="nil"/>
          <w:between w:val="nil"/>
        </w:pBdr>
        <w:tabs>
          <w:tab w:val="left" w:pos="2988"/>
        </w:tabs>
        <w:spacing w:before="96"/>
        <w:ind w:left="328"/>
        <w:rPr>
          <w:color w:val="000000"/>
        </w:rPr>
      </w:pPr>
      <w:r>
        <w:rPr>
          <w:b/>
          <w:bCs/>
          <w:color w:val="000000"/>
        </w:rPr>
        <w:t>"Security Tests"</w:t>
      </w:r>
      <w:r>
        <w:rPr>
          <w:b/>
          <w:bCs/>
          <w:color w:val="000000"/>
        </w:rPr>
        <w:tab/>
      </w:r>
      <w:r>
        <w:rPr>
          <w:color w:val="000000"/>
        </w:rPr>
        <w:t>shall have the meaning set out in Appendix 2 (Security</w:t>
      </w:r>
    </w:p>
    <w:p w14:paraId="23182465" w14:textId="77777777" w:rsidR="007960A8" w:rsidRDefault="00A26397">
      <w:pPr>
        <w:pBdr>
          <w:top w:val="nil"/>
          <w:left w:val="nil"/>
          <w:bottom w:val="nil"/>
          <w:right w:val="nil"/>
          <w:between w:val="nil"/>
        </w:pBdr>
        <w:spacing w:before="2"/>
        <w:ind w:left="2988" w:right="518"/>
        <w:rPr>
          <w:color w:val="000000"/>
        </w:rPr>
      </w:pPr>
      <w:r>
        <w:rPr>
          <w:color w:val="000000"/>
        </w:rPr>
        <w:t>Management Plan) [Guidance: define “Security Tests” in Security Management Plan]</w:t>
      </w:r>
    </w:p>
    <w:p w14:paraId="7039019E" w14:textId="77777777" w:rsidR="007960A8" w:rsidRDefault="00A26397">
      <w:pPr>
        <w:pBdr>
          <w:top w:val="nil"/>
          <w:left w:val="nil"/>
          <w:bottom w:val="nil"/>
          <w:right w:val="nil"/>
          <w:between w:val="nil"/>
        </w:pBdr>
        <w:tabs>
          <w:tab w:val="left" w:pos="2988"/>
        </w:tabs>
        <w:spacing w:before="96"/>
        <w:ind w:left="328"/>
        <w:rPr>
          <w:color w:val="000000"/>
        </w:rPr>
      </w:pPr>
      <w:r>
        <w:rPr>
          <w:b/>
          <w:bCs/>
          <w:color w:val="000000"/>
        </w:rPr>
        <w:t>"Service Provider</w:t>
      </w:r>
      <w:r>
        <w:rPr>
          <w:b/>
          <w:bCs/>
          <w:color w:val="000000"/>
        </w:rPr>
        <w:tab/>
      </w:r>
      <w:r>
        <w:rPr>
          <w:color w:val="000000"/>
        </w:rPr>
        <w:t>shall have the meaning set out in Appendix 2 (Security</w:t>
      </w:r>
    </w:p>
    <w:p w14:paraId="55FFFCD0" w14:textId="77777777" w:rsidR="007960A8" w:rsidRDefault="00A26397">
      <w:pPr>
        <w:pBdr>
          <w:top w:val="nil"/>
          <w:left w:val="nil"/>
          <w:bottom w:val="nil"/>
          <w:right w:val="nil"/>
          <w:between w:val="nil"/>
        </w:pBdr>
        <w:spacing w:before="2"/>
        <w:ind w:left="2977" w:right="518" w:hanging="2649"/>
        <w:rPr>
          <w:color w:val="000000"/>
        </w:rPr>
      </w:pPr>
      <w:r>
        <w:rPr>
          <w:b/>
          <w:bCs/>
          <w:color w:val="000000"/>
        </w:rPr>
        <w:t>Equipment"</w:t>
      </w:r>
      <w:r>
        <w:rPr>
          <w:b/>
          <w:bCs/>
          <w:color w:val="000000"/>
        </w:rPr>
        <w:tab/>
      </w:r>
      <w:r>
        <w:rPr>
          <w:color w:val="000000"/>
        </w:rPr>
        <w:t>Management Plan) [Guidance: define “Security Tests” in Security Management Plan]</w:t>
      </w:r>
    </w:p>
    <w:p w14:paraId="58929F7D" w14:textId="77777777" w:rsidR="007960A8" w:rsidRDefault="007960A8">
      <w:pPr>
        <w:pBdr>
          <w:top w:val="nil"/>
          <w:left w:val="nil"/>
          <w:bottom w:val="nil"/>
          <w:right w:val="nil"/>
          <w:between w:val="nil"/>
        </w:pBdr>
        <w:spacing w:before="8"/>
        <w:rPr>
          <w:color w:val="000000"/>
          <w:sz w:val="20"/>
          <w:szCs w:val="20"/>
        </w:rPr>
      </w:pPr>
    </w:p>
    <w:p w14:paraId="0BFD55C8" w14:textId="77777777" w:rsidR="007960A8" w:rsidRDefault="00A26397">
      <w:pPr>
        <w:pBdr>
          <w:top w:val="nil"/>
          <w:left w:val="nil"/>
          <w:bottom w:val="nil"/>
          <w:right w:val="nil"/>
          <w:between w:val="nil"/>
        </w:pBdr>
        <w:tabs>
          <w:tab w:val="left" w:pos="2977"/>
        </w:tabs>
        <w:spacing w:before="97"/>
        <w:ind w:left="328"/>
        <w:jc w:val="both"/>
        <w:rPr>
          <w:color w:val="000000"/>
        </w:rPr>
      </w:pPr>
      <w:r>
        <w:rPr>
          <w:b/>
          <w:bCs/>
          <w:color w:val="000000"/>
        </w:rPr>
        <w:t xml:space="preserve">"Service Provider </w:t>
      </w:r>
      <w:r>
        <w:rPr>
          <w:b/>
          <w:bCs/>
          <w:color w:val="000000"/>
        </w:rPr>
        <w:tab/>
      </w:r>
      <w:r>
        <w:rPr>
          <w:color w:val="000000"/>
        </w:rPr>
        <w:t xml:space="preserve">software which is proprietary to the </w:t>
      </w:r>
      <w:r>
        <w:rPr>
          <w:i/>
          <w:iCs/>
          <w:color w:val="000000"/>
        </w:rPr>
        <w:t>Service Provider</w:t>
      </w:r>
      <w:r>
        <w:rPr>
          <w:color w:val="000000"/>
        </w:rPr>
        <w:t>, including</w:t>
      </w:r>
    </w:p>
    <w:p w14:paraId="10D08531" w14:textId="77777777" w:rsidR="007960A8" w:rsidRDefault="00A26397">
      <w:pPr>
        <w:pBdr>
          <w:top w:val="nil"/>
          <w:left w:val="nil"/>
          <w:bottom w:val="nil"/>
          <w:right w:val="nil"/>
          <w:between w:val="nil"/>
        </w:pBdr>
        <w:spacing w:before="1"/>
        <w:ind w:left="2977" w:right="746" w:hanging="2649"/>
        <w:jc w:val="both"/>
        <w:rPr>
          <w:color w:val="000000"/>
        </w:rPr>
      </w:pPr>
      <w:r>
        <w:rPr>
          <w:b/>
          <w:bCs/>
          <w:color w:val="000000"/>
        </w:rPr>
        <w:t>Software"</w:t>
      </w:r>
      <w:r>
        <w:rPr>
          <w:b/>
          <w:bCs/>
          <w:color w:val="000000"/>
        </w:rPr>
        <w:tab/>
      </w:r>
      <w:r>
        <w:rPr>
          <w:color w:val="000000"/>
        </w:rPr>
        <w:t xml:space="preserve">software which is or will be used by the </w:t>
      </w:r>
      <w:r>
        <w:rPr>
          <w:i/>
          <w:iCs/>
          <w:color w:val="000000"/>
        </w:rPr>
        <w:t xml:space="preserve">Service Provider </w:t>
      </w:r>
      <w:r>
        <w:rPr>
          <w:color w:val="000000"/>
        </w:rPr>
        <w:t xml:space="preserve">for the purposes of carrying out of the </w:t>
      </w:r>
      <w:r>
        <w:rPr>
          <w:i/>
          <w:iCs/>
          <w:color w:val="000000"/>
        </w:rPr>
        <w:t>service</w:t>
      </w:r>
      <w:r>
        <w:rPr>
          <w:color w:val="000000"/>
        </w:rPr>
        <w:t>;</w:t>
      </w:r>
    </w:p>
    <w:p w14:paraId="2A9270BC" w14:textId="77777777" w:rsidR="007960A8" w:rsidRDefault="007960A8">
      <w:pPr>
        <w:pBdr>
          <w:top w:val="nil"/>
          <w:left w:val="nil"/>
          <w:bottom w:val="nil"/>
          <w:right w:val="nil"/>
          <w:between w:val="nil"/>
        </w:pBdr>
        <w:spacing w:before="8"/>
        <w:rPr>
          <w:color w:val="000000"/>
          <w:sz w:val="20"/>
          <w:szCs w:val="20"/>
        </w:rPr>
      </w:pPr>
    </w:p>
    <w:p w14:paraId="4EFB9E29" w14:textId="77777777" w:rsidR="007960A8" w:rsidRDefault="00A26397">
      <w:pPr>
        <w:pBdr>
          <w:top w:val="nil"/>
          <w:left w:val="nil"/>
          <w:bottom w:val="nil"/>
          <w:right w:val="nil"/>
          <w:between w:val="nil"/>
        </w:pBdr>
        <w:tabs>
          <w:tab w:val="left" w:pos="2977"/>
        </w:tabs>
        <w:spacing w:before="1"/>
        <w:ind w:left="328"/>
        <w:jc w:val="both"/>
        <w:rPr>
          <w:color w:val="000000"/>
        </w:rPr>
      </w:pPr>
      <w:r>
        <w:rPr>
          <w:b/>
          <w:bCs/>
          <w:color w:val="000000"/>
        </w:rPr>
        <w:t>"Service Provider</w:t>
      </w:r>
      <w:r>
        <w:rPr>
          <w:b/>
          <w:bCs/>
          <w:color w:val="000000"/>
        </w:rPr>
        <w:tab/>
      </w:r>
      <w:r>
        <w:rPr>
          <w:color w:val="000000"/>
        </w:rPr>
        <w:t>the information and communications technology system</w:t>
      </w:r>
    </w:p>
    <w:p w14:paraId="25EF57C6" w14:textId="77777777" w:rsidR="007960A8" w:rsidRDefault="00A26397">
      <w:pPr>
        <w:pBdr>
          <w:top w:val="nil"/>
          <w:left w:val="nil"/>
          <w:bottom w:val="nil"/>
          <w:right w:val="nil"/>
          <w:between w:val="nil"/>
        </w:pBdr>
        <w:spacing w:before="1"/>
        <w:ind w:left="2977" w:right="751" w:hanging="2649"/>
        <w:jc w:val="both"/>
        <w:rPr>
          <w:color w:val="000000"/>
        </w:rPr>
      </w:pPr>
      <w:r>
        <w:rPr>
          <w:b/>
          <w:bCs/>
          <w:color w:val="000000"/>
        </w:rPr>
        <w:t xml:space="preserve">System" </w:t>
      </w:r>
      <w:r>
        <w:rPr>
          <w:b/>
          <w:bCs/>
          <w:color w:val="000000"/>
        </w:rPr>
        <w:tab/>
      </w:r>
      <w:r>
        <w:rPr>
          <w:color w:val="000000"/>
        </w:rPr>
        <w:t xml:space="preserve">used by the </w:t>
      </w:r>
      <w:r>
        <w:rPr>
          <w:i/>
          <w:iCs/>
          <w:color w:val="000000"/>
        </w:rPr>
        <w:t xml:space="preserve">Service Provider </w:t>
      </w:r>
      <w:r>
        <w:rPr>
          <w:color w:val="000000"/>
        </w:rPr>
        <w:t xml:space="preserve">in carrying out of the </w:t>
      </w:r>
      <w:r>
        <w:rPr>
          <w:i/>
          <w:iCs/>
          <w:color w:val="000000"/>
        </w:rPr>
        <w:t xml:space="preserve">service </w:t>
      </w:r>
      <w:r>
        <w:rPr>
          <w:color w:val="000000"/>
        </w:rPr>
        <w:t xml:space="preserve">including the Software, the </w:t>
      </w:r>
      <w:r>
        <w:rPr>
          <w:i/>
          <w:iCs/>
          <w:color w:val="000000"/>
        </w:rPr>
        <w:t xml:space="preserve">Service Provider </w:t>
      </w:r>
      <w:r>
        <w:rPr>
          <w:color w:val="000000"/>
        </w:rPr>
        <w:t>Equipment and related cabling (but excluding the Client System);</w:t>
      </w:r>
    </w:p>
    <w:p w14:paraId="6A070857" w14:textId="77777777" w:rsidR="007960A8" w:rsidRDefault="007960A8">
      <w:pPr>
        <w:pBdr>
          <w:top w:val="nil"/>
          <w:left w:val="nil"/>
          <w:bottom w:val="nil"/>
          <w:right w:val="nil"/>
          <w:between w:val="nil"/>
        </w:pBdr>
        <w:tabs>
          <w:tab w:val="left" w:pos="2988"/>
        </w:tabs>
        <w:ind w:left="328"/>
        <w:rPr>
          <w:b/>
          <w:bCs/>
          <w:color w:val="000000"/>
        </w:rPr>
      </w:pPr>
    </w:p>
    <w:p w14:paraId="2AD7E166" w14:textId="77777777" w:rsidR="007960A8" w:rsidRDefault="00A26397">
      <w:pPr>
        <w:pBdr>
          <w:top w:val="nil"/>
          <w:left w:val="nil"/>
          <w:bottom w:val="nil"/>
          <w:right w:val="nil"/>
          <w:between w:val="nil"/>
        </w:pBdr>
        <w:tabs>
          <w:tab w:val="left" w:pos="2988"/>
        </w:tabs>
        <w:ind w:left="328"/>
        <w:rPr>
          <w:color w:val="000000"/>
        </w:rPr>
      </w:pPr>
      <w:r>
        <w:rPr>
          <w:b/>
          <w:bCs/>
          <w:color w:val="000000"/>
        </w:rPr>
        <w:t>"Software"</w:t>
      </w:r>
      <w:r>
        <w:rPr>
          <w:b/>
          <w:bCs/>
          <w:color w:val="000000"/>
        </w:rPr>
        <w:tab/>
      </w:r>
      <w:r>
        <w:rPr>
          <w:color w:val="000000"/>
        </w:rPr>
        <w:t>Specially Wr</w:t>
      </w:r>
      <w:r>
        <w:rPr>
          <w:color w:val="000000"/>
        </w:rPr>
        <w:t xml:space="preserve">itten Software, </w:t>
      </w:r>
      <w:r>
        <w:rPr>
          <w:i/>
          <w:iCs/>
          <w:color w:val="000000"/>
        </w:rPr>
        <w:t xml:space="preserve">Service Provider </w:t>
      </w:r>
      <w:r>
        <w:rPr>
          <w:color w:val="000000"/>
        </w:rPr>
        <w:t>Software and Third</w:t>
      </w:r>
    </w:p>
    <w:p w14:paraId="36EEE032" w14:textId="77777777" w:rsidR="007960A8" w:rsidRDefault="00A26397">
      <w:pPr>
        <w:pBdr>
          <w:top w:val="nil"/>
          <w:left w:val="nil"/>
          <w:bottom w:val="nil"/>
          <w:right w:val="nil"/>
          <w:between w:val="nil"/>
        </w:pBdr>
        <w:spacing w:before="1"/>
        <w:ind w:left="2988"/>
        <w:rPr>
          <w:color w:val="000000"/>
        </w:rPr>
      </w:pPr>
      <w:r>
        <w:rPr>
          <w:color w:val="000000"/>
        </w:rPr>
        <w:t>Party Software;</w:t>
      </w:r>
    </w:p>
    <w:p w14:paraId="051BA55A" w14:textId="77777777" w:rsidR="007960A8" w:rsidRDefault="007960A8">
      <w:pPr>
        <w:pBdr>
          <w:top w:val="nil"/>
          <w:left w:val="nil"/>
          <w:bottom w:val="nil"/>
          <w:right w:val="nil"/>
          <w:between w:val="nil"/>
        </w:pBdr>
        <w:spacing w:before="5"/>
        <w:rPr>
          <w:color w:val="000000"/>
          <w:sz w:val="12"/>
          <w:szCs w:val="12"/>
        </w:rPr>
        <w:sectPr w:rsidR="007960A8">
          <w:type w:val="continuous"/>
          <w:pgSz w:w="11910" w:h="16840"/>
          <w:pgMar w:top="1580" w:right="1220" w:bottom="280" w:left="1220" w:header="720" w:footer="720" w:gutter="0"/>
          <w:cols w:space="720"/>
        </w:sectPr>
      </w:pPr>
    </w:p>
    <w:p w14:paraId="10A3103E" w14:textId="77777777" w:rsidR="007960A8" w:rsidRDefault="00A26397">
      <w:pPr>
        <w:pStyle w:val="Heading1"/>
        <w:spacing w:before="94"/>
        <w:ind w:left="328" w:right="23"/>
      </w:pPr>
      <w:r>
        <w:t>"Specially Written Software"</w:t>
      </w:r>
    </w:p>
    <w:p w14:paraId="5AB2C3E2" w14:textId="77777777" w:rsidR="007960A8" w:rsidRDefault="007960A8">
      <w:pPr>
        <w:pBdr>
          <w:top w:val="nil"/>
          <w:left w:val="nil"/>
          <w:bottom w:val="nil"/>
          <w:right w:val="nil"/>
          <w:between w:val="nil"/>
        </w:pBdr>
        <w:rPr>
          <w:b/>
          <w:bCs/>
          <w:color w:val="000000"/>
          <w:sz w:val="24"/>
          <w:szCs w:val="24"/>
        </w:rPr>
      </w:pPr>
    </w:p>
    <w:p w14:paraId="17119922" w14:textId="77777777" w:rsidR="007960A8" w:rsidRDefault="007960A8">
      <w:pPr>
        <w:pBdr>
          <w:top w:val="nil"/>
          <w:left w:val="nil"/>
          <w:bottom w:val="nil"/>
          <w:right w:val="nil"/>
          <w:between w:val="nil"/>
        </w:pBdr>
        <w:spacing w:before="9"/>
        <w:rPr>
          <w:b/>
          <w:bCs/>
          <w:color w:val="000000"/>
          <w:sz w:val="18"/>
          <w:szCs w:val="18"/>
        </w:rPr>
      </w:pPr>
    </w:p>
    <w:p w14:paraId="192C73A3" w14:textId="77777777" w:rsidR="007960A8" w:rsidRDefault="007960A8">
      <w:pPr>
        <w:pBdr>
          <w:top w:val="nil"/>
          <w:left w:val="nil"/>
          <w:bottom w:val="nil"/>
          <w:right w:val="nil"/>
          <w:between w:val="nil"/>
        </w:pBdr>
        <w:rPr>
          <w:b/>
          <w:bCs/>
          <w:color w:val="000000"/>
          <w:sz w:val="24"/>
          <w:szCs w:val="24"/>
        </w:rPr>
      </w:pPr>
    </w:p>
    <w:p w14:paraId="595CF63A" w14:textId="77777777" w:rsidR="007960A8" w:rsidRDefault="007960A8">
      <w:pPr>
        <w:pBdr>
          <w:top w:val="nil"/>
          <w:left w:val="nil"/>
          <w:bottom w:val="nil"/>
          <w:right w:val="nil"/>
          <w:between w:val="nil"/>
        </w:pBdr>
        <w:rPr>
          <w:b/>
          <w:bCs/>
          <w:color w:val="000000"/>
          <w:sz w:val="24"/>
          <w:szCs w:val="24"/>
        </w:rPr>
      </w:pPr>
    </w:p>
    <w:p w14:paraId="5E5EE9E2" w14:textId="77777777" w:rsidR="007960A8" w:rsidRDefault="007960A8">
      <w:pPr>
        <w:pBdr>
          <w:top w:val="nil"/>
          <w:left w:val="nil"/>
          <w:bottom w:val="nil"/>
          <w:right w:val="nil"/>
          <w:between w:val="nil"/>
        </w:pBdr>
        <w:rPr>
          <w:b/>
          <w:bCs/>
          <w:color w:val="000000"/>
          <w:sz w:val="24"/>
          <w:szCs w:val="24"/>
        </w:rPr>
      </w:pPr>
    </w:p>
    <w:p w14:paraId="7A3F62A2" w14:textId="77777777" w:rsidR="007960A8" w:rsidRDefault="007960A8">
      <w:pPr>
        <w:pBdr>
          <w:top w:val="nil"/>
          <w:left w:val="nil"/>
          <w:bottom w:val="nil"/>
          <w:right w:val="nil"/>
          <w:between w:val="nil"/>
        </w:pBdr>
        <w:rPr>
          <w:b/>
          <w:bCs/>
          <w:color w:val="000000"/>
          <w:sz w:val="24"/>
          <w:szCs w:val="24"/>
        </w:rPr>
      </w:pPr>
    </w:p>
    <w:p w14:paraId="6CB7D164" w14:textId="77777777" w:rsidR="007960A8" w:rsidRDefault="007960A8">
      <w:pPr>
        <w:pBdr>
          <w:top w:val="nil"/>
          <w:left w:val="nil"/>
          <w:bottom w:val="nil"/>
          <w:right w:val="nil"/>
          <w:between w:val="nil"/>
        </w:pBdr>
        <w:ind w:left="328" w:right="500"/>
        <w:rPr>
          <w:b/>
          <w:bCs/>
          <w:color w:val="000000"/>
        </w:rPr>
      </w:pPr>
    </w:p>
    <w:p w14:paraId="62E8E2EF" w14:textId="77777777" w:rsidR="007960A8" w:rsidRDefault="007960A8">
      <w:pPr>
        <w:pBdr>
          <w:top w:val="nil"/>
          <w:left w:val="nil"/>
          <w:bottom w:val="nil"/>
          <w:right w:val="nil"/>
          <w:between w:val="nil"/>
        </w:pBdr>
        <w:ind w:left="328" w:right="500"/>
        <w:rPr>
          <w:b/>
          <w:bCs/>
          <w:color w:val="000000"/>
        </w:rPr>
      </w:pPr>
    </w:p>
    <w:p w14:paraId="1B56E389" w14:textId="77777777" w:rsidR="007960A8" w:rsidRDefault="00A26397">
      <w:pPr>
        <w:pBdr>
          <w:top w:val="nil"/>
          <w:left w:val="nil"/>
          <w:bottom w:val="nil"/>
          <w:right w:val="nil"/>
          <w:between w:val="nil"/>
        </w:pBdr>
        <w:ind w:left="328" w:right="500"/>
        <w:rPr>
          <w:b/>
          <w:bCs/>
          <w:color w:val="000000"/>
        </w:rPr>
      </w:pPr>
      <w:r>
        <w:rPr>
          <w:b/>
          <w:bCs/>
          <w:color w:val="000000"/>
        </w:rPr>
        <w:t>"Staff Vetting Procedures"</w:t>
      </w:r>
    </w:p>
    <w:p w14:paraId="6F63CA25" w14:textId="77777777" w:rsidR="007960A8" w:rsidRDefault="007960A8">
      <w:pPr>
        <w:pBdr>
          <w:top w:val="nil"/>
          <w:left w:val="nil"/>
          <w:bottom w:val="nil"/>
          <w:right w:val="nil"/>
          <w:between w:val="nil"/>
        </w:pBdr>
        <w:spacing w:before="150"/>
        <w:ind w:left="328" w:right="463"/>
        <w:rPr>
          <w:b/>
          <w:bCs/>
          <w:color w:val="000000"/>
        </w:rPr>
      </w:pPr>
    </w:p>
    <w:p w14:paraId="624EE34D" w14:textId="77777777" w:rsidR="007960A8" w:rsidRDefault="007960A8">
      <w:pPr>
        <w:pBdr>
          <w:top w:val="nil"/>
          <w:left w:val="nil"/>
          <w:bottom w:val="nil"/>
          <w:right w:val="nil"/>
          <w:between w:val="nil"/>
        </w:pBdr>
        <w:spacing w:before="150"/>
        <w:ind w:left="328" w:right="463"/>
        <w:rPr>
          <w:b/>
          <w:bCs/>
          <w:color w:val="000000"/>
        </w:rPr>
      </w:pPr>
    </w:p>
    <w:p w14:paraId="0772F68A" w14:textId="77777777" w:rsidR="007960A8" w:rsidRDefault="00A26397">
      <w:pPr>
        <w:pBdr>
          <w:top w:val="nil"/>
          <w:left w:val="nil"/>
          <w:bottom w:val="nil"/>
          <w:right w:val="nil"/>
          <w:between w:val="nil"/>
        </w:pBdr>
        <w:spacing w:before="150"/>
        <w:ind w:left="328" w:right="463"/>
        <w:rPr>
          <w:b/>
          <w:bCs/>
          <w:color w:val="000000"/>
        </w:rPr>
      </w:pPr>
      <w:r>
        <w:rPr>
          <w:b/>
          <w:bCs/>
          <w:color w:val="000000"/>
        </w:rPr>
        <w:t>"Statement of Applicability"</w:t>
      </w:r>
    </w:p>
    <w:p w14:paraId="6068BF62" w14:textId="77777777" w:rsidR="007960A8" w:rsidRDefault="00A26397">
      <w:pPr>
        <w:pBdr>
          <w:top w:val="nil"/>
          <w:left w:val="nil"/>
          <w:bottom w:val="nil"/>
          <w:right w:val="nil"/>
          <w:between w:val="nil"/>
        </w:pBdr>
        <w:spacing w:before="96"/>
        <w:ind w:left="328" w:right="745"/>
        <w:jc w:val="both"/>
        <w:rPr>
          <w:color w:val="000000"/>
        </w:rPr>
      </w:pPr>
      <w:r>
        <w:br w:type="column"/>
      </w:r>
      <w:r>
        <w:rPr>
          <w:color w:val="000000"/>
        </w:rPr>
        <w:t xml:space="preserve">any software created by the </w:t>
      </w:r>
      <w:r>
        <w:rPr>
          <w:i/>
          <w:iCs/>
          <w:color w:val="000000"/>
        </w:rPr>
        <w:t xml:space="preserve">Service Provider </w:t>
      </w:r>
      <w:r>
        <w:rPr>
          <w:color w:val="000000"/>
        </w:rPr>
        <w:t xml:space="preserve">(or by a third party on behalf of the </w:t>
      </w:r>
      <w:r>
        <w:rPr>
          <w:i/>
          <w:iCs/>
          <w:color w:val="000000"/>
        </w:rPr>
        <w:t>Service Provider</w:t>
      </w:r>
      <w:r>
        <w:rPr>
          <w:color w:val="000000"/>
        </w:rPr>
        <w:t>) specifically for the purposes of this contract;</w:t>
      </w:r>
    </w:p>
    <w:p w14:paraId="2D82F5BC" w14:textId="77777777" w:rsidR="007960A8" w:rsidRDefault="007960A8">
      <w:pPr>
        <w:pBdr>
          <w:top w:val="nil"/>
          <w:left w:val="nil"/>
          <w:bottom w:val="nil"/>
          <w:right w:val="nil"/>
          <w:between w:val="nil"/>
        </w:pBdr>
        <w:spacing w:before="9"/>
        <w:rPr>
          <w:color w:val="000000"/>
          <w:sz w:val="20"/>
          <w:szCs w:val="20"/>
        </w:rPr>
      </w:pPr>
    </w:p>
    <w:p w14:paraId="1419ECB0" w14:textId="77777777" w:rsidR="007960A8" w:rsidRDefault="00A26397">
      <w:pPr>
        <w:pBdr>
          <w:top w:val="nil"/>
          <w:left w:val="nil"/>
          <w:bottom w:val="nil"/>
          <w:right w:val="nil"/>
          <w:between w:val="nil"/>
        </w:pBdr>
        <w:spacing w:before="1"/>
        <w:ind w:left="328" w:right="747"/>
        <w:jc w:val="both"/>
        <w:rPr>
          <w:color w:val="000000"/>
        </w:rPr>
      </w:pPr>
      <w:r>
        <w:rPr>
          <w:color w:val="000000"/>
        </w:rPr>
        <w:t xml:space="preserve">the </w:t>
      </w:r>
      <w:r>
        <w:rPr>
          <w:i/>
          <w:iCs/>
          <w:color w:val="000000"/>
        </w:rPr>
        <w:t>Client</w:t>
      </w:r>
      <w:r>
        <w:rPr>
          <w:color w:val="000000"/>
        </w:rPr>
        <w:t>'s procedures and departmental policies for the vetting of personnel whose role will involve the handling of information of a sensitive or co</w:t>
      </w:r>
      <w:r>
        <w:rPr>
          <w:color w:val="000000"/>
        </w:rPr>
        <w:t>nfidential nature or the handling of information which is subject to any relevant security measures, including, but not limited to, the provisions of the Official Secrets Act 1911 to 1989;</w:t>
      </w:r>
    </w:p>
    <w:p w14:paraId="4199E90A" w14:textId="77777777" w:rsidR="007960A8" w:rsidRDefault="007960A8">
      <w:pPr>
        <w:pBdr>
          <w:top w:val="nil"/>
          <w:left w:val="nil"/>
          <w:bottom w:val="nil"/>
          <w:right w:val="nil"/>
          <w:between w:val="nil"/>
        </w:pBdr>
        <w:rPr>
          <w:color w:val="000000"/>
          <w:sz w:val="21"/>
          <w:szCs w:val="21"/>
        </w:rPr>
      </w:pPr>
    </w:p>
    <w:p w14:paraId="488DFAF3" w14:textId="77777777" w:rsidR="007960A8" w:rsidRDefault="00A26397">
      <w:pPr>
        <w:pBdr>
          <w:top w:val="nil"/>
          <w:left w:val="nil"/>
          <w:bottom w:val="nil"/>
          <w:right w:val="nil"/>
          <w:between w:val="nil"/>
        </w:pBdr>
        <w:ind w:left="328" w:right="752"/>
        <w:jc w:val="both"/>
        <w:rPr>
          <w:color w:val="000000"/>
        </w:rPr>
        <w:sectPr w:rsidR="007960A8">
          <w:type w:val="continuous"/>
          <w:pgSz w:w="11910" w:h="16840"/>
          <w:pgMar w:top="1580" w:right="1220" w:bottom="280" w:left="1220" w:header="720" w:footer="720" w:gutter="0"/>
          <w:cols w:num="2" w:space="720" w:equalWidth="0">
            <w:col w:w="4529" w:space="412"/>
            <w:col w:w="4529" w:space="0"/>
          </w:cols>
        </w:sectPr>
      </w:pPr>
      <w:r>
        <w:rPr>
          <w:color w:val="000000"/>
        </w:rPr>
        <w:t>shall have the meaning set out in ISO/IEC 27001 and as agreed by the parties during the procurement phase;</w:t>
      </w:r>
    </w:p>
    <w:p w14:paraId="09E11FB6" w14:textId="77777777" w:rsidR="007960A8" w:rsidRDefault="007960A8">
      <w:pPr>
        <w:pBdr>
          <w:top w:val="nil"/>
          <w:left w:val="nil"/>
          <w:bottom w:val="nil"/>
          <w:right w:val="nil"/>
          <w:between w:val="nil"/>
        </w:pBdr>
        <w:spacing w:before="6"/>
        <w:rPr>
          <w:color w:val="000000"/>
          <w:sz w:val="12"/>
          <w:szCs w:val="12"/>
        </w:rPr>
      </w:pPr>
    </w:p>
    <w:p w14:paraId="1C8A3E05" w14:textId="77777777" w:rsidR="007960A8" w:rsidRDefault="00A26397">
      <w:pPr>
        <w:pBdr>
          <w:top w:val="nil"/>
          <w:left w:val="nil"/>
          <w:bottom w:val="nil"/>
          <w:right w:val="nil"/>
          <w:between w:val="nil"/>
        </w:pBdr>
        <w:tabs>
          <w:tab w:val="left" w:pos="2988"/>
        </w:tabs>
        <w:spacing w:before="96" w:line="252" w:lineRule="auto"/>
        <w:ind w:left="328"/>
        <w:jc w:val="both"/>
        <w:rPr>
          <w:color w:val="000000"/>
        </w:rPr>
      </w:pPr>
      <w:r>
        <w:rPr>
          <w:b/>
          <w:bCs/>
          <w:color w:val="000000"/>
        </w:rPr>
        <w:t>"Standards"</w:t>
      </w:r>
      <w:r>
        <w:rPr>
          <w:b/>
          <w:bCs/>
          <w:color w:val="000000"/>
        </w:rPr>
        <w:tab/>
      </w:r>
      <w:r>
        <w:rPr>
          <w:color w:val="000000"/>
        </w:rPr>
        <w:t xml:space="preserve">the British or international standards, </w:t>
      </w:r>
      <w:r>
        <w:rPr>
          <w:i/>
          <w:iCs/>
          <w:color w:val="000000"/>
        </w:rPr>
        <w:t>Client</w:t>
      </w:r>
      <w:r>
        <w:rPr>
          <w:color w:val="000000"/>
        </w:rPr>
        <w:t>'s internal</w:t>
      </w:r>
    </w:p>
    <w:p w14:paraId="7E7A026E" w14:textId="77777777" w:rsidR="007960A8" w:rsidRDefault="00A26397">
      <w:pPr>
        <w:pBdr>
          <w:top w:val="nil"/>
          <w:left w:val="nil"/>
          <w:bottom w:val="nil"/>
          <w:right w:val="nil"/>
          <w:between w:val="nil"/>
        </w:pBdr>
        <w:ind w:left="2988" w:right="748"/>
        <w:jc w:val="both"/>
        <w:rPr>
          <w:color w:val="000000"/>
        </w:rPr>
      </w:pPr>
      <w:r>
        <w:rPr>
          <w:color w:val="000000"/>
        </w:rPr>
        <w:t>policies and procedures, Government codes of practice and guidance together wi</w:t>
      </w:r>
      <w:r>
        <w:rPr>
          <w:color w:val="000000"/>
        </w:rPr>
        <w:t>th any other specified policies or procedures referred to in this contract (if any) or as otherwise agreed by the parties;</w:t>
      </w:r>
    </w:p>
    <w:p w14:paraId="29BC3424" w14:textId="77777777" w:rsidR="007960A8" w:rsidRDefault="007960A8">
      <w:pPr>
        <w:pBdr>
          <w:top w:val="nil"/>
          <w:left w:val="nil"/>
          <w:bottom w:val="nil"/>
          <w:right w:val="nil"/>
          <w:between w:val="nil"/>
        </w:pBdr>
        <w:spacing w:before="11"/>
        <w:rPr>
          <w:color w:val="000000"/>
          <w:sz w:val="20"/>
          <w:szCs w:val="20"/>
        </w:rPr>
      </w:pPr>
    </w:p>
    <w:p w14:paraId="34291E6C" w14:textId="77777777" w:rsidR="007960A8" w:rsidRDefault="00A26397">
      <w:pPr>
        <w:pBdr>
          <w:top w:val="nil"/>
          <w:left w:val="nil"/>
          <w:bottom w:val="nil"/>
          <w:right w:val="nil"/>
          <w:between w:val="nil"/>
        </w:pBdr>
        <w:tabs>
          <w:tab w:val="left" w:pos="2659"/>
        </w:tabs>
        <w:spacing w:line="253" w:lineRule="auto"/>
        <w:ind w:right="751"/>
        <w:jc w:val="right"/>
        <w:rPr>
          <w:color w:val="000000"/>
        </w:rPr>
      </w:pPr>
      <w:r>
        <w:rPr>
          <w:b/>
          <w:bCs/>
          <w:color w:val="000000"/>
        </w:rPr>
        <w:t>"Third Party Software"</w:t>
      </w:r>
      <w:r>
        <w:rPr>
          <w:b/>
          <w:bCs/>
          <w:color w:val="000000"/>
        </w:rPr>
        <w:tab/>
      </w:r>
      <w:r>
        <w:rPr>
          <w:color w:val="000000"/>
        </w:rPr>
        <w:t>software which is proprietary to any third party other than</w:t>
      </w:r>
    </w:p>
    <w:p w14:paraId="2880EACE" w14:textId="77777777" w:rsidR="007960A8" w:rsidRDefault="00A26397">
      <w:pPr>
        <w:pBdr>
          <w:top w:val="nil"/>
          <w:left w:val="nil"/>
          <w:bottom w:val="nil"/>
          <w:right w:val="nil"/>
          <w:between w:val="nil"/>
        </w:pBdr>
        <w:ind w:left="2977" w:right="747"/>
        <w:rPr>
          <w:color w:val="000000"/>
          <w:sz w:val="24"/>
          <w:szCs w:val="24"/>
        </w:rPr>
      </w:pPr>
      <w:r>
        <w:rPr>
          <w:color w:val="000000"/>
        </w:rPr>
        <w:t xml:space="preserve">an Affiliate of the </w:t>
      </w:r>
      <w:r>
        <w:rPr>
          <w:i/>
          <w:iCs/>
          <w:color w:val="000000"/>
        </w:rPr>
        <w:t xml:space="preserve">Service Provider </w:t>
      </w:r>
      <w:r>
        <w:rPr>
          <w:color w:val="000000"/>
        </w:rPr>
        <w:t>which is or will be used by the</w:t>
      </w:r>
      <w:r>
        <w:rPr>
          <w:color w:val="000000"/>
        </w:rPr>
        <w:tab/>
        <w:t xml:space="preserve"> </w:t>
      </w:r>
      <w:r>
        <w:rPr>
          <w:i/>
          <w:iCs/>
          <w:color w:val="000000"/>
        </w:rPr>
        <w:t xml:space="preserve">Service Provider </w:t>
      </w:r>
      <w:r>
        <w:rPr>
          <w:color w:val="000000"/>
        </w:rPr>
        <w:t xml:space="preserve">for the purposes of carrying out of the </w:t>
      </w:r>
      <w:r>
        <w:rPr>
          <w:i/>
          <w:iCs/>
          <w:color w:val="000000"/>
        </w:rPr>
        <w:t>service.</w:t>
      </w:r>
    </w:p>
    <w:p w14:paraId="74BCA4F1" w14:textId="77777777" w:rsidR="007960A8" w:rsidRDefault="007960A8">
      <w:pPr>
        <w:pBdr>
          <w:top w:val="nil"/>
          <w:left w:val="nil"/>
          <w:bottom w:val="nil"/>
          <w:right w:val="nil"/>
          <w:between w:val="nil"/>
        </w:pBdr>
        <w:rPr>
          <w:color w:val="000000"/>
          <w:sz w:val="24"/>
          <w:szCs w:val="24"/>
        </w:rPr>
      </w:pPr>
    </w:p>
    <w:p w14:paraId="0410B607" w14:textId="77777777" w:rsidR="007960A8" w:rsidRDefault="00A26397">
      <w:pPr>
        <w:numPr>
          <w:ilvl w:val="1"/>
          <w:numId w:val="23"/>
        </w:numPr>
        <w:pBdr>
          <w:top w:val="nil"/>
          <w:left w:val="nil"/>
          <w:bottom w:val="nil"/>
          <w:right w:val="nil"/>
          <w:between w:val="nil"/>
        </w:pBdr>
        <w:tabs>
          <w:tab w:val="left" w:pos="941"/>
        </w:tabs>
        <w:spacing w:before="179"/>
        <w:ind w:hanging="721"/>
        <w:rPr>
          <w:color w:val="000000"/>
        </w:rPr>
      </w:pPr>
      <w:r>
        <w:rPr>
          <w:color w:val="000000"/>
        </w:rPr>
        <w:t>Introduction</w:t>
      </w:r>
    </w:p>
    <w:p w14:paraId="1023E36B" w14:textId="77777777" w:rsidR="007960A8" w:rsidRDefault="007960A8">
      <w:pPr>
        <w:pBdr>
          <w:top w:val="nil"/>
          <w:left w:val="nil"/>
          <w:bottom w:val="nil"/>
          <w:right w:val="nil"/>
          <w:between w:val="nil"/>
        </w:pBdr>
        <w:spacing w:before="10"/>
        <w:rPr>
          <w:color w:val="000000"/>
          <w:sz w:val="31"/>
          <w:szCs w:val="31"/>
        </w:rPr>
      </w:pPr>
    </w:p>
    <w:p w14:paraId="4BD82E2D" w14:textId="77777777" w:rsidR="007960A8" w:rsidRDefault="00A26397">
      <w:pPr>
        <w:numPr>
          <w:ilvl w:val="2"/>
          <w:numId w:val="13"/>
        </w:numPr>
        <w:pBdr>
          <w:top w:val="nil"/>
          <w:left w:val="nil"/>
          <w:bottom w:val="nil"/>
          <w:right w:val="nil"/>
          <w:between w:val="nil"/>
        </w:pBdr>
        <w:tabs>
          <w:tab w:val="left" w:pos="2021"/>
        </w:tabs>
        <w:ind w:hanging="1081"/>
        <w:rPr>
          <w:color w:val="000000"/>
        </w:rPr>
      </w:pPr>
      <w:r>
        <w:rPr>
          <w:color w:val="000000"/>
        </w:rPr>
        <w:t>This schedule covers:</w:t>
      </w:r>
    </w:p>
    <w:p w14:paraId="3F7057ED" w14:textId="77777777" w:rsidR="007960A8" w:rsidRDefault="007960A8">
      <w:pPr>
        <w:pBdr>
          <w:top w:val="nil"/>
          <w:left w:val="nil"/>
          <w:bottom w:val="nil"/>
          <w:right w:val="nil"/>
          <w:between w:val="nil"/>
        </w:pBdr>
        <w:rPr>
          <w:color w:val="000000"/>
          <w:sz w:val="20"/>
          <w:szCs w:val="20"/>
        </w:rPr>
      </w:pPr>
    </w:p>
    <w:p w14:paraId="53EA084C" w14:textId="77777777" w:rsidR="007960A8" w:rsidRDefault="00A26397">
      <w:pPr>
        <w:numPr>
          <w:ilvl w:val="3"/>
          <w:numId w:val="13"/>
        </w:numPr>
        <w:pBdr>
          <w:top w:val="nil"/>
          <w:left w:val="nil"/>
          <w:bottom w:val="nil"/>
          <w:right w:val="nil"/>
          <w:between w:val="nil"/>
        </w:pBdr>
        <w:tabs>
          <w:tab w:val="left" w:pos="3101"/>
        </w:tabs>
        <w:ind w:right="219" w:hanging="1081"/>
        <w:jc w:val="both"/>
        <w:rPr>
          <w:color w:val="000000"/>
        </w:rPr>
      </w:pPr>
      <w:r>
        <w:rPr>
          <w:color w:val="000000"/>
        </w:rPr>
        <w:t xml:space="preserve">principles of protective security to be applied in carrying out of the </w:t>
      </w:r>
      <w:r>
        <w:rPr>
          <w:i/>
          <w:iCs/>
          <w:color w:val="000000"/>
        </w:rPr>
        <w:t>service</w:t>
      </w:r>
      <w:r>
        <w:rPr>
          <w:color w:val="000000"/>
        </w:rPr>
        <w:t>;</w:t>
      </w:r>
    </w:p>
    <w:p w14:paraId="544D2659" w14:textId="77777777" w:rsidR="007960A8" w:rsidRDefault="007960A8">
      <w:pPr>
        <w:pBdr>
          <w:top w:val="nil"/>
          <w:left w:val="nil"/>
          <w:bottom w:val="nil"/>
          <w:right w:val="nil"/>
          <w:between w:val="nil"/>
        </w:pBdr>
        <w:spacing w:before="11"/>
        <w:rPr>
          <w:color w:val="000000"/>
          <w:sz w:val="20"/>
          <w:szCs w:val="20"/>
        </w:rPr>
      </w:pPr>
    </w:p>
    <w:p w14:paraId="2EC4FCE6" w14:textId="77777777" w:rsidR="007960A8" w:rsidRDefault="00A26397">
      <w:pPr>
        <w:numPr>
          <w:ilvl w:val="3"/>
          <w:numId w:val="13"/>
        </w:numPr>
        <w:pBdr>
          <w:top w:val="nil"/>
          <w:left w:val="nil"/>
          <w:bottom w:val="nil"/>
          <w:right w:val="nil"/>
          <w:between w:val="nil"/>
        </w:pBdr>
        <w:tabs>
          <w:tab w:val="left" w:pos="3101"/>
        </w:tabs>
        <w:ind w:hanging="1081"/>
        <w:rPr>
          <w:color w:val="000000"/>
        </w:rPr>
      </w:pPr>
      <w:r>
        <w:rPr>
          <w:color w:val="000000"/>
        </w:rPr>
        <w:t xml:space="preserve">wider aspects of security relating to carrying out of the </w:t>
      </w:r>
      <w:r>
        <w:rPr>
          <w:i/>
          <w:iCs/>
          <w:color w:val="000000"/>
        </w:rPr>
        <w:t>service</w:t>
      </w:r>
      <w:r>
        <w:rPr>
          <w:color w:val="000000"/>
        </w:rPr>
        <w:t>;</w:t>
      </w:r>
    </w:p>
    <w:p w14:paraId="5626D1DB" w14:textId="77777777" w:rsidR="007960A8" w:rsidRDefault="007960A8">
      <w:pPr>
        <w:pBdr>
          <w:top w:val="nil"/>
          <w:left w:val="nil"/>
          <w:bottom w:val="nil"/>
          <w:right w:val="nil"/>
          <w:between w:val="nil"/>
        </w:pBdr>
        <w:spacing w:before="9"/>
        <w:rPr>
          <w:color w:val="000000"/>
          <w:sz w:val="20"/>
          <w:szCs w:val="20"/>
        </w:rPr>
      </w:pPr>
    </w:p>
    <w:p w14:paraId="2A4D9148" w14:textId="77777777" w:rsidR="007960A8" w:rsidRDefault="00A26397">
      <w:pPr>
        <w:numPr>
          <w:ilvl w:val="3"/>
          <w:numId w:val="13"/>
        </w:numPr>
        <w:pBdr>
          <w:top w:val="nil"/>
          <w:left w:val="nil"/>
          <w:bottom w:val="nil"/>
          <w:right w:val="nil"/>
          <w:between w:val="nil"/>
        </w:pBdr>
        <w:tabs>
          <w:tab w:val="left" w:pos="3101"/>
        </w:tabs>
        <w:ind w:right="218" w:hanging="1081"/>
        <w:jc w:val="both"/>
        <w:rPr>
          <w:color w:val="000000"/>
        </w:rPr>
      </w:pPr>
      <w:r>
        <w:rPr>
          <w:color w:val="000000"/>
        </w:rPr>
        <w:t>the development, implementation, operation, maintenance and continual improvement of an ISMS;</w:t>
      </w:r>
    </w:p>
    <w:p w14:paraId="7CCB3F02" w14:textId="77777777" w:rsidR="007960A8" w:rsidRDefault="007960A8">
      <w:pPr>
        <w:pBdr>
          <w:top w:val="nil"/>
          <w:left w:val="nil"/>
          <w:bottom w:val="nil"/>
          <w:right w:val="nil"/>
          <w:between w:val="nil"/>
        </w:pBdr>
        <w:spacing w:before="10"/>
        <w:rPr>
          <w:color w:val="000000"/>
          <w:sz w:val="20"/>
          <w:szCs w:val="20"/>
        </w:rPr>
      </w:pPr>
    </w:p>
    <w:p w14:paraId="1C3D3759" w14:textId="77777777" w:rsidR="007960A8" w:rsidRDefault="00A26397">
      <w:pPr>
        <w:numPr>
          <w:ilvl w:val="3"/>
          <w:numId w:val="13"/>
        </w:numPr>
        <w:pBdr>
          <w:top w:val="nil"/>
          <w:left w:val="nil"/>
          <w:bottom w:val="nil"/>
          <w:right w:val="nil"/>
          <w:between w:val="nil"/>
        </w:pBdr>
        <w:tabs>
          <w:tab w:val="left" w:pos="3101"/>
        </w:tabs>
        <w:ind w:right="218" w:hanging="1081"/>
        <w:jc w:val="both"/>
        <w:rPr>
          <w:color w:val="000000"/>
        </w:rPr>
      </w:pPr>
      <w:r>
        <w:rPr>
          <w:color w:val="000000"/>
        </w:rPr>
        <w:t>the creation and maintenance of the Security Management Plan;</w:t>
      </w:r>
    </w:p>
    <w:p w14:paraId="7381227A" w14:textId="77777777" w:rsidR="007960A8" w:rsidRDefault="007960A8">
      <w:pPr>
        <w:pBdr>
          <w:top w:val="nil"/>
          <w:left w:val="nil"/>
          <w:bottom w:val="nil"/>
          <w:right w:val="nil"/>
          <w:between w:val="nil"/>
        </w:pBdr>
        <w:spacing w:before="11"/>
        <w:rPr>
          <w:color w:val="000000"/>
          <w:sz w:val="20"/>
          <w:szCs w:val="20"/>
        </w:rPr>
      </w:pPr>
    </w:p>
    <w:p w14:paraId="3C1497A9" w14:textId="77777777" w:rsidR="007960A8" w:rsidRDefault="00A26397">
      <w:pPr>
        <w:numPr>
          <w:ilvl w:val="3"/>
          <w:numId w:val="13"/>
        </w:numPr>
        <w:pBdr>
          <w:top w:val="nil"/>
          <w:left w:val="nil"/>
          <w:bottom w:val="nil"/>
          <w:right w:val="nil"/>
          <w:between w:val="nil"/>
        </w:pBdr>
        <w:tabs>
          <w:tab w:val="left" w:pos="3101"/>
        </w:tabs>
        <w:ind w:right="218" w:hanging="1081"/>
        <w:jc w:val="both"/>
        <w:rPr>
          <w:color w:val="000000"/>
        </w:rPr>
      </w:pPr>
      <w:r>
        <w:rPr>
          <w:color w:val="000000"/>
        </w:rPr>
        <w:t>audit and testing of ISMS compliance with the Security Requirements;</w:t>
      </w:r>
    </w:p>
    <w:p w14:paraId="7D0AF340" w14:textId="77777777" w:rsidR="007960A8" w:rsidRDefault="007960A8">
      <w:pPr>
        <w:pBdr>
          <w:top w:val="nil"/>
          <w:left w:val="nil"/>
          <w:bottom w:val="nil"/>
          <w:right w:val="nil"/>
          <w:between w:val="nil"/>
        </w:pBdr>
        <w:spacing w:before="11"/>
        <w:rPr>
          <w:color w:val="000000"/>
          <w:sz w:val="20"/>
          <w:szCs w:val="20"/>
        </w:rPr>
      </w:pPr>
    </w:p>
    <w:p w14:paraId="2822DBAF" w14:textId="77777777" w:rsidR="007960A8" w:rsidRDefault="00A26397">
      <w:pPr>
        <w:numPr>
          <w:ilvl w:val="3"/>
          <w:numId w:val="13"/>
        </w:numPr>
        <w:pBdr>
          <w:top w:val="nil"/>
          <w:left w:val="nil"/>
          <w:bottom w:val="nil"/>
          <w:right w:val="nil"/>
          <w:between w:val="nil"/>
        </w:pBdr>
        <w:tabs>
          <w:tab w:val="left" w:pos="3101"/>
        </w:tabs>
        <w:ind w:right="215" w:hanging="1081"/>
        <w:jc w:val="both"/>
        <w:rPr>
          <w:color w:val="000000"/>
        </w:rPr>
      </w:pPr>
      <w:r>
        <w:rPr>
          <w:color w:val="000000"/>
        </w:rPr>
        <w:t>conformance to ISO/IEC 27001 (Information Security Requirements Specification) and ISO/IEC27002 (Information Security Code of Practice) and;</w:t>
      </w:r>
    </w:p>
    <w:p w14:paraId="5C527EBF" w14:textId="77777777" w:rsidR="007960A8" w:rsidRDefault="007960A8">
      <w:pPr>
        <w:pBdr>
          <w:top w:val="nil"/>
          <w:left w:val="nil"/>
          <w:bottom w:val="nil"/>
          <w:right w:val="nil"/>
          <w:between w:val="nil"/>
        </w:pBdr>
        <w:spacing w:before="9"/>
        <w:rPr>
          <w:color w:val="000000"/>
          <w:sz w:val="20"/>
          <w:szCs w:val="20"/>
        </w:rPr>
      </w:pPr>
    </w:p>
    <w:p w14:paraId="63D54BBD" w14:textId="77777777" w:rsidR="007960A8" w:rsidRDefault="00A26397">
      <w:pPr>
        <w:numPr>
          <w:ilvl w:val="3"/>
          <w:numId w:val="13"/>
        </w:numPr>
        <w:pBdr>
          <w:top w:val="nil"/>
          <w:left w:val="nil"/>
          <w:bottom w:val="nil"/>
          <w:right w:val="nil"/>
          <w:between w:val="nil"/>
        </w:pBdr>
        <w:tabs>
          <w:tab w:val="left" w:pos="3101"/>
        </w:tabs>
        <w:ind w:right="215" w:hanging="1081"/>
        <w:jc w:val="both"/>
        <w:rPr>
          <w:color w:val="000000"/>
        </w:rPr>
      </w:pPr>
      <w:r>
        <w:rPr>
          <w:color w:val="000000"/>
        </w:rPr>
        <w:t>obligations in the event of actual, potential or attempted breaches of security.</w:t>
      </w:r>
    </w:p>
    <w:p w14:paraId="08C77026" w14:textId="77777777" w:rsidR="007960A8" w:rsidRDefault="007960A8">
      <w:pPr>
        <w:pBdr>
          <w:top w:val="nil"/>
          <w:left w:val="nil"/>
          <w:bottom w:val="nil"/>
          <w:right w:val="nil"/>
          <w:between w:val="nil"/>
        </w:pBdr>
        <w:spacing w:before="11"/>
        <w:rPr>
          <w:color w:val="000000"/>
          <w:sz w:val="20"/>
          <w:szCs w:val="20"/>
        </w:rPr>
      </w:pPr>
    </w:p>
    <w:p w14:paraId="66261727" w14:textId="77777777" w:rsidR="007960A8" w:rsidRDefault="00A26397">
      <w:pPr>
        <w:numPr>
          <w:ilvl w:val="1"/>
          <w:numId w:val="23"/>
        </w:numPr>
        <w:pBdr>
          <w:top w:val="nil"/>
          <w:left w:val="nil"/>
          <w:bottom w:val="nil"/>
          <w:right w:val="nil"/>
          <w:between w:val="nil"/>
        </w:pBdr>
        <w:tabs>
          <w:tab w:val="left" w:pos="941"/>
        </w:tabs>
        <w:ind w:hanging="721"/>
        <w:rPr>
          <w:color w:val="000000"/>
        </w:rPr>
      </w:pPr>
      <w:bookmarkStart w:id="1" w:name="_heading=h.oh4r7vw5egyt" w:colFirst="0" w:colLast="0"/>
      <w:bookmarkEnd w:id="1"/>
      <w:r>
        <w:rPr>
          <w:color w:val="000000"/>
        </w:rPr>
        <w:t>Principles of Security</w:t>
      </w:r>
    </w:p>
    <w:p w14:paraId="5E531998" w14:textId="77777777" w:rsidR="007960A8" w:rsidRDefault="007960A8">
      <w:pPr>
        <w:pBdr>
          <w:top w:val="nil"/>
          <w:left w:val="nil"/>
          <w:bottom w:val="nil"/>
          <w:right w:val="nil"/>
          <w:between w:val="nil"/>
        </w:pBdr>
        <w:spacing w:before="9"/>
        <w:rPr>
          <w:color w:val="000000"/>
          <w:sz w:val="20"/>
          <w:szCs w:val="20"/>
        </w:rPr>
      </w:pPr>
    </w:p>
    <w:p w14:paraId="3509C1AC" w14:textId="77777777" w:rsidR="007960A8" w:rsidRDefault="00A26397">
      <w:pPr>
        <w:numPr>
          <w:ilvl w:val="2"/>
          <w:numId w:val="2"/>
        </w:numPr>
        <w:pBdr>
          <w:top w:val="nil"/>
          <w:left w:val="nil"/>
          <w:bottom w:val="nil"/>
          <w:right w:val="nil"/>
          <w:between w:val="nil"/>
        </w:pBdr>
        <w:tabs>
          <w:tab w:val="left" w:pos="2021"/>
        </w:tabs>
        <w:ind w:right="214"/>
        <w:jc w:val="both"/>
        <w:rPr>
          <w:color w:val="000000"/>
        </w:rPr>
      </w:pPr>
      <w:r>
        <w:rPr>
          <w:color w:val="000000"/>
        </w:rPr>
        <w:t xml:space="preserve">The </w:t>
      </w:r>
      <w:r>
        <w:rPr>
          <w:i/>
          <w:iCs/>
          <w:color w:val="000000"/>
        </w:rPr>
        <w:t xml:space="preserve">Service Provider </w:t>
      </w:r>
      <w:r>
        <w:rPr>
          <w:color w:val="000000"/>
        </w:rPr>
        <w:t xml:space="preserve">acknowledges that the </w:t>
      </w:r>
      <w:r>
        <w:rPr>
          <w:i/>
          <w:iCs/>
          <w:color w:val="000000"/>
        </w:rPr>
        <w:t xml:space="preserve">Client </w:t>
      </w:r>
      <w:r>
        <w:rPr>
          <w:color w:val="000000"/>
        </w:rPr>
        <w:t>places great emphasis on the confidentiality, integrity and availability of information and consequently on the security provided by the ISMS.</w:t>
      </w:r>
    </w:p>
    <w:p w14:paraId="5257BB13" w14:textId="77777777" w:rsidR="007960A8" w:rsidRDefault="007960A8">
      <w:pPr>
        <w:pBdr>
          <w:top w:val="nil"/>
          <w:left w:val="nil"/>
          <w:bottom w:val="nil"/>
          <w:right w:val="nil"/>
          <w:between w:val="nil"/>
        </w:pBdr>
        <w:spacing w:before="9"/>
        <w:rPr>
          <w:color w:val="000000"/>
          <w:sz w:val="20"/>
          <w:szCs w:val="20"/>
        </w:rPr>
      </w:pPr>
    </w:p>
    <w:p w14:paraId="0AB0AEB5" w14:textId="77777777" w:rsidR="007960A8" w:rsidRDefault="00A26397">
      <w:pPr>
        <w:numPr>
          <w:ilvl w:val="2"/>
          <w:numId w:val="2"/>
        </w:numPr>
        <w:pBdr>
          <w:top w:val="nil"/>
          <w:left w:val="nil"/>
          <w:bottom w:val="nil"/>
          <w:right w:val="nil"/>
          <w:between w:val="nil"/>
        </w:pBdr>
        <w:tabs>
          <w:tab w:val="left" w:pos="2021"/>
        </w:tabs>
        <w:spacing w:before="1"/>
        <w:ind w:right="218"/>
        <w:jc w:val="both"/>
        <w:rPr>
          <w:color w:val="000000"/>
        </w:rPr>
      </w:pPr>
      <w:bookmarkStart w:id="2" w:name="_heading=h.ckc3wxq588or" w:colFirst="0" w:colLast="0"/>
      <w:bookmarkEnd w:id="2"/>
      <w:r>
        <w:rPr>
          <w:color w:val="000000"/>
        </w:rPr>
        <w:t xml:space="preserve">The </w:t>
      </w:r>
      <w:r>
        <w:rPr>
          <w:i/>
          <w:iCs/>
          <w:color w:val="000000"/>
        </w:rPr>
        <w:t xml:space="preserve">Service Provider </w:t>
      </w:r>
      <w:r>
        <w:rPr>
          <w:color w:val="000000"/>
        </w:rPr>
        <w:t>shall be responsible for the effective performance of the ISMS and shall at all times provide a level of security which:</w:t>
      </w:r>
    </w:p>
    <w:p w14:paraId="372B1153" w14:textId="77777777" w:rsidR="007960A8" w:rsidRDefault="007960A8">
      <w:pPr>
        <w:pBdr>
          <w:top w:val="nil"/>
          <w:left w:val="nil"/>
          <w:bottom w:val="nil"/>
          <w:right w:val="nil"/>
          <w:between w:val="nil"/>
        </w:pBdr>
        <w:spacing w:before="10"/>
        <w:rPr>
          <w:color w:val="000000"/>
          <w:sz w:val="20"/>
          <w:szCs w:val="20"/>
        </w:rPr>
      </w:pPr>
    </w:p>
    <w:p w14:paraId="0A446024" w14:textId="77777777" w:rsidR="007960A8" w:rsidRDefault="00A26397">
      <w:pPr>
        <w:numPr>
          <w:ilvl w:val="3"/>
          <w:numId w:val="2"/>
        </w:numPr>
        <w:pBdr>
          <w:top w:val="nil"/>
          <w:left w:val="nil"/>
          <w:bottom w:val="nil"/>
          <w:right w:val="nil"/>
          <w:between w:val="nil"/>
        </w:pBdr>
        <w:tabs>
          <w:tab w:val="left" w:pos="3101"/>
        </w:tabs>
        <w:ind w:right="213" w:hanging="1081"/>
        <w:jc w:val="both"/>
        <w:rPr>
          <w:color w:val="000000"/>
        </w:rPr>
      </w:pPr>
      <w:r>
        <w:rPr>
          <w:color w:val="000000"/>
        </w:rPr>
        <w:t xml:space="preserve">is in accordance with Good Industry Practice, the </w:t>
      </w:r>
      <w:r>
        <w:rPr>
          <w:i/>
          <w:iCs/>
          <w:color w:val="000000"/>
        </w:rPr>
        <w:t xml:space="preserve">law of the contract </w:t>
      </w:r>
      <w:r>
        <w:rPr>
          <w:color w:val="000000"/>
        </w:rPr>
        <w:t>and this contract;</w:t>
      </w:r>
    </w:p>
    <w:p w14:paraId="7C290763" w14:textId="77777777" w:rsidR="007960A8" w:rsidRDefault="007960A8">
      <w:pPr>
        <w:pBdr>
          <w:top w:val="nil"/>
          <w:left w:val="nil"/>
          <w:bottom w:val="nil"/>
          <w:right w:val="nil"/>
          <w:between w:val="nil"/>
        </w:pBdr>
        <w:spacing w:before="10"/>
        <w:rPr>
          <w:color w:val="000000"/>
          <w:sz w:val="20"/>
          <w:szCs w:val="20"/>
        </w:rPr>
      </w:pPr>
    </w:p>
    <w:p w14:paraId="4D0D57A7" w14:textId="77777777" w:rsidR="007960A8" w:rsidRDefault="00A26397">
      <w:pPr>
        <w:numPr>
          <w:ilvl w:val="3"/>
          <w:numId w:val="2"/>
        </w:numPr>
        <w:pBdr>
          <w:top w:val="nil"/>
          <w:left w:val="nil"/>
          <w:bottom w:val="nil"/>
          <w:right w:val="nil"/>
          <w:between w:val="nil"/>
        </w:pBdr>
        <w:tabs>
          <w:tab w:val="left" w:pos="3101"/>
        </w:tabs>
        <w:spacing w:before="1"/>
        <w:ind w:hanging="1081"/>
        <w:rPr>
          <w:color w:val="000000"/>
        </w:rPr>
      </w:pPr>
      <w:bookmarkStart w:id="3" w:name="_heading=h.45oyw78xlykk" w:colFirst="0" w:colLast="0"/>
      <w:bookmarkEnd w:id="3"/>
      <w:r>
        <w:rPr>
          <w:color w:val="000000"/>
        </w:rPr>
        <w:t>complies with the Security Policy;</w:t>
      </w:r>
    </w:p>
    <w:p w14:paraId="13E870B8" w14:textId="77777777" w:rsidR="007960A8" w:rsidRDefault="007960A8">
      <w:pPr>
        <w:pBdr>
          <w:top w:val="nil"/>
          <w:left w:val="nil"/>
          <w:bottom w:val="nil"/>
          <w:right w:val="nil"/>
          <w:between w:val="nil"/>
        </w:pBdr>
        <w:spacing w:before="8"/>
        <w:rPr>
          <w:color w:val="000000"/>
          <w:sz w:val="20"/>
          <w:szCs w:val="20"/>
        </w:rPr>
      </w:pPr>
    </w:p>
    <w:p w14:paraId="57390E85" w14:textId="77777777" w:rsidR="007960A8" w:rsidRDefault="00A26397">
      <w:pPr>
        <w:numPr>
          <w:ilvl w:val="3"/>
          <w:numId w:val="2"/>
        </w:numPr>
        <w:pBdr>
          <w:top w:val="nil"/>
          <w:left w:val="nil"/>
          <w:bottom w:val="nil"/>
          <w:right w:val="nil"/>
          <w:between w:val="nil"/>
        </w:pBdr>
        <w:tabs>
          <w:tab w:val="left" w:pos="3101"/>
        </w:tabs>
        <w:spacing w:before="1"/>
        <w:ind w:right="215" w:hanging="1081"/>
        <w:jc w:val="both"/>
        <w:rPr>
          <w:color w:val="000000"/>
        </w:rPr>
      </w:pPr>
      <w:r>
        <w:rPr>
          <w:color w:val="000000"/>
        </w:rPr>
        <w:t>complies with at least the minimum set of security measures and standards as determined by the Security Policy Framework (Tiers 1-4) available from the Cabinet Office Security Policy Division (COSPD);</w:t>
      </w:r>
    </w:p>
    <w:p w14:paraId="42EEEFB0" w14:textId="77777777" w:rsidR="007960A8" w:rsidRDefault="007960A8">
      <w:pPr>
        <w:pBdr>
          <w:top w:val="nil"/>
          <w:left w:val="nil"/>
          <w:bottom w:val="nil"/>
          <w:right w:val="nil"/>
          <w:between w:val="nil"/>
        </w:pBdr>
        <w:spacing w:before="10"/>
        <w:rPr>
          <w:color w:val="000000"/>
          <w:sz w:val="20"/>
          <w:szCs w:val="20"/>
        </w:rPr>
      </w:pPr>
    </w:p>
    <w:p w14:paraId="636E17F0" w14:textId="77777777" w:rsidR="007960A8" w:rsidRDefault="00A26397">
      <w:pPr>
        <w:numPr>
          <w:ilvl w:val="3"/>
          <w:numId w:val="2"/>
        </w:numPr>
        <w:pBdr>
          <w:top w:val="nil"/>
          <w:left w:val="nil"/>
          <w:bottom w:val="nil"/>
          <w:right w:val="nil"/>
          <w:between w:val="nil"/>
        </w:pBdr>
        <w:tabs>
          <w:tab w:val="left" w:pos="3101"/>
        </w:tabs>
        <w:spacing w:before="1"/>
        <w:ind w:hanging="1081"/>
        <w:rPr>
          <w:color w:val="000000"/>
        </w:rPr>
      </w:pPr>
      <w:r>
        <w:rPr>
          <w:color w:val="000000"/>
        </w:rPr>
        <w:t>meets any specific security threats to the ISMS; and</w:t>
      </w:r>
    </w:p>
    <w:p w14:paraId="11994CB3" w14:textId="77777777" w:rsidR="007960A8" w:rsidRDefault="007960A8">
      <w:pPr>
        <w:pBdr>
          <w:top w:val="nil"/>
          <w:left w:val="nil"/>
          <w:bottom w:val="nil"/>
          <w:right w:val="nil"/>
          <w:between w:val="nil"/>
        </w:pBdr>
        <w:spacing w:before="8"/>
        <w:rPr>
          <w:color w:val="000000"/>
          <w:sz w:val="20"/>
          <w:szCs w:val="20"/>
        </w:rPr>
      </w:pPr>
    </w:p>
    <w:p w14:paraId="412021D4" w14:textId="77777777" w:rsidR="007960A8" w:rsidRDefault="00A26397">
      <w:pPr>
        <w:numPr>
          <w:ilvl w:val="3"/>
          <w:numId w:val="2"/>
        </w:numPr>
        <w:pBdr>
          <w:top w:val="nil"/>
          <w:left w:val="nil"/>
          <w:bottom w:val="nil"/>
          <w:right w:val="nil"/>
          <w:between w:val="nil"/>
        </w:pBdr>
        <w:tabs>
          <w:tab w:val="left" w:pos="3101"/>
        </w:tabs>
        <w:spacing w:before="1" w:line="242" w:lineRule="auto"/>
        <w:ind w:right="215" w:hanging="1081"/>
        <w:jc w:val="both"/>
        <w:rPr>
          <w:color w:val="000000"/>
        </w:rPr>
      </w:pPr>
      <w:r>
        <w:rPr>
          <w:color w:val="000000"/>
        </w:rPr>
        <w:t xml:space="preserve">complies with ISO/IEC27001 and ISO/IEC27002 in accordance with paragraph </w:t>
      </w:r>
      <w:hyperlink w:anchor="bookmark=id.pmhbfjwixy8b">
        <w:r>
          <w:rPr>
            <w:color w:val="000000"/>
          </w:rPr>
          <w:t xml:space="preserve">1.3.2 </w:t>
        </w:r>
      </w:hyperlink>
      <w:r>
        <w:rPr>
          <w:color w:val="000000"/>
        </w:rPr>
        <w:t>of this schedule;</w:t>
      </w:r>
    </w:p>
    <w:p w14:paraId="08BEA1B4" w14:textId="77777777" w:rsidR="007960A8" w:rsidRDefault="007960A8">
      <w:pPr>
        <w:pBdr>
          <w:top w:val="nil"/>
          <w:left w:val="nil"/>
          <w:bottom w:val="nil"/>
          <w:right w:val="nil"/>
          <w:between w:val="nil"/>
        </w:pBdr>
        <w:spacing w:before="5"/>
        <w:rPr>
          <w:color w:val="000000"/>
          <w:sz w:val="20"/>
          <w:szCs w:val="20"/>
        </w:rPr>
      </w:pPr>
    </w:p>
    <w:p w14:paraId="144E2825" w14:textId="77777777" w:rsidR="007960A8" w:rsidRDefault="00A26397">
      <w:pPr>
        <w:numPr>
          <w:ilvl w:val="3"/>
          <w:numId w:val="2"/>
        </w:numPr>
        <w:pBdr>
          <w:top w:val="nil"/>
          <w:left w:val="nil"/>
          <w:bottom w:val="nil"/>
          <w:right w:val="nil"/>
          <w:between w:val="nil"/>
        </w:pBdr>
        <w:tabs>
          <w:tab w:val="left" w:pos="3101"/>
        </w:tabs>
        <w:spacing w:before="1"/>
        <w:ind w:hanging="1081"/>
        <w:rPr>
          <w:color w:val="000000"/>
        </w:rPr>
      </w:pPr>
      <w:r>
        <w:rPr>
          <w:color w:val="000000"/>
        </w:rPr>
        <w:t>complies with the Security Requirements; and</w:t>
      </w:r>
    </w:p>
    <w:p w14:paraId="1566DE4C" w14:textId="77777777" w:rsidR="007960A8" w:rsidRDefault="007960A8">
      <w:pPr>
        <w:pBdr>
          <w:top w:val="nil"/>
          <w:left w:val="nil"/>
          <w:bottom w:val="nil"/>
          <w:right w:val="nil"/>
          <w:between w:val="nil"/>
        </w:pBdr>
        <w:spacing w:before="11"/>
        <w:rPr>
          <w:color w:val="000000"/>
          <w:sz w:val="20"/>
          <w:szCs w:val="20"/>
        </w:rPr>
      </w:pPr>
    </w:p>
    <w:p w14:paraId="266ACEB2" w14:textId="77777777" w:rsidR="007960A8" w:rsidRDefault="00A26397">
      <w:pPr>
        <w:numPr>
          <w:ilvl w:val="3"/>
          <w:numId w:val="2"/>
        </w:numPr>
        <w:pBdr>
          <w:top w:val="nil"/>
          <w:left w:val="nil"/>
          <w:bottom w:val="nil"/>
          <w:right w:val="nil"/>
          <w:between w:val="nil"/>
        </w:pBdr>
        <w:tabs>
          <w:tab w:val="left" w:pos="3101"/>
        </w:tabs>
        <w:ind w:hanging="1081"/>
        <w:rPr>
          <w:color w:val="000000"/>
        </w:rPr>
      </w:pPr>
      <w:r>
        <w:rPr>
          <w:color w:val="000000"/>
        </w:rPr>
        <w:t xml:space="preserve">complies with the </w:t>
      </w:r>
      <w:r>
        <w:rPr>
          <w:i/>
          <w:iCs/>
          <w:color w:val="000000"/>
        </w:rPr>
        <w:t>Client</w:t>
      </w:r>
      <w:r>
        <w:rPr>
          <w:color w:val="000000"/>
        </w:rPr>
        <w:t>’s ICT standards.</w:t>
      </w:r>
    </w:p>
    <w:p w14:paraId="6A884845" w14:textId="77777777" w:rsidR="007960A8" w:rsidRDefault="007960A8">
      <w:pPr>
        <w:pBdr>
          <w:top w:val="nil"/>
          <w:left w:val="nil"/>
          <w:bottom w:val="nil"/>
          <w:right w:val="nil"/>
          <w:between w:val="nil"/>
        </w:pBdr>
        <w:spacing w:before="9"/>
        <w:rPr>
          <w:color w:val="000000"/>
          <w:sz w:val="20"/>
          <w:szCs w:val="20"/>
        </w:rPr>
      </w:pPr>
    </w:p>
    <w:p w14:paraId="09497575" w14:textId="77777777" w:rsidR="007960A8" w:rsidRDefault="00A26397">
      <w:pPr>
        <w:numPr>
          <w:ilvl w:val="2"/>
          <w:numId w:val="2"/>
        </w:numPr>
        <w:pBdr>
          <w:top w:val="nil"/>
          <w:left w:val="nil"/>
          <w:bottom w:val="nil"/>
          <w:right w:val="nil"/>
          <w:between w:val="nil"/>
        </w:pBdr>
        <w:tabs>
          <w:tab w:val="left" w:pos="1080"/>
        </w:tabs>
        <w:ind w:right="215" w:hanging="2021"/>
        <w:jc w:val="right"/>
        <w:rPr>
          <w:color w:val="000000"/>
        </w:rPr>
      </w:pPr>
      <w:r>
        <w:rPr>
          <w:color w:val="000000"/>
        </w:rPr>
        <w:t>The references to standards, guidance and policies set out in paragraph</w:t>
      </w:r>
    </w:p>
    <w:p w14:paraId="622BBCAE" w14:textId="77777777" w:rsidR="007960A8" w:rsidRDefault="00A26397">
      <w:pPr>
        <w:pBdr>
          <w:top w:val="nil"/>
          <w:left w:val="nil"/>
          <w:bottom w:val="nil"/>
          <w:right w:val="nil"/>
          <w:between w:val="nil"/>
        </w:pBdr>
        <w:spacing w:before="1"/>
        <w:ind w:right="221"/>
        <w:jc w:val="right"/>
        <w:rPr>
          <w:color w:val="000000"/>
        </w:rPr>
      </w:pPr>
      <w:hyperlink w:anchor="bookmark=id.5pyr2wo347k2">
        <w:r>
          <w:rPr>
            <w:color w:val="000000"/>
          </w:rPr>
          <w:t xml:space="preserve">1.3.2.2 </w:t>
        </w:r>
      </w:hyperlink>
      <w:r>
        <w:rPr>
          <w:color w:val="000000"/>
        </w:rPr>
        <w:t>shall be deemed to be references to such items as developed and</w:t>
      </w:r>
    </w:p>
    <w:p w14:paraId="42F23B5F" w14:textId="77777777" w:rsidR="007960A8" w:rsidRDefault="00A26397">
      <w:pPr>
        <w:pBdr>
          <w:top w:val="nil"/>
          <w:left w:val="nil"/>
          <w:bottom w:val="nil"/>
          <w:right w:val="nil"/>
          <w:between w:val="nil"/>
        </w:pBdr>
        <w:ind w:left="2020"/>
        <w:rPr>
          <w:color w:val="000000"/>
        </w:rPr>
      </w:pPr>
      <w:r>
        <w:rPr>
          <w:color w:val="000000"/>
        </w:rPr>
        <w:t>updated and to any successor to or replacement for such standards, guidance and policies, from time to time.</w:t>
      </w:r>
    </w:p>
    <w:p w14:paraId="61DC9562" w14:textId="77777777" w:rsidR="007960A8" w:rsidRDefault="007960A8">
      <w:pPr>
        <w:pBdr>
          <w:top w:val="nil"/>
          <w:left w:val="nil"/>
          <w:bottom w:val="nil"/>
          <w:right w:val="nil"/>
          <w:between w:val="nil"/>
        </w:pBdr>
        <w:spacing w:before="11"/>
        <w:rPr>
          <w:color w:val="000000"/>
          <w:sz w:val="20"/>
          <w:szCs w:val="20"/>
        </w:rPr>
      </w:pPr>
    </w:p>
    <w:p w14:paraId="665BC3B0" w14:textId="77777777" w:rsidR="007960A8" w:rsidRDefault="00A26397">
      <w:pPr>
        <w:numPr>
          <w:ilvl w:val="2"/>
          <w:numId w:val="2"/>
        </w:numPr>
        <w:pBdr>
          <w:top w:val="nil"/>
          <w:left w:val="nil"/>
          <w:bottom w:val="nil"/>
          <w:right w:val="nil"/>
          <w:between w:val="nil"/>
        </w:pBdr>
        <w:tabs>
          <w:tab w:val="left" w:pos="2021"/>
        </w:tabs>
        <w:ind w:right="212"/>
        <w:jc w:val="both"/>
        <w:rPr>
          <w:color w:val="000000"/>
        </w:rPr>
      </w:pPr>
      <w:r>
        <w:rPr>
          <w:color w:val="000000"/>
        </w:rPr>
        <w:t xml:space="preserve">In the event of any inconsistency in the provisions of the above standards, guidance and policies, the </w:t>
      </w:r>
      <w:r>
        <w:rPr>
          <w:i/>
          <w:iCs/>
          <w:color w:val="000000"/>
        </w:rPr>
        <w:t xml:space="preserve">Service Provider </w:t>
      </w:r>
      <w:r>
        <w:rPr>
          <w:color w:val="000000"/>
        </w:rPr>
        <w:t xml:space="preserve">gives an early warning to the </w:t>
      </w:r>
      <w:r>
        <w:rPr>
          <w:i/>
          <w:iCs/>
          <w:color w:val="000000"/>
        </w:rPr>
        <w:t xml:space="preserve">Client’s Agent/Service Manager </w:t>
      </w:r>
      <w:r>
        <w:rPr>
          <w:color w:val="000000"/>
        </w:rPr>
        <w:t xml:space="preserve">of such inconsistency immediately upon becoming aware of the same, and the </w:t>
      </w:r>
      <w:r>
        <w:rPr>
          <w:i/>
          <w:iCs/>
          <w:color w:val="000000"/>
        </w:rPr>
        <w:t xml:space="preserve">Client’s Agent/Service Manager </w:t>
      </w:r>
      <w:r>
        <w:rPr>
          <w:color w:val="000000"/>
        </w:rPr>
        <w:t xml:space="preserve">shall, as soon as practicable, advise the </w:t>
      </w:r>
      <w:r>
        <w:rPr>
          <w:i/>
          <w:iCs/>
          <w:color w:val="000000"/>
        </w:rPr>
        <w:t xml:space="preserve">Service Provider </w:t>
      </w:r>
      <w:r>
        <w:rPr>
          <w:color w:val="000000"/>
        </w:rPr>
        <w:t xml:space="preserve">which provision the </w:t>
      </w:r>
      <w:r>
        <w:rPr>
          <w:i/>
          <w:iCs/>
          <w:color w:val="000000"/>
        </w:rPr>
        <w:t xml:space="preserve">Service Provider </w:t>
      </w:r>
      <w:r>
        <w:rPr>
          <w:color w:val="000000"/>
        </w:rPr>
        <w:t>shall be required to comply with.</w:t>
      </w:r>
    </w:p>
    <w:p w14:paraId="696F3723" w14:textId="77777777" w:rsidR="007960A8" w:rsidRDefault="007960A8">
      <w:pPr>
        <w:pBdr>
          <w:top w:val="nil"/>
          <w:left w:val="nil"/>
          <w:bottom w:val="nil"/>
          <w:right w:val="nil"/>
          <w:between w:val="nil"/>
        </w:pBdr>
        <w:spacing w:before="9"/>
        <w:rPr>
          <w:color w:val="000000"/>
          <w:sz w:val="20"/>
          <w:szCs w:val="20"/>
        </w:rPr>
      </w:pPr>
    </w:p>
    <w:p w14:paraId="6AA331BF" w14:textId="77777777" w:rsidR="007960A8" w:rsidRDefault="00A26397">
      <w:pPr>
        <w:numPr>
          <w:ilvl w:val="1"/>
          <w:numId w:val="23"/>
        </w:numPr>
        <w:pBdr>
          <w:top w:val="nil"/>
          <w:left w:val="nil"/>
          <w:bottom w:val="nil"/>
          <w:right w:val="nil"/>
          <w:between w:val="nil"/>
        </w:pBdr>
        <w:tabs>
          <w:tab w:val="left" w:pos="941"/>
        </w:tabs>
        <w:spacing w:before="1"/>
        <w:ind w:hanging="721"/>
        <w:rPr>
          <w:color w:val="000000"/>
        </w:rPr>
      </w:pPr>
      <w:r>
        <w:rPr>
          <w:color w:val="000000"/>
        </w:rPr>
        <w:t>ISMS and Security Management Plan</w:t>
      </w:r>
    </w:p>
    <w:p w14:paraId="11B86C25" w14:textId="77777777" w:rsidR="007960A8" w:rsidRDefault="007960A8">
      <w:pPr>
        <w:pBdr>
          <w:top w:val="nil"/>
          <w:left w:val="nil"/>
          <w:bottom w:val="nil"/>
          <w:right w:val="nil"/>
          <w:between w:val="nil"/>
        </w:pBdr>
        <w:spacing w:before="9"/>
        <w:rPr>
          <w:color w:val="000000"/>
          <w:sz w:val="20"/>
          <w:szCs w:val="20"/>
        </w:rPr>
      </w:pPr>
    </w:p>
    <w:p w14:paraId="6B196F4D" w14:textId="77777777" w:rsidR="007960A8" w:rsidRDefault="00A26397">
      <w:pPr>
        <w:numPr>
          <w:ilvl w:val="2"/>
          <w:numId w:val="115"/>
        </w:numPr>
        <w:pBdr>
          <w:top w:val="nil"/>
          <w:left w:val="nil"/>
          <w:bottom w:val="nil"/>
          <w:right w:val="nil"/>
          <w:between w:val="nil"/>
        </w:pBdr>
        <w:tabs>
          <w:tab w:val="left" w:pos="2021"/>
        </w:tabs>
        <w:ind w:hanging="1081"/>
        <w:rPr>
          <w:color w:val="000000"/>
        </w:rPr>
      </w:pPr>
      <w:r>
        <w:rPr>
          <w:color w:val="000000"/>
        </w:rPr>
        <w:t>Introduction:</w:t>
      </w:r>
    </w:p>
    <w:p w14:paraId="49CFCF17" w14:textId="77777777" w:rsidR="007960A8" w:rsidRDefault="007960A8">
      <w:pPr>
        <w:pBdr>
          <w:top w:val="nil"/>
          <w:left w:val="nil"/>
          <w:bottom w:val="nil"/>
          <w:right w:val="nil"/>
          <w:between w:val="nil"/>
        </w:pBdr>
        <w:rPr>
          <w:color w:val="000000"/>
          <w:sz w:val="21"/>
          <w:szCs w:val="21"/>
        </w:rPr>
      </w:pPr>
    </w:p>
    <w:p w14:paraId="44487168" w14:textId="77777777" w:rsidR="007960A8" w:rsidRDefault="00A26397">
      <w:pPr>
        <w:numPr>
          <w:ilvl w:val="3"/>
          <w:numId w:val="115"/>
        </w:numPr>
        <w:pBdr>
          <w:top w:val="nil"/>
          <w:left w:val="nil"/>
          <w:bottom w:val="nil"/>
          <w:right w:val="nil"/>
          <w:between w:val="nil"/>
        </w:pBdr>
        <w:tabs>
          <w:tab w:val="left" w:pos="3101"/>
        </w:tabs>
        <w:spacing w:line="360" w:lineRule="auto"/>
        <w:ind w:right="214" w:hanging="1081"/>
        <w:jc w:val="both"/>
        <w:rPr>
          <w:color w:val="000000"/>
        </w:rPr>
      </w:pPr>
      <w:bookmarkStart w:id="4" w:name="_heading=h.7ozq6j1c5j16" w:colFirst="0" w:colLast="0"/>
      <w:bookmarkEnd w:id="4"/>
      <w:r>
        <w:rPr>
          <w:color w:val="000000"/>
        </w:rPr>
        <w:t xml:space="preserve">The </w:t>
      </w:r>
      <w:r>
        <w:rPr>
          <w:i/>
          <w:iCs/>
          <w:color w:val="000000"/>
        </w:rPr>
        <w:t xml:space="preserve">Service Provider </w:t>
      </w:r>
      <w:r>
        <w:rPr>
          <w:color w:val="000000"/>
        </w:rPr>
        <w:t xml:space="preserve">shall develop, implement, operate, maintain and continuously improve and maintain an ISMS which will, without prejudice to paragraph </w:t>
      </w:r>
      <w:hyperlink w:anchor="bookmark=id.pmhbfjwixy8b">
        <w:r>
          <w:rPr>
            <w:color w:val="000000"/>
          </w:rPr>
          <w:t>1.3.2</w:t>
        </w:r>
      </w:hyperlink>
      <w:r>
        <w:rPr>
          <w:color w:val="000000"/>
        </w:rPr>
        <w:t xml:space="preserve">, be accepted, by the </w:t>
      </w:r>
      <w:r>
        <w:rPr>
          <w:i/>
          <w:iCs/>
          <w:color w:val="000000"/>
        </w:rPr>
        <w:t>Client’s Agent/Service Manager</w:t>
      </w:r>
      <w:r>
        <w:rPr>
          <w:color w:val="000000"/>
        </w:rPr>
        <w:t>, tested in accorda</w:t>
      </w:r>
      <w:r>
        <w:rPr>
          <w:color w:val="000000"/>
        </w:rPr>
        <w:t>nce with the provisions relating to testing as set out in the contract (if any) or as otherwise agreed between the Parties, periodically updated and audited in accordance with ISO/IEC 27001.</w:t>
      </w:r>
    </w:p>
    <w:p w14:paraId="2A338AA2" w14:textId="77777777" w:rsidR="007960A8" w:rsidRDefault="007960A8">
      <w:pPr>
        <w:pBdr>
          <w:top w:val="nil"/>
          <w:left w:val="nil"/>
          <w:bottom w:val="nil"/>
          <w:right w:val="nil"/>
          <w:between w:val="nil"/>
        </w:pBdr>
        <w:spacing w:before="11"/>
        <w:rPr>
          <w:color w:val="000000"/>
          <w:sz w:val="20"/>
          <w:szCs w:val="20"/>
        </w:rPr>
      </w:pPr>
    </w:p>
    <w:p w14:paraId="165A3941" w14:textId="77777777" w:rsidR="007960A8" w:rsidRDefault="00A26397">
      <w:pPr>
        <w:numPr>
          <w:ilvl w:val="3"/>
          <w:numId w:val="104"/>
        </w:numPr>
        <w:pBdr>
          <w:top w:val="nil"/>
          <w:left w:val="nil"/>
          <w:bottom w:val="nil"/>
          <w:right w:val="nil"/>
          <w:between w:val="nil"/>
        </w:pBdr>
        <w:tabs>
          <w:tab w:val="left" w:pos="3101"/>
        </w:tabs>
        <w:ind w:right="216" w:hanging="1081"/>
        <w:jc w:val="both"/>
        <w:rPr>
          <w:color w:val="000000"/>
        </w:rPr>
      </w:pPr>
      <w:r>
        <w:rPr>
          <w:color w:val="000000"/>
        </w:rPr>
        <w:t xml:space="preserve">The </w:t>
      </w:r>
      <w:r>
        <w:rPr>
          <w:i/>
          <w:iCs/>
          <w:color w:val="000000"/>
        </w:rPr>
        <w:t xml:space="preserve">Service Provider </w:t>
      </w:r>
      <w:r>
        <w:rPr>
          <w:color w:val="000000"/>
        </w:rPr>
        <w:t xml:space="preserve">shall develop and maintain a Security Management Plan in accordance with this Schedule to apply during the carrying out of the </w:t>
      </w:r>
      <w:r>
        <w:rPr>
          <w:i/>
          <w:iCs/>
          <w:color w:val="000000"/>
        </w:rPr>
        <w:t>service</w:t>
      </w:r>
      <w:r>
        <w:rPr>
          <w:color w:val="000000"/>
        </w:rPr>
        <w:t>.</w:t>
      </w:r>
    </w:p>
    <w:p w14:paraId="1E532245" w14:textId="77777777" w:rsidR="007960A8" w:rsidRDefault="007960A8">
      <w:pPr>
        <w:pBdr>
          <w:top w:val="nil"/>
          <w:left w:val="nil"/>
          <w:bottom w:val="nil"/>
          <w:right w:val="nil"/>
          <w:between w:val="nil"/>
        </w:pBdr>
        <w:spacing w:before="9"/>
        <w:rPr>
          <w:color w:val="000000"/>
          <w:sz w:val="20"/>
          <w:szCs w:val="20"/>
        </w:rPr>
      </w:pPr>
    </w:p>
    <w:p w14:paraId="7656789F" w14:textId="77777777" w:rsidR="007960A8" w:rsidRDefault="00A26397">
      <w:pPr>
        <w:numPr>
          <w:ilvl w:val="3"/>
          <w:numId w:val="104"/>
        </w:numPr>
        <w:pBdr>
          <w:top w:val="nil"/>
          <w:left w:val="nil"/>
          <w:bottom w:val="nil"/>
          <w:right w:val="nil"/>
          <w:between w:val="nil"/>
        </w:pBdr>
        <w:tabs>
          <w:tab w:val="left" w:pos="3101"/>
        </w:tabs>
        <w:spacing w:before="1"/>
        <w:ind w:right="217" w:hanging="1081"/>
        <w:jc w:val="both"/>
        <w:rPr>
          <w:color w:val="000000"/>
        </w:rPr>
      </w:pPr>
      <w:r>
        <w:rPr>
          <w:color w:val="000000"/>
        </w:rPr>
        <w:t xml:space="preserve">The </w:t>
      </w:r>
      <w:r>
        <w:rPr>
          <w:i/>
          <w:iCs/>
          <w:color w:val="000000"/>
        </w:rPr>
        <w:t xml:space="preserve">Service Provider </w:t>
      </w:r>
      <w:r>
        <w:rPr>
          <w:color w:val="000000"/>
        </w:rPr>
        <w:t>shall comply with its obligations set out in the Security Management Plan.</w:t>
      </w:r>
    </w:p>
    <w:p w14:paraId="6E5E5782" w14:textId="77777777" w:rsidR="007960A8" w:rsidRDefault="007960A8">
      <w:pPr>
        <w:pBdr>
          <w:top w:val="nil"/>
          <w:left w:val="nil"/>
          <w:bottom w:val="nil"/>
          <w:right w:val="nil"/>
          <w:between w:val="nil"/>
        </w:pBdr>
        <w:spacing w:before="10"/>
        <w:rPr>
          <w:color w:val="000000"/>
          <w:sz w:val="20"/>
          <w:szCs w:val="20"/>
        </w:rPr>
      </w:pPr>
    </w:p>
    <w:p w14:paraId="344FF7DC" w14:textId="77777777" w:rsidR="007960A8" w:rsidRDefault="00A26397">
      <w:pPr>
        <w:numPr>
          <w:ilvl w:val="3"/>
          <w:numId w:val="104"/>
        </w:numPr>
        <w:pBdr>
          <w:top w:val="nil"/>
          <w:left w:val="nil"/>
          <w:bottom w:val="nil"/>
          <w:right w:val="nil"/>
          <w:between w:val="nil"/>
        </w:pBdr>
        <w:tabs>
          <w:tab w:val="left" w:pos="3101"/>
        </w:tabs>
        <w:ind w:right="213" w:hanging="1081"/>
        <w:jc w:val="both"/>
        <w:rPr>
          <w:color w:val="000000"/>
        </w:rPr>
      </w:pPr>
      <w:r>
        <w:rPr>
          <w:color w:val="000000"/>
        </w:rPr>
        <w:t xml:space="preserve">Both the ISMS and the Security Management Plan shall, unless otherwise specified by the </w:t>
      </w:r>
      <w:r>
        <w:rPr>
          <w:i/>
          <w:iCs/>
          <w:color w:val="000000"/>
        </w:rPr>
        <w:t>Client</w:t>
      </w:r>
      <w:r>
        <w:rPr>
          <w:color w:val="000000"/>
        </w:rPr>
        <w:t xml:space="preserve">, aim to protect all aspects of the </w:t>
      </w:r>
      <w:r>
        <w:rPr>
          <w:i/>
          <w:iCs/>
          <w:color w:val="000000"/>
        </w:rPr>
        <w:t xml:space="preserve">service </w:t>
      </w:r>
      <w:r>
        <w:rPr>
          <w:color w:val="000000"/>
        </w:rPr>
        <w:t xml:space="preserve">and all processes associated with carrying out of the </w:t>
      </w:r>
      <w:r>
        <w:rPr>
          <w:i/>
          <w:iCs/>
          <w:color w:val="000000"/>
        </w:rPr>
        <w:t>service</w:t>
      </w:r>
      <w:r>
        <w:rPr>
          <w:color w:val="000000"/>
        </w:rPr>
        <w:t xml:space="preserve">, including the construction, use, alterations or demolition of the </w:t>
      </w:r>
      <w:r>
        <w:rPr>
          <w:i/>
          <w:iCs/>
          <w:color w:val="000000"/>
        </w:rPr>
        <w:t>service</w:t>
      </w:r>
      <w:r>
        <w:rPr>
          <w:color w:val="000000"/>
        </w:rPr>
        <w:t xml:space="preserve">, the </w:t>
      </w:r>
      <w:r>
        <w:rPr>
          <w:i/>
          <w:iCs/>
          <w:color w:val="000000"/>
        </w:rPr>
        <w:t xml:space="preserve">Service Provider </w:t>
      </w:r>
      <w:r>
        <w:rPr>
          <w:color w:val="000000"/>
        </w:rPr>
        <w:t>System and any ICT, information and data (including the Client Confidential Information and the C</w:t>
      </w:r>
      <w:r>
        <w:rPr>
          <w:color w:val="000000"/>
        </w:rPr>
        <w:t xml:space="preserve">lient Data) to the extent used by the </w:t>
      </w:r>
      <w:r>
        <w:rPr>
          <w:i/>
          <w:iCs/>
          <w:color w:val="000000"/>
        </w:rPr>
        <w:t xml:space="preserve">Client </w:t>
      </w:r>
      <w:r>
        <w:rPr>
          <w:color w:val="000000"/>
        </w:rPr>
        <w:t xml:space="preserve">or the </w:t>
      </w:r>
      <w:r>
        <w:rPr>
          <w:i/>
          <w:iCs/>
          <w:color w:val="000000"/>
        </w:rPr>
        <w:t xml:space="preserve">Service Provider </w:t>
      </w:r>
      <w:r>
        <w:rPr>
          <w:color w:val="000000"/>
        </w:rPr>
        <w:t>in connection with this contract.</w:t>
      </w:r>
    </w:p>
    <w:p w14:paraId="7AE48078" w14:textId="77777777" w:rsidR="007960A8" w:rsidRDefault="007960A8">
      <w:pPr>
        <w:pBdr>
          <w:top w:val="nil"/>
          <w:left w:val="nil"/>
          <w:bottom w:val="nil"/>
          <w:right w:val="nil"/>
          <w:between w:val="nil"/>
        </w:pBdr>
        <w:spacing w:before="9"/>
        <w:rPr>
          <w:color w:val="000000"/>
          <w:sz w:val="20"/>
          <w:szCs w:val="20"/>
        </w:rPr>
      </w:pPr>
    </w:p>
    <w:p w14:paraId="2B217BB9" w14:textId="77777777" w:rsidR="007960A8" w:rsidRDefault="00A26397">
      <w:pPr>
        <w:numPr>
          <w:ilvl w:val="2"/>
          <w:numId w:val="115"/>
        </w:numPr>
        <w:pBdr>
          <w:top w:val="nil"/>
          <w:left w:val="nil"/>
          <w:bottom w:val="nil"/>
          <w:right w:val="nil"/>
          <w:between w:val="nil"/>
        </w:pBdr>
        <w:tabs>
          <w:tab w:val="left" w:pos="2021"/>
        </w:tabs>
        <w:spacing w:before="1"/>
        <w:ind w:hanging="1081"/>
        <w:rPr>
          <w:color w:val="000000"/>
        </w:rPr>
      </w:pPr>
      <w:r>
        <w:rPr>
          <w:color w:val="000000"/>
        </w:rPr>
        <w:t>Development of the Security Management Plan:</w:t>
      </w:r>
    </w:p>
    <w:p w14:paraId="3E943310" w14:textId="77777777" w:rsidR="007960A8" w:rsidRDefault="007960A8">
      <w:pPr>
        <w:pBdr>
          <w:top w:val="nil"/>
          <w:left w:val="nil"/>
          <w:bottom w:val="nil"/>
          <w:right w:val="nil"/>
          <w:between w:val="nil"/>
        </w:pBdr>
        <w:spacing w:before="9"/>
        <w:rPr>
          <w:color w:val="000000"/>
          <w:sz w:val="20"/>
          <w:szCs w:val="20"/>
        </w:rPr>
      </w:pPr>
    </w:p>
    <w:p w14:paraId="5677B1E5" w14:textId="77777777" w:rsidR="007960A8" w:rsidRDefault="00A26397">
      <w:pPr>
        <w:numPr>
          <w:ilvl w:val="3"/>
          <w:numId w:val="96"/>
        </w:numPr>
        <w:pBdr>
          <w:top w:val="nil"/>
          <w:left w:val="nil"/>
          <w:bottom w:val="nil"/>
          <w:right w:val="nil"/>
          <w:between w:val="nil"/>
        </w:pBdr>
        <w:tabs>
          <w:tab w:val="left" w:pos="3101"/>
        </w:tabs>
        <w:ind w:right="215" w:hanging="1081"/>
        <w:jc w:val="both"/>
        <w:rPr>
          <w:color w:val="000000"/>
        </w:rPr>
      </w:pPr>
      <w:r>
        <w:rPr>
          <w:color w:val="000000"/>
        </w:rPr>
        <w:t xml:space="preserve">Within 20 Working Days after the date of this Contract and in accordance with paragraph </w:t>
      </w:r>
      <w:hyperlink w:anchor="bookmark=id.lv1yo7lh8otu">
        <w:r>
          <w:rPr>
            <w:color w:val="000000"/>
          </w:rPr>
          <w:t xml:space="preserve">1.4.4 </w:t>
        </w:r>
      </w:hyperlink>
      <w:r>
        <w:rPr>
          <w:color w:val="000000"/>
        </w:rPr>
        <w:t xml:space="preserve">(Amendment and Revision), the </w:t>
      </w:r>
      <w:r>
        <w:rPr>
          <w:i/>
          <w:iCs/>
          <w:color w:val="000000"/>
        </w:rPr>
        <w:t xml:space="preserve">Service Provider </w:t>
      </w:r>
      <w:r>
        <w:rPr>
          <w:color w:val="000000"/>
        </w:rPr>
        <w:t xml:space="preserve">will prepare and deliver to the </w:t>
      </w:r>
      <w:r>
        <w:rPr>
          <w:i/>
          <w:iCs/>
          <w:color w:val="000000"/>
        </w:rPr>
        <w:t xml:space="preserve">Client’s Agent/Service Manager </w:t>
      </w:r>
      <w:r>
        <w:rPr>
          <w:color w:val="000000"/>
        </w:rPr>
        <w:t>for a</w:t>
      </w:r>
      <w:r>
        <w:rPr>
          <w:color w:val="000000"/>
        </w:rPr>
        <w:t>cceptance a fully complete and up to date Security Management Plan which will be based on the draft Security Management Plan set out in Appendix 2 of this Part 2 of this Contract Schedule J.</w:t>
      </w:r>
    </w:p>
    <w:p w14:paraId="48F08A2A" w14:textId="77777777" w:rsidR="007960A8" w:rsidRDefault="007960A8">
      <w:pPr>
        <w:pBdr>
          <w:top w:val="nil"/>
          <w:left w:val="nil"/>
          <w:bottom w:val="nil"/>
          <w:right w:val="nil"/>
          <w:between w:val="nil"/>
        </w:pBdr>
        <w:spacing w:before="7"/>
        <w:rPr>
          <w:color w:val="000000"/>
          <w:sz w:val="19"/>
          <w:szCs w:val="19"/>
        </w:rPr>
      </w:pPr>
    </w:p>
    <w:p w14:paraId="4EF13D48" w14:textId="77777777" w:rsidR="007960A8" w:rsidRDefault="00A26397">
      <w:pPr>
        <w:numPr>
          <w:ilvl w:val="3"/>
          <w:numId w:val="96"/>
        </w:numPr>
        <w:pBdr>
          <w:top w:val="nil"/>
          <w:left w:val="nil"/>
          <w:bottom w:val="nil"/>
          <w:right w:val="nil"/>
          <w:between w:val="nil"/>
        </w:pBdr>
        <w:tabs>
          <w:tab w:val="left" w:pos="3101"/>
        </w:tabs>
        <w:ind w:right="212" w:hanging="1081"/>
        <w:jc w:val="both"/>
        <w:rPr>
          <w:color w:val="000000"/>
        </w:rPr>
      </w:pPr>
      <w:bookmarkStart w:id="5" w:name="_heading=h.xyfqwkaxekro" w:colFirst="0" w:colLast="0"/>
      <w:bookmarkEnd w:id="5"/>
      <w:r>
        <w:rPr>
          <w:color w:val="000000"/>
        </w:rPr>
        <w:t>If the Security Management Plan, or any subsequent revision to i</w:t>
      </w:r>
      <w:r>
        <w:rPr>
          <w:color w:val="000000"/>
        </w:rPr>
        <w:t xml:space="preserve">t in accordance with paragraph </w:t>
      </w:r>
      <w:hyperlink w:anchor="bookmark=id.lv1yo7lh8otu">
        <w:r>
          <w:rPr>
            <w:color w:val="000000"/>
          </w:rPr>
          <w:t>1.4.4</w:t>
        </w:r>
      </w:hyperlink>
      <w:r>
        <w:rPr>
          <w:color w:val="000000"/>
        </w:rPr>
        <w:t xml:space="preserve"> (Amendment and Revision), is accepted by the </w:t>
      </w:r>
      <w:r>
        <w:rPr>
          <w:i/>
          <w:iCs/>
          <w:color w:val="000000"/>
        </w:rPr>
        <w:t xml:space="preserve">Client’s Agent/Service Manager </w:t>
      </w:r>
      <w:r>
        <w:rPr>
          <w:color w:val="000000"/>
        </w:rPr>
        <w:t xml:space="preserve">it will be adopted immediately and will replace the previous version of the Security Management </w:t>
      </w:r>
      <w:r>
        <w:rPr>
          <w:color w:val="000000"/>
        </w:rPr>
        <w:t xml:space="preserve">Plan at Appendix 2 of this Part 2 of this Contract Schedule J. If the Security Management Plan is not accepted by the </w:t>
      </w:r>
      <w:r>
        <w:rPr>
          <w:i/>
          <w:iCs/>
          <w:color w:val="000000"/>
        </w:rPr>
        <w:t xml:space="preserve">Client’s Agent/Service Manager </w:t>
      </w:r>
      <w:r>
        <w:rPr>
          <w:color w:val="000000"/>
        </w:rPr>
        <w:t xml:space="preserve">the </w:t>
      </w:r>
      <w:r>
        <w:rPr>
          <w:i/>
          <w:iCs/>
          <w:color w:val="000000"/>
        </w:rPr>
        <w:t xml:space="preserve">Service Provider </w:t>
      </w:r>
      <w:r>
        <w:rPr>
          <w:color w:val="000000"/>
        </w:rPr>
        <w:t>shall amend it within 10 Working Days or such other period as the parties may agree in</w:t>
      </w:r>
      <w:r>
        <w:rPr>
          <w:color w:val="000000"/>
        </w:rPr>
        <w:t xml:space="preserve"> writing of a notice of non- acceptance from the </w:t>
      </w:r>
      <w:r>
        <w:rPr>
          <w:i/>
          <w:iCs/>
          <w:color w:val="000000"/>
        </w:rPr>
        <w:t xml:space="preserve">Client’s Agent/Service Manager </w:t>
      </w:r>
      <w:r>
        <w:rPr>
          <w:color w:val="000000"/>
        </w:rPr>
        <w:t xml:space="preserve">and re-submit to the </w:t>
      </w:r>
      <w:r>
        <w:rPr>
          <w:i/>
          <w:iCs/>
          <w:color w:val="000000"/>
        </w:rPr>
        <w:t xml:space="preserve">Client’s Agent/Service Manager </w:t>
      </w:r>
      <w:r>
        <w:rPr>
          <w:color w:val="000000"/>
        </w:rPr>
        <w:t>for accepted. The parties will use all reasonable endeavours to ensure that the acceptance process takes as little time as p</w:t>
      </w:r>
      <w:r>
        <w:rPr>
          <w:color w:val="000000"/>
        </w:rPr>
        <w:t xml:space="preserve">ossible and, in any event, no longer than 15 Working Days (or such other period as the parties may agree in writing) from the date of its first submission to the </w:t>
      </w:r>
      <w:r>
        <w:rPr>
          <w:i/>
          <w:iCs/>
          <w:color w:val="000000"/>
        </w:rPr>
        <w:t>Client’s Agent/Service Manager</w:t>
      </w:r>
      <w:r>
        <w:rPr>
          <w:color w:val="000000"/>
        </w:rPr>
        <w:t xml:space="preserve">. If the </w:t>
      </w:r>
      <w:r>
        <w:rPr>
          <w:i/>
          <w:iCs/>
          <w:color w:val="000000"/>
        </w:rPr>
        <w:t xml:space="preserve">Client’s Agent/Service Manager </w:t>
      </w:r>
      <w:r>
        <w:rPr>
          <w:color w:val="000000"/>
        </w:rPr>
        <w:t>does not accept the Secu</w:t>
      </w:r>
      <w:r>
        <w:rPr>
          <w:color w:val="000000"/>
        </w:rPr>
        <w:t xml:space="preserve">rity Management Plan following its resubmission, the matter will be resolved in accordance with the Dispute Resolution Procedure. No acceptance to be given by the </w:t>
      </w:r>
      <w:r>
        <w:rPr>
          <w:i/>
          <w:iCs/>
          <w:color w:val="000000"/>
        </w:rPr>
        <w:t xml:space="preserve">Client’s Agent/Service Manager </w:t>
      </w:r>
      <w:r>
        <w:rPr>
          <w:color w:val="000000"/>
        </w:rPr>
        <w:t xml:space="preserve">pursuant to this paragraph </w:t>
      </w:r>
      <w:hyperlink w:anchor="bookmark=id.f12yd8xerrh">
        <w:r>
          <w:rPr>
            <w:color w:val="000000"/>
          </w:rPr>
          <w:t xml:space="preserve">1.4.2.2 </w:t>
        </w:r>
      </w:hyperlink>
      <w:r>
        <w:rPr>
          <w:color w:val="000000"/>
        </w:rPr>
        <w:t xml:space="preserve">of this schedule may be unreasonably withheld or delayed. However, any failure to accept the Security Management Plan on the grounds that it does not comply with the requirements set out in paragraph </w:t>
      </w:r>
      <w:hyperlink w:anchor="bookmark=id.q4bcc4hs24zh">
        <w:r>
          <w:rPr>
            <w:color w:val="000000"/>
          </w:rPr>
          <w:t xml:space="preserve">1.4.3.4 </w:t>
        </w:r>
      </w:hyperlink>
      <w:r>
        <w:rPr>
          <w:color w:val="000000"/>
        </w:rPr>
        <w:t>shall be deemed to be reasonable.</w:t>
      </w:r>
    </w:p>
    <w:p w14:paraId="17C8CCB3" w14:textId="77777777" w:rsidR="007960A8" w:rsidRDefault="007960A8">
      <w:pPr>
        <w:pBdr>
          <w:top w:val="nil"/>
          <w:left w:val="nil"/>
          <w:bottom w:val="nil"/>
          <w:right w:val="nil"/>
          <w:between w:val="nil"/>
        </w:pBdr>
        <w:spacing w:before="10"/>
        <w:rPr>
          <w:color w:val="000000"/>
          <w:sz w:val="20"/>
          <w:szCs w:val="20"/>
        </w:rPr>
      </w:pPr>
    </w:p>
    <w:p w14:paraId="0D61A4D4" w14:textId="77777777" w:rsidR="007960A8" w:rsidRDefault="00A26397">
      <w:pPr>
        <w:numPr>
          <w:ilvl w:val="2"/>
          <w:numId w:val="115"/>
        </w:numPr>
        <w:pBdr>
          <w:top w:val="nil"/>
          <w:left w:val="nil"/>
          <w:bottom w:val="nil"/>
          <w:right w:val="nil"/>
          <w:between w:val="nil"/>
        </w:pBdr>
        <w:tabs>
          <w:tab w:val="left" w:pos="2021"/>
        </w:tabs>
        <w:ind w:hanging="1081"/>
        <w:rPr>
          <w:color w:val="000000"/>
        </w:rPr>
      </w:pPr>
      <w:r>
        <w:rPr>
          <w:color w:val="000000"/>
        </w:rPr>
        <w:t>Content of the Security Management Plan:</w:t>
      </w:r>
    </w:p>
    <w:p w14:paraId="75FD1C86" w14:textId="77777777" w:rsidR="007960A8" w:rsidRDefault="007960A8">
      <w:pPr>
        <w:pBdr>
          <w:top w:val="nil"/>
          <w:left w:val="nil"/>
          <w:bottom w:val="nil"/>
          <w:right w:val="nil"/>
          <w:between w:val="nil"/>
        </w:pBdr>
        <w:rPr>
          <w:color w:val="000000"/>
          <w:sz w:val="21"/>
          <w:szCs w:val="21"/>
        </w:rPr>
      </w:pPr>
    </w:p>
    <w:p w14:paraId="0A3C33C6" w14:textId="77777777" w:rsidR="007960A8" w:rsidRDefault="00A26397">
      <w:pPr>
        <w:numPr>
          <w:ilvl w:val="3"/>
          <w:numId w:val="86"/>
        </w:numPr>
        <w:pBdr>
          <w:top w:val="nil"/>
          <w:left w:val="nil"/>
          <w:bottom w:val="nil"/>
          <w:right w:val="nil"/>
          <w:between w:val="nil"/>
        </w:pBdr>
        <w:tabs>
          <w:tab w:val="left" w:pos="3101"/>
        </w:tabs>
        <w:ind w:right="213" w:hanging="1081"/>
        <w:jc w:val="both"/>
        <w:rPr>
          <w:color w:val="000000"/>
        </w:rPr>
      </w:pPr>
      <w:r>
        <w:rPr>
          <w:color w:val="000000"/>
        </w:rPr>
        <w:t xml:space="preserve">The Security Management Plan will set out the security measures to be implemented and maintained by the </w:t>
      </w:r>
      <w:r>
        <w:rPr>
          <w:i/>
          <w:iCs/>
          <w:color w:val="000000"/>
        </w:rPr>
        <w:t xml:space="preserve">Service Provider </w:t>
      </w:r>
      <w:r>
        <w:rPr>
          <w:color w:val="000000"/>
        </w:rPr>
        <w:t xml:space="preserve">in relation to all aspects of the </w:t>
      </w:r>
      <w:r>
        <w:rPr>
          <w:i/>
          <w:iCs/>
          <w:color w:val="000000"/>
        </w:rPr>
        <w:t xml:space="preserve">service </w:t>
      </w:r>
      <w:r>
        <w:rPr>
          <w:color w:val="000000"/>
        </w:rPr>
        <w:t xml:space="preserve">and all processes associated with carrying out of the </w:t>
      </w:r>
      <w:r>
        <w:rPr>
          <w:i/>
          <w:iCs/>
          <w:color w:val="000000"/>
        </w:rPr>
        <w:t xml:space="preserve">service </w:t>
      </w:r>
      <w:r>
        <w:rPr>
          <w:color w:val="000000"/>
        </w:rPr>
        <w:t>and shall at all times comply w</w:t>
      </w:r>
      <w:r>
        <w:rPr>
          <w:color w:val="000000"/>
        </w:rPr>
        <w:t xml:space="preserve">ith and specify security measures and procedures which are sufficient to ensure that the </w:t>
      </w:r>
      <w:r>
        <w:rPr>
          <w:i/>
          <w:iCs/>
          <w:color w:val="000000"/>
        </w:rPr>
        <w:t xml:space="preserve">service </w:t>
      </w:r>
      <w:r>
        <w:rPr>
          <w:color w:val="000000"/>
        </w:rPr>
        <w:t xml:space="preserve">comply with the provisions of this schedule (including the principles set out in paragraph </w:t>
      </w:r>
      <w:hyperlink w:anchor="bookmark=id.la46ir3zil2l">
        <w:r>
          <w:rPr>
            <w:color w:val="000000"/>
          </w:rPr>
          <w:t>1.3</w:t>
        </w:r>
      </w:hyperlink>
      <w:r>
        <w:rPr>
          <w:color w:val="000000"/>
        </w:rPr>
        <w:t>);</w:t>
      </w:r>
    </w:p>
    <w:p w14:paraId="429AE668" w14:textId="77777777" w:rsidR="007960A8" w:rsidRDefault="007960A8">
      <w:pPr>
        <w:pBdr>
          <w:top w:val="nil"/>
          <w:left w:val="nil"/>
          <w:bottom w:val="nil"/>
          <w:right w:val="nil"/>
          <w:between w:val="nil"/>
        </w:pBdr>
        <w:spacing w:before="10"/>
        <w:rPr>
          <w:color w:val="000000"/>
          <w:sz w:val="20"/>
          <w:szCs w:val="20"/>
        </w:rPr>
      </w:pPr>
    </w:p>
    <w:p w14:paraId="4B85F574" w14:textId="77777777" w:rsidR="007960A8" w:rsidRDefault="00A26397">
      <w:pPr>
        <w:numPr>
          <w:ilvl w:val="3"/>
          <w:numId w:val="86"/>
        </w:numPr>
        <w:pBdr>
          <w:top w:val="nil"/>
          <w:left w:val="nil"/>
          <w:bottom w:val="nil"/>
          <w:right w:val="nil"/>
          <w:between w:val="nil"/>
        </w:pBdr>
        <w:tabs>
          <w:tab w:val="left" w:pos="3101"/>
        </w:tabs>
        <w:ind w:right="212" w:hanging="1081"/>
        <w:jc w:val="both"/>
        <w:rPr>
          <w:color w:val="000000"/>
        </w:rPr>
      </w:pPr>
      <w:r>
        <w:rPr>
          <w:color w:val="000000"/>
        </w:rPr>
        <w:t xml:space="preserve">The Security Management Plan (including the draft version) should also set out the plans for transiting all security arrangements and responsibilities from those in place at the Date of this Contract to those incorporated in the </w:t>
      </w:r>
      <w:r>
        <w:rPr>
          <w:i/>
          <w:iCs/>
          <w:color w:val="000000"/>
        </w:rPr>
        <w:t>Service Provider</w:t>
      </w:r>
      <w:r>
        <w:rPr>
          <w:color w:val="000000"/>
        </w:rPr>
        <w:t xml:space="preserve">’s ISMS at </w:t>
      </w:r>
      <w:r>
        <w:rPr>
          <w:color w:val="000000"/>
        </w:rPr>
        <w:t xml:space="preserve">the date notified by the </w:t>
      </w:r>
      <w:r>
        <w:rPr>
          <w:i/>
          <w:iCs/>
          <w:color w:val="000000"/>
        </w:rPr>
        <w:t xml:space="preserve">Client’s Agent/Service Manager </w:t>
      </w:r>
      <w:r>
        <w:rPr>
          <w:color w:val="000000"/>
        </w:rPr>
        <w:t xml:space="preserve">to the </w:t>
      </w:r>
      <w:r>
        <w:rPr>
          <w:i/>
          <w:iCs/>
          <w:color w:val="000000"/>
        </w:rPr>
        <w:t xml:space="preserve">Service Provider </w:t>
      </w:r>
      <w:r>
        <w:rPr>
          <w:color w:val="000000"/>
        </w:rPr>
        <w:t xml:space="preserve">for the </w:t>
      </w:r>
      <w:r>
        <w:rPr>
          <w:i/>
          <w:iCs/>
          <w:color w:val="000000"/>
        </w:rPr>
        <w:t xml:space="preserve">Service Provider </w:t>
      </w:r>
      <w:r>
        <w:rPr>
          <w:color w:val="000000"/>
        </w:rPr>
        <w:t>to meet the full obligations of the Security Requirements.</w:t>
      </w:r>
    </w:p>
    <w:p w14:paraId="6D263C87" w14:textId="77777777" w:rsidR="007960A8" w:rsidRDefault="007960A8">
      <w:pPr>
        <w:pBdr>
          <w:top w:val="nil"/>
          <w:left w:val="nil"/>
          <w:bottom w:val="nil"/>
          <w:right w:val="nil"/>
          <w:between w:val="nil"/>
        </w:pBdr>
        <w:spacing w:before="11"/>
        <w:rPr>
          <w:color w:val="000000"/>
          <w:sz w:val="20"/>
          <w:szCs w:val="20"/>
        </w:rPr>
      </w:pPr>
    </w:p>
    <w:p w14:paraId="6EECFBA1" w14:textId="77777777" w:rsidR="007960A8" w:rsidRDefault="00A26397">
      <w:pPr>
        <w:numPr>
          <w:ilvl w:val="3"/>
          <w:numId w:val="86"/>
        </w:numPr>
        <w:pBdr>
          <w:top w:val="nil"/>
          <w:left w:val="nil"/>
          <w:bottom w:val="nil"/>
          <w:right w:val="nil"/>
          <w:between w:val="nil"/>
        </w:pBdr>
        <w:tabs>
          <w:tab w:val="left" w:pos="3101"/>
        </w:tabs>
        <w:ind w:right="213" w:hanging="1081"/>
        <w:jc w:val="both"/>
        <w:rPr>
          <w:color w:val="000000"/>
        </w:rPr>
      </w:pPr>
      <w:r>
        <w:rPr>
          <w:color w:val="000000"/>
        </w:rPr>
        <w:t>The Security Management Plan will be structured in accordance with ISO/IEC27001 and ISO/IEC</w:t>
      </w:r>
      <w:r>
        <w:rPr>
          <w:color w:val="000000"/>
        </w:rPr>
        <w:t>27002, cross-referencing if necessary to other schedules of this contract which cover specific areas included within that standard.</w:t>
      </w:r>
    </w:p>
    <w:p w14:paraId="147E419B" w14:textId="77777777" w:rsidR="007960A8" w:rsidRDefault="007960A8">
      <w:pPr>
        <w:pBdr>
          <w:top w:val="nil"/>
          <w:left w:val="nil"/>
          <w:bottom w:val="nil"/>
          <w:right w:val="nil"/>
          <w:between w:val="nil"/>
        </w:pBdr>
        <w:spacing w:before="10"/>
        <w:rPr>
          <w:color w:val="000000"/>
          <w:sz w:val="20"/>
          <w:szCs w:val="20"/>
        </w:rPr>
      </w:pPr>
    </w:p>
    <w:p w14:paraId="4AA7A35C" w14:textId="77777777" w:rsidR="007960A8" w:rsidRDefault="00A26397">
      <w:pPr>
        <w:numPr>
          <w:ilvl w:val="3"/>
          <w:numId w:val="86"/>
        </w:numPr>
        <w:pBdr>
          <w:top w:val="nil"/>
          <w:left w:val="nil"/>
          <w:bottom w:val="nil"/>
          <w:right w:val="nil"/>
          <w:between w:val="nil"/>
        </w:pBdr>
        <w:tabs>
          <w:tab w:val="left" w:pos="3101"/>
        </w:tabs>
        <w:spacing w:before="7"/>
        <w:ind w:right="216" w:hanging="1081"/>
        <w:jc w:val="both"/>
        <w:rPr>
          <w:color w:val="000000"/>
          <w:sz w:val="19"/>
          <w:szCs w:val="19"/>
        </w:rPr>
      </w:pPr>
      <w:bookmarkStart w:id="6" w:name="_heading=h.i073rydlf619" w:colFirst="0" w:colLast="0"/>
      <w:bookmarkEnd w:id="6"/>
      <w:r>
        <w:rPr>
          <w:color w:val="000000"/>
        </w:rPr>
        <w:t xml:space="preserve">The Security Management Plan shall be written in plain English in language which is readily comprehensible to the staff of the </w:t>
      </w:r>
      <w:r>
        <w:rPr>
          <w:i/>
          <w:iCs/>
          <w:color w:val="000000"/>
        </w:rPr>
        <w:t xml:space="preserve">Service Provider </w:t>
      </w:r>
      <w:r>
        <w:rPr>
          <w:color w:val="000000"/>
        </w:rPr>
        <w:t xml:space="preserve">and the </w:t>
      </w:r>
      <w:r>
        <w:rPr>
          <w:i/>
          <w:iCs/>
          <w:color w:val="000000"/>
        </w:rPr>
        <w:t xml:space="preserve">Client </w:t>
      </w:r>
      <w:r>
        <w:rPr>
          <w:color w:val="000000"/>
        </w:rPr>
        <w:t xml:space="preserve">engaged in the </w:t>
      </w:r>
      <w:r>
        <w:rPr>
          <w:i/>
          <w:iCs/>
          <w:color w:val="000000"/>
        </w:rPr>
        <w:t xml:space="preserve">service </w:t>
      </w:r>
      <w:r>
        <w:rPr>
          <w:color w:val="000000"/>
        </w:rPr>
        <w:t>and shall only</w:t>
      </w:r>
    </w:p>
    <w:p w14:paraId="1C32E846" w14:textId="77777777" w:rsidR="007960A8" w:rsidRDefault="00A26397">
      <w:pPr>
        <w:pBdr>
          <w:top w:val="nil"/>
          <w:left w:val="nil"/>
          <w:bottom w:val="nil"/>
          <w:right w:val="nil"/>
          <w:between w:val="nil"/>
        </w:pBdr>
        <w:spacing w:line="252" w:lineRule="auto"/>
        <w:ind w:left="3101"/>
        <w:rPr>
          <w:i/>
          <w:iCs/>
          <w:color w:val="000000"/>
        </w:rPr>
      </w:pPr>
      <w:r>
        <w:rPr>
          <w:color w:val="000000"/>
        </w:rPr>
        <w:t xml:space="preserve">reference documents which are in the possession of the </w:t>
      </w:r>
      <w:r>
        <w:rPr>
          <w:i/>
          <w:iCs/>
          <w:color w:val="000000"/>
        </w:rPr>
        <w:t>Client</w:t>
      </w:r>
    </w:p>
    <w:p w14:paraId="680595D3" w14:textId="77777777" w:rsidR="007960A8" w:rsidRDefault="00A26397">
      <w:pPr>
        <w:pBdr>
          <w:top w:val="nil"/>
          <w:left w:val="nil"/>
          <w:bottom w:val="nil"/>
          <w:right w:val="nil"/>
          <w:between w:val="nil"/>
        </w:pBdr>
        <w:spacing w:line="252" w:lineRule="auto"/>
        <w:ind w:left="3101"/>
        <w:rPr>
          <w:color w:val="000000"/>
        </w:rPr>
      </w:pPr>
      <w:r>
        <w:rPr>
          <w:color w:val="000000"/>
        </w:rPr>
        <w:t>or whose location is otherwise specified in this schedule.</w:t>
      </w:r>
    </w:p>
    <w:p w14:paraId="3951BC09" w14:textId="77777777" w:rsidR="007960A8" w:rsidRDefault="007960A8">
      <w:pPr>
        <w:pBdr>
          <w:top w:val="nil"/>
          <w:left w:val="nil"/>
          <w:bottom w:val="nil"/>
          <w:right w:val="nil"/>
          <w:between w:val="nil"/>
        </w:pBdr>
        <w:rPr>
          <w:color w:val="000000"/>
          <w:sz w:val="21"/>
          <w:szCs w:val="21"/>
        </w:rPr>
      </w:pPr>
    </w:p>
    <w:p w14:paraId="0FA76CD4" w14:textId="77777777" w:rsidR="007960A8" w:rsidRDefault="00A26397">
      <w:pPr>
        <w:numPr>
          <w:ilvl w:val="2"/>
          <w:numId w:val="115"/>
        </w:numPr>
        <w:pBdr>
          <w:top w:val="nil"/>
          <w:left w:val="nil"/>
          <w:bottom w:val="nil"/>
          <w:right w:val="nil"/>
          <w:between w:val="nil"/>
        </w:pBdr>
        <w:tabs>
          <w:tab w:val="left" w:pos="2021"/>
        </w:tabs>
        <w:ind w:hanging="1081"/>
        <w:rPr>
          <w:color w:val="000000"/>
        </w:rPr>
      </w:pPr>
      <w:bookmarkStart w:id="7" w:name="_heading=h.pth303lzrs7c" w:colFirst="0" w:colLast="0"/>
      <w:bookmarkEnd w:id="7"/>
      <w:r>
        <w:rPr>
          <w:color w:val="000000"/>
        </w:rPr>
        <w:t>Amendment and Revision of the ISMS and Security Management Plan:</w:t>
      </w:r>
    </w:p>
    <w:p w14:paraId="2506C667" w14:textId="77777777" w:rsidR="007960A8" w:rsidRDefault="007960A8">
      <w:pPr>
        <w:pBdr>
          <w:top w:val="nil"/>
          <w:left w:val="nil"/>
          <w:bottom w:val="nil"/>
          <w:right w:val="nil"/>
          <w:between w:val="nil"/>
        </w:pBdr>
        <w:spacing w:before="9"/>
        <w:rPr>
          <w:color w:val="000000"/>
          <w:sz w:val="20"/>
          <w:szCs w:val="20"/>
        </w:rPr>
      </w:pPr>
    </w:p>
    <w:p w14:paraId="0FF6188A" w14:textId="77777777" w:rsidR="007960A8" w:rsidRDefault="00A26397">
      <w:pPr>
        <w:numPr>
          <w:ilvl w:val="3"/>
          <w:numId w:val="77"/>
        </w:numPr>
        <w:pBdr>
          <w:top w:val="nil"/>
          <w:left w:val="nil"/>
          <w:bottom w:val="nil"/>
          <w:right w:val="nil"/>
          <w:between w:val="nil"/>
        </w:pBdr>
        <w:tabs>
          <w:tab w:val="left" w:pos="3101"/>
        </w:tabs>
        <w:ind w:right="219" w:hanging="1081"/>
        <w:jc w:val="both"/>
        <w:rPr>
          <w:color w:val="000000"/>
        </w:rPr>
      </w:pPr>
      <w:r>
        <w:rPr>
          <w:color w:val="000000"/>
        </w:rPr>
        <w:t xml:space="preserve">The ISMS and Security Management Plan will be fully reviewed and updated by the </w:t>
      </w:r>
      <w:r>
        <w:rPr>
          <w:i/>
          <w:iCs/>
          <w:color w:val="000000"/>
        </w:rPr>
        <w:t xml:space="preserve">Service Provider </w:t>
      </w:r>
      <w:r>
        <w:rPr>
          <w:color w:val="000000"/>
        </w:rPr>
        <w:t>annually or from time to time to reflect:</w:t>
      </w:r>
    </w:p>
    <w:p w14:paraId="6F1825AB" w14:textId="77777777" w:rsidR="007960A8" w:rsidRDefault="007960A8">
      <w:pPr>
        <w:pBdr>
          <w:top w:val="nil"/>
          <w:left w:val="nil"/>
          <w:bottom w:val="nil"/>
          <w:right w:val="nil"/>
          <w:between w:val="nil"/>
        </w:pBdr>
        <w:rPr>
          <w:color w:val="000000"/>
          <w:sz w:val="21"/>
          <w:szCs w:val="21"/>
        </w:rPr>
      </w:pPr>
    </w:p>
    <w:p w14:paraId="0C6A1287" w14:textId="77777777" w:rsidR="007960A8" w:rsidRDefault="00A26397">
      <w:pPr>
        <w:numPr>
          <w:ilvl w:val="4"/>
          <w:numId w:val="77"/>
        </w:numPr>
        <w:pBdr>
          <w:top w:val="nil"/>
          <w:left w:val="nil"/>
          <w:bottom w:val="nil"/>
          <w:right w:val="nil"/>
          <w:between w:val="nil"/>
        </w:pBdr>
        <w:tabs>
          <w:tab w:val="left" w:pos="3821"/>
        </w:tabs>
        <w:spacing w:before="1"/>
        <w:rPr>
          <w:color w:val="000000"/>
        </w:rPr>
      </w:pPr>
      <w:r>
        <w:rPr>
          <w:color w:val="000000"/>
        </w:rPr>
        <w:t>emerging changes in Good Industry Practice;</w:t>
      </w:r>
    </w:p>
    <w:p w14:paraId="5C556CD4" w14:textId="77777777" w:rsidR="007960A8" w:rsidRDefault="007960A8">
      <w:pPr>
        <w:pBdr>
          <w:top w:val="nil"/>
          <w:left w:val="nil"/>
          <w:bottom w:val="nil"/>
          <w:right w:val="nil"/>
          <w:between w:val="nil"/>
        </w:pBdr>
        <w:spacing w:before="9"/>
        <w:rPr>
          <w:color w:val="000000"/>
          <w:sz w:val="20"/>
          <w:szCs w:val="20"/>
        </w:rPr>
      </w:pPr>
    </w:p>
    <w:p w14:paraId="543CEC2A" w14:textId="77777777" w:rsidR="007960A8" w:rsidRDefault="00A26397">
      <w:pPr>
        <w:numPr>
          <w:ilvl w:val="4"/>
          <w:numId w:val="77"/>
        </w:numPr>
        <w:pBdr>
          <w:top w:val="nil"/>
          <w:left w:val="nil"/>
          <w:bottom w:val="nil"/>
          <w:right w:val="nil"/>
          <w:between w:val="nil"/>
        </w:pBdr>
        <w:tabs>
          <w:tab w:val="left" w:pos="3821"/>
        </w:tabs>
        <w:ind w:right="215"/>
        <w:jc w:val="both"/>
        <w:rPr>
          <w:color w:val="000000"/>
        </w:rPr>
      </w:pPr>
      <w:r>
        <w:rPr>
          <w:color w:val="000000"/>
        </w:rPr>
        <w:t xml:space="preserve">any change or proposed change to the Service Provider System, the </w:t>
      </w:r>
      <w:r>
        <w:rPr>
          <w:i/>
          <w:iCs/>
          <w:color w:val="000000"/>
        </w:rPr>
        <w:t xml:space="preserve">service </w:t>
      </w:r>
      <w:r>
        <w:rPr>
          <w:color w:val="000000"/>
        </w:rPr>
        <w:t>and/or associated processes;</w:t>
      </w:r>
    </w:p>
    <w:p w14:paraId="403CD75B" w14:textId="77777777" w:rsidR="007960A8" w:rsidRDefault="007960A8">
      <w:pPr>
        <w:pBdr>
          <w:top w:val="nil"/>
          <w:left w:val="nil"/>
          <w:bottom w:val="nil"/>
          <w:right w:val="nil"/>
          <w:between w:val="nil"/>
        </w:pBdr>
        <w:spacing w:before="11"/>
        <w:rPr>
          <w:color w:val="000000"/>
          <w:sz w:val="20"/>
          <w:szCs w:val="20"/>
        </w:rPr>
      </w:pPr>
    </w:p>
    <w:p w14:paraId="791E9E90" w14:textId="77777777" w:rsidR="007960A8" w:rsidRDefault="00A26397">
      <w:pPr>
        <w:numPr>
          <w:ilvl w:val="4"/>
          <w:numId w:val="77"/>
        </w:numPr>
        <w:pBdr>
          <w:top w:val="nil"/>
          <w:left w:val="nil"/>
          <w:bottom w:val="nil"/>
          <w:right w:val="nil"/>
          <w:between w:val="nil"/>
        </w:pBdr>
        <w:tabs>
          <w:tab w:val="left" w:pos="3821"/>
        </w:tabs>
        <w:rPr>
          <w:color w:val="000000"/>
        </w:rPr>
      </w:pPr>
      <w:r>
        <w:rPr>
          <w:color w:val="000000"/>
        </w:rPr>
        <w:t>any new perceived or changed security threats; and</w:t>
      </w:r>
    </w:p>
    <w:p w14:paraId="26B5F8B8" w14:textId="77777777" w:rsidR="007960A8" w:rsidRDefault="007960A8">
      <w:pPr>
        <w:pBdr>
          <w:top w:val="nil"/>
          <w:left w:val="nil"/>
          <w:bottom w:val="nil"/>
          <w:right w:val="nil"/>
          <w:between w:val="nil"/>
        </w:pBdr>
        <w:spacing w:before="9"/>
        <w:rPr>
          <w:color w:val="000000"/>
          <w:sz w:val="20"/>
          <w:szCs w:val="20"/>
        </w:rPr>
      </w:pPr>
    </w:p>
    <w:p w14:paraId="2E136ECE" w14:textId="77777777" w:rsidR="007960A8" w:rsidRDefault="00A26397">
      <w:pPr>
        <w:numPr>
          <w:ilvl w:val="4"/>
          <w:numId w:val="77"/>
        </w:numPr>
        <w:pBdr>
          <w:top w:val="nil"/>
          <w:left w:val="nil"/>
          <w:bottom w:val="nil"/>
          <w:right w:val="nil"/>
          <w:between w:val="nil"/>
        </w:pBdr>
        <w:tabs>
          <w:tab w:val="left" w:pos="3821"/>
        </w:tabs>
        <w:rPr>
          <w:color w:val="000000"/>
        </w:rPr>
      </w:pPr>
      <w:r>
        <w:rPr>
          <w:color w:val="000000"/>
        </w:rPr>
        <w:t xml:space="preserve">any reasonable request by the </w:t>
      </w:r>
      <w:r>
        <w:rPr>
          <w:i/>
          <w:iCs/>
          <w:color w:val="000000"/>
        </w:rPr>
        <w:t>Client’s Agent/Service Manager</w:t>
      </w:r>
      <w:r>
        <w:rPr>
          <w:color w:val="000000"/>
        </w:rPr>
        <w:t>.</w:t>
      </w:r>
    </w:p>
    <w:p w14:paraId="3A8EA503" w14:textId="77777777" w:rsidR="007960A8" w:rsidRDefault="007960A8">
      <w:pPr>
        <w:pBdr>
          <w:top w:val="nil"/>
          <w:left w:val="nil"/>
          <w:bottom w:val="nil"/>
          <w:right w:val="nil"/>
          <w:between w:val="nil"/>
        </w:pBdr>
        <w:rPr>
          <w:color w:val="000000"/>
          <w:sz w:val="21"/>
          <w:szCs w:val="21"/>
        </w:rPr>
      </w:pPr>
    </w:p>
    <w:p w14:paraId="0D5D2535" w14:textId="77777777" w:rsidR="007960A8" w:rsidRDefault="00A26397">
      <w:pPr>
        <w:numPr>
          <w:ilvl w:val="3"/>
          <w:numId w:val="77"/>
        </w:numPr>
        <w:pBdr>
          <w:top w:val="nil"/>
          <w:left w:val="nil"/>
          <w:bottom w:val="nil"/>
          <w:right w:val="nil"/>
          <w:between w:val="nil"/>
        </w:pBdr>
        <w:tabs>
          <w:tab w:val="left" w:pos="3101"/>
        </w:tabs>
        <w:ind w:right="212" w:hanging="1081"/>
        <w:jc w:val="both"/>
        <w:rPr>
          <w:color w:val="000000"/>
        </w:rPr>
      </w:pPr>
      <w:r>
        <w:rPr>
          <w:color w:val="000000"/>
        </w:rPr>
        <w:t xml:space="preserve">The </w:t>
      </w:r>
      <w:r>
        <w:rPr>
          <w:i/>
          <w:iCs/>
          <w:color w:val="000000"/>
        </w:rPr>
        <w:t xml:space="preserve">Service Provider </w:t>
      </w:r>
      <w:r>
        <w:rPr>
          <w:color w:val="000000"/>
        </w:rPr>
        <w:t xml:space="preserve">will provide the </w:t>
      </w:r>
      <w:r>
        <w:rPr>
          <w:i/>
          <w:iCs/>
          <w:color w:val="000000"/>
        </w:rPr>
        <w:t xml:space="preserve">Client’s Agent/Service Manager </w:t>
      </w:r>
      <w:r>
        <w:rPr>
          <w:color w:val="000000"/>
        </w:rPr>
        <w:t xml:space="preserve">with the results of such reviews as soon as reasonably practicable after their completion and amend the ISMS and Security Management Plan at no additional cost to the </w:t>
      </w:r>
      <w:r>
        <w:rPr>
          <w:i/>
          <w:iCs/>
          <w:color w:val="000000"/>
        </w:rPr>
        <w:t>Client</w:t>
      </w:r>
      <w:r>
        <w:rPr>
          <w:color w:val="000000"/>
        </w:rPr>
        <w:t>. The results of t</w:t>
      </w:r>
      <w:r>
        <w:rPr>
          <w:color w:val="000000"/>
        </w:rPr>
        <w:t>he review should include, without limitation:</w:t>
      </w:r>
    </w:p>
    <w:p w14:paraId="49690FCF" w14:textId="77777777" w:rsidR="007960A8" w:rsidRDefault="007960A8">
      <w:pPr>
        <w:pBdr>
          <w:top w:val="nil"/>
          <w:left w:val="nil"/>
          <w:bottom w:val="nil"/>
          <w:right w:val="nil"/>
          <w:between w:val="nil"/>
        </w:pBdr>
        <w:spacing w:before="9"/>
        <w:rPr>
          <w:color w:val="000000"/>
          <w:sz w:val="20"/>
          <w:szCs w:val="20"/>
        </w:rPr>
      </w:pPr>
    </w:p>
    <w:p w14:paraId="5E9062D2" w14:textId="77777777" w:rsidR="007960A8" w:rsidRDefault="00A26397">
      <w:pPr>
        <w:numPr>
          <w:ilvl w:val="4"/>
          <w:numId w:val="77"/>
        </w:numPr>
        <w:pBdr>
          <w:top w:val="nil"/>
          <w:left w:val="nil"/>
          <w:bottom w:val="nil"/>
          <w:right w:val="nil"/>
          <w:between w:val="nil"/>
        </w:pBdr>
        <w:tabs>
          <w:tab w:val="left" w:pos="3821"/>
        </w:tabs>
        <w:spacing w:before="1"/>
        <w:ind w:right="217"/>
        <w:jc w:val="both"/>
        <w:rPr>
          <w:color w:val="000000"/>
        </w:rPr>
      </w:pPr>
      <w:r>
        <w:rPr>
          <w:color w:val="000000"/>
        </w:rPr>
        <w:t>suggested improvements to the effectiveness of the ISMS;</w:t>
      </w:r>
    </w:p>
    <w:p w14:paraId="642BFE55" w14:textId="77777777" w:rsidR="007960A8" w:rsidRDefault="007960A8">
      <w:pPr>
        <w:pBdr>
          <w:top w:val="nil"/>
          <w:left w:val="nil"/>
          <w:bottom w:val="nil"/>
          <w:right w:val="nil"/>
          <w:between w:val="nil"/>
        </w:pBdr>
        <w:spacing w:before="8"/>
        <w:rPr>
          <w:color w:val="000000"/>
          <w:sz w:val="20"/>
          <w:szCs w:val="20"/>
        </w:rPr>
      </w:pPr>
    </w:p>
    <w:p w14:paraId="06C9003D" w14:textId="77777777" w:rsidR="007960A8" w:rsidRDefault="00A26397">
      <w:pPr>
        <w:numPr>
          <w:ilvl w:val="4"/>
          <w:numId w:val="77"/>
        </w:numPr>
        <w:pBdr>
          <w:top w:val="nil"/>
          <w:left w:val="nil"/>
          <w:bottom w:val="nil"/>
          <w:right w:val="nil"/>
          <w:between w:val="nil"/>
        </w:pBdr>
        <w:tabs>
          <w:tab w:val="left" w:pos="3821"/>
        </w:tabs>
        <w:rPr>
          <w:color w:val="000000"/>
        </w:rPr>
      </w:pPr>
      <w:r>
        <w:rPr>
          <w:color w:val="000000"/>
        </w:rPr>
        <w:t>updates to the risk assessments;</w:t>
      </w:r>
    </w:p>
    <w:p w14:paraId="681AD337" w14:textId="77777777" w:rsidR="007960A8" w:rsidRDefault="007960A8">
      <w:pPr>
        <w:pBdr>
          <w:top w:val="nil"/>
          <w:left w:val="nil"/>
          <w:bottom w:val="nil"/>
          <w:right w:val="nil"/>
          <w:between w:val="nil"/>
        </w:pBdr>
        <w:rPr>
          <w:color w:val="000000"/>
          <w:sz w:val="21"/>
          <w:szCs w:val="21"/>
        </w:rPr>
      </w:pPr>
    </w:p>
    <w:p w14:paraId="6825C184" w14:textId="77777777" w:rsidR="007960A8" w:rsidRDefault="00A26397">
      <w:pPr>
        <w:numPr>
          <w:ilvl w:val="4"/>
          <w:numId w:val="77"/>
        </w:numPr>
        <w:pBdr>
          <w:top w:val="nil"/>
          <w:left w:val="nil"/>
          <w:bottom w:val="nil"/>
          <w:right w:val="nil"/>
          <w:between w:val="nil"/>
        </w:pBdr>
        <w:tabs>
          <w:tab w:val="left" w:pos="3821"/>
        </w:tabs>
        <w:ind w:right="216"/>
        <w:jc w:val="both"/>
        <w:rPr>
          <w:color w:val="000000"/>
        </w:rPr>
      </w:pPr>
      <w:r>
        <w:rPr>
          <w:color w:val="000000"/>
        </w:rPr>
        <w:t>proposed modifications to the procedures and controls that effect information security to respond to events that may impact on the ISMS; and</w:t>
      </w:r>
    </w:p>
    <w:p w14:paraId="0B7DCB4F" w14:textId="77777777" w:rsidR="007960A8" w:rsidRDefault="007960A8">
      <w:pPr>
        <w:pBdr>
          <w:top w:val="nil"/>
          <w:left w:val="nil"/>
          <w:bottom w:val="nil"/>
          <w:right w:val="nil"/>
          <w:between w:val="nil"/>
        </w:pBdr>
        <w:spacing w:before="9"/>
        <w:rPr>
          <w:color w:val="000000"/>
          <w:sz w:val="20"/>
          <w:szCs w:val="20"/>
        </w:rPr>
      </w:pPr>
    </w:p>
    <w:p w14:paraId="73ED4DD1" w14:textId="77777777" w:rsidR="007960A8" w:rsidRDefault="00A26397">
      <w:pPr>
        <w:numPr>
          <w:ilvl w:val="4"/>
          <w:numId w:val="77"/>
        </w:numPr>
        <w:pBdr>
          <w:top w:val="nil"/>
          <w:left w:val="nil"/>
          <w:bottom w:val="nil"/>
          <w:right w:val="nil"/>
          <w:between w:val="nil"/>
        </w:pBdr>
        <w:tabs>
          <w:tab w:val="left" w:pos="3821"/>
        </w:tabs>
        <w:spacing w:before="1"/>
        <w:ind w:right="217"/>
        <w:jc w:val="both"/>
        <w:rPr>
          <w:color w:val="000000"/>
        </w:rPr>
      </w:pPr>
      <w:r>
        <w:rPr>
          <w:color w:val="000000"/>
        </w:rPr>
        <w:t>suggested improvements in measuring the effectiveness of controls.</w:t>
      </w:r>
    </w:p>
    <w:p w14:paraId="71CF4D00" w14:textId="77777777" w:rsidR="007960A8" w:rsidRDefault="007960A8">
      <w:pPr>
        <w:pBdr>
          <w:top w:val="nil"/>
          <w:left w:val="nil"/>
          <w:bottom w:val="nil"/>
          <w:right w:val="nil"/>
          <w:between w:val="nil"/>
        </w:pBdr>
        <w:spacing w:before="10"/>
        <w:rPr>
          <w:color w:val="000000"/>
          <w:sz w:val="20"/>
          <w:szCs w:val="20"/>
        </w:rPr>
      </w:pPr>
    </w:p>
    <w:p w14:paraId="38C9DF6E" w14:textId="77777777" w:rsidR="007960A8" w:rsidRDefault="00A26397">
      <w:pPr>
        <w:numPr>
          <w:ilvl w:val="3"/>
          <w:numId w:val="77"/>
        </w:numPr>
        <w:pBdr>
          <w:top w:val="nil"/>
          <w:left w:val="nil"/>
          <w:bottom w:val="nil"/>
          <w:right w:val="nil"/>
          <w:between w:val="nil"/>
        </w:pBdr>
        <w:tabs>
          <w:tab w:val="left" w:pos="3101"/>
        </w:tabs>
        <w:ind w:right="214" w:hanging="1081"/>
        <w:jc w:val="both"/>
        <w:rPr>
          <w:color w:val="000000"/>
        </w:rPr>
      </w:pPr>
      <w:r>
        <w:rPr>
          <w:color w:val="000000"/>
        </w:rPr>
        <w:t xml:space="preserve">On receipt of the results of such reviews, the </w:t>
      </w:r>
      <w:r>
        <w:rPr>
          <w:i/>
          <w:iCs/>
          <w:color w:val="000000"/>
        </w:rPr>
        <w:t xml:space="preserve">Client’s Agent/Service Manager </w:t>
      </w:r>
      <w:r>
        <w:rPr>
          <w:color w:val="000000"/>
        </w:rPr>
        <w:t xml:space="preserve">will accept any amendments or revisions to the ISMS or Security Management Plan in accordance with the process set out at paragraph </w:t>
      </w:r>
      <w:hyperlink w:anchor="bookmark=id.f12yd8xerrh">
        <w:r>
          <w:rPr>
            <w:color w:val="000000"/>
          </w:rPr>
          <w:t>1.4.2.2</w:t>
        </w:r>
      </w:hyperlink>
      <w:r>
        <w:rPr>
          <w:color w:val="000000"/>
        </w:rPr>
        <w:t>.</w:t>
      </w:r>
    </w:p>
    <w:p w14:paraId="338D3E20" w14:textId="77777777" w:rsidR="007960A8" w:rsidRDefault="007960A8">
      <w:pPr>
        <w:pBdr>
          <w:top w:val="nil"/>
          <w:left w:val="nil"/>
          <w:bottom w:val="nil"/>
          <w:right w:val="nil"/>
          <w:between w:val="nil"/>
        </w:pBdr>
        <w:spacing w:before="8"/>
        <w:rPr>
          <w:color w:val="000000"/>
          <w:sz w:val="20"/>
          <w:szCs w:val="20"/>
        </w:rPr>
      </w:pPr>
    </w:p>
    <w:p w14:paraId="4C95302F" w14:textId="77777777" w:rsidR="007960A8" w:rsidRDefault="00A26397">
      <w:pPr>
        <w:numPr>
          <w:ilvl w:val="3"/>
          <w:numId w:val="77"/>
        </w:numPr>
        <w:pBdr>
          <w:top w:val="nil"/>
          <w:left w:val="nil"/>
          <w:bottom w:val="nil"/>
          <w:right w:val="nil"/>
          <w:between w:val="nil"/>
        </w:pBdr>
        <w:tabs>
          <w:tab w:val="left" w:pos="3101"/>
        </w:tabs>
        <w:spacing w:before="1"/>
        <w:ind w:right="213" w:hanging="1081"/>
        <w:jc w:val="both"/>
        <w:rPr>
          <w:color w:val="000000"/>
        </w:rPr>
      </w:pPr>
      <w:r>
        <w:rPr>
          <w:color w:val="000000"/>
        </w:rPr>
        <w:t xml:space="preserve">Any change or amendment which the </w:t>
      </w:r>
      <w:r>
        <w:rPr>
          <w:i/>
          <w:iCs/>
          <w:color w:val="000000"/>
        </w:rPr>
        <w:t xml:space="preserve">Service Provider </w:t>
      </w:r>
      <w:r>
        <w:rPr>
          <w:color w:val="000000"/>
        </w:rPr>
        <w:t xml:space="preserve">proposes to make to the ISMS or Security Management Plan (as a result of a </w:t>
      </w:r>
      <w:r>
        <w:rPr>
          <w:i/>
          <w:iCs/>
          <w:color w:val="000000"/>
        </w:rPr>
        <w:t xml:space="preserve">Client’s Agent/Service Manager’s </w:t>
      </w:r>
      <w:r>
        <w:rPr>
          <w:color w:val="000000"/>
        </w:rPr>
        <w:t xml:space="preserve">request or change to the </w:t>
      </w:r>
      <w:r>
        <w:rPr>
          <w:i/>
          <w:iCs/>
          <w:color w:val="000000"/>
        </w:rPr>
        <w:t xml:space="preserve">service </w:t>
      </w:r>
      <w:r>
        <w:rPr>
          <w:color w:val="000000"/>
        </w:rPr>
        <w:t xml:space="preserve">or otherwise) shall be subject to the early warning procedure and shall not be implemented until accepted in writing by the </w:t>
      </w:r>
      <w:r>
        <w:rPr>
          <w:i/>
          <w:iCs/>
          <w:color w:val="000000"/>
        </w:rPr>
        <w:t>Client’s Agent/Service Manager</w:t>
      </w:r>
      <w:r>
        <w:rPr>
          <w:color w:val="000000"/>
        </w:rPr>
        <w:t>.</w:t>
      </w:r>
    </w:p>
    <w:p w14:paraId="12665DC2" w14:textId="77777777" w:rsidR="007960A8" w:rsidRDefault="007960A8">
      <w:pPr>
        <w:pBdr>
          <w:top w:val="nil"/>
          <w:left w:val="nil"/>
          <w:bottom w:val="nil"/>
          <w:right w:val="nil"/>
          <w:between w:val="nil"/>
        </w:pBdr>
        <w:spacing w:before="10"/>
        <w:rPr>
          <w:color w:val="000000"/>
          <w:sz w:val="12"/>
          <w:szCs w:val="12"/>
        </w:rPr>
      </w:pPr>
    </w:p>
    <w:p w14:paraId="7C27976A" w14:textId="77777777" w:rsidR="007960A8" w:rsidRDefault="00A26397">
      <w:pPr>
        <w:numPr>
          <w:ilvl w:val="2"/>
          <w:numId w:val="115"/>
        </w:numPr>
        <w:pBdr>
          <w:top w:val="nil"/>
          <w:left w:val="nil"/>
          <w:bottom w:val="nil"/>
          <w:right w:val="nil"/>
          <w:between w:val="nil"/>
        </w:pBdr>
        <w:tabs>
          <w:tab w:val="left" w:pos="2021"/>
        </w:tabs>
        <w:spacing w:before="93"/>
        <w:ind w:hanging="1081"/>
        <w:rPr>
          <w:color w:val="000000"/>
        </w:rPr>
      </w:pPr>
      <w:r>
        <w:rPr>
          <w:color w:val="000000"/>
        </w:rPr>
        <w:t>Testing</w:t>
      </w:r>
    </w:p>
    <w:p w14:paraId="15E8C9B4" w14:textId="77777777" w:rsidR="007960A8" w:rsidRDefault="007960A8">
      <w:pPr>
        <w:pBdr>
          <w:top w:val="nil"/>
          <w:left w:val="nil"/>
          <w:bottom w:val="nil"/>
          <w:right w:val="nil"/>
          <w:between w:val="nil"/>
        </w:pBdr>
        <w:spacing w:before="7"/>
        <w:rPr>
          <w:color w:val="000000"/>
          <w:sz w:val="19"/>
          <w:szCs w:val="19"/>
        </w:rPr>
      </w:pPr>
    </w:p>
    <w:p w14:paraId="1E8EAC2D" w14:textId="77777777" w:rsidR="007960A8" w:rsidRDefault="00A26397">
      <w:pPr>
        <w:numPr>
          <w:ilvl w:val="3"/>
          <w:numId w:val="66"/>
        </w:numPr>
        <w:pBdr>
          <w:top w:val="nil"/>
          <w:left w:val="nil"/>
          <w:bottom w:val="nil"/>
          <w:right w:val="nil"/>
          <w:between w:val="nil"/>
        </w:pBdr>
        <w:tabs>
          <w:tab w:val="left" w:pos="3101"/>
        </w:tabs>
        <w:ind w:right="218" w:hanging="1081"/>
        <w:jc w:val="both"/>
        <w:rPr>
          <w:i/>
          <w:iCs/>
          <w:color w:val="000000"/>
        </w:rPr>
      </w:pPr>
      <w:r>
        <w:rPr>
          <w:color w:val="000000"/>
        </w:rPr>
        <w:t xml:space="preserve">The </w:t>
      </w:r>
      <w:r>
        <w:rPr>
          <w:i/>
          <w:iCs/>
          <w:color w:val="000000"/>
        </w:rPr>
        <w:t xml:space="preserve">Service Provider </w:t>
      </w:r>
      <w:r>
        <w:rPr>
          <w:color w:val="000000"/>
        </w:rPr>
        <w:t xml:space="preserve">shall conduct Security Tests of the ISMS on an annual basis or as otherwise agreed by the parties. The date, timing, content and conduct of such Security Tests shall be agreed in advance with the </w:t>
      </w:r>
      <w:r>
        <w:rPr>
          <w:i/>
          <w:iCs/>
          <w:color w:val="000000"/>
        </w:rPr>
        <w:t>Client’s Agent/Service Manager.</w:t>
      </w:r>
    </w:p>
    <w:p w14:paraId="626FED26" w14:textId="77777777" w:rsidR="007960A8" w:rsidRDefault="007960A8">
      <w:pPr>
        <w:pBdr>
          <w:top w:val="nil"/>
          <w:left w:val="nil"/>
          <w:bottom w:val="nil"/>
          <w:right w:val="nil"/>
          <w:between w:val="nil"/>
        </w:pBdr>
        <w:spacing w:before="11"/>
        <w:rPr>
          <w:i/>
          <w:iCs/>
          <w:color w:val="000000"/>
          <w:sz w:val="20"/>
          <w:szCs w:val="20"/>
        </w:rPr>
      </w:pPr>
    </w:p>
    <w:p w14:paraId="7AE9AA7C" w14:textId="77777777" w:rsidR="007960A8" w:rsidRDefault="00A26397">
      <w:pPr>
        <w:numPr>
          <w:ilvl w:val="3"/>
          <w:numId w:val="66"/>
        </w:numPr>
        <w:pBdr>
          <w:top w:val="nil"/>
          <w:left w:val="nil"/>
          <w:bottom w:val="nil"/>
          <w:right w:val="nil"/>
          <w:between w:val="nil"/>
        </w:pBdr>
        <w:tabs>
          <w:tab w:val="left" w:pos="3101"/>
        </w:tabs>
        <w:ind w:right="213" w:hanging="1081"/>
        <w:jc w:val="both"/>
        <w:rPr>
          <w:color w:val="000000"/>
        </w:rPr>
      </w:pPr>
      <w:bookmarkStart w:id="8" w:name="_heading=h.727gtqv0eb2h" w:colFirst="0" w:colLast="0"/>
      <w:bookmarkEnd w:id="8"/>
      <w:r>
        <w:rPr>
          <w:color w:val="000000"/>
        </w:rPr>
        <w:t xml:space="preserve">The </w:t>
      </w:r>
      <w:r>
        <w:rPr>
          <w:i/>
          <w:iCs/>
          <w:color w:val="000000"/>
        </w:rPr>
        <w:t xml:space="preserve">Client’s Agent/Service </w:t>
      </w:r>
      <w:r>
        <w:rPr>
          <w:i/>
          <w:iCs/>
          <w:color w:val="000000"/>
        </w:rPr>
        <w:t xml:space="preserve">Manager </w:t>
      </w:r>
      <w:r>
        <w:rPr>
          <w:color w:val="000000"/>
        </w:rPr>
        <w:t xml:space="preserve">shall be entitled to witness the conduct of the Security Tests. The </w:t>
      </w:r>
      <w:r>
        <w:rPr>
          <w:i/>
          <w:iCs/>
          <w:color w:val="000000"/>
        </w:rPr>
        <w:t xml:space="preserve">Service Provider </w:t>
      </w:r>
      <w:r>
        <w:rPr>
          <w:color w:val="000000"/>
        </w:rPr>
        <w:t xml:space="preserve">shall provide the </w:t>
      </w:r>
      <w:r>
        <w:rPr>
          <w:i/>
          <w:iCs/>
          <w:color w:val="000000"/>
        </w:rPr>
        <w:t xml:space="preserve">Client’s Agent/Service Manager </w:t>
      </w:r>
      <w:r>
        <w:rPr>
          <w:color w:val="000000"/>
        </w:rPr>
        <w:t xml:space="preserve">with the results of such tests (in a form accepted by the </w:t>
      </w:r>
      <w:r>
        <w:rPr>
          <w:i/>
          <w:iCs/>
          <w:color w:val="000000"/>
        </w:rPr>
        <w:t xml:space="preserve">Client </w:t>
      </w:r>
      <w:r>
        <w:rPr>
          <w:color w:val="000000"/>
        </w:rPr>
        <w:t>in advance) as soon as practicable after completi</w:t>
      </w:r>
      <w:r>
        <w:rPr>
          <w:color w:val="000000"/>
        </w:rPr>
        <w:t>on of each Security Test.</w:t>
      </w:r>
    </w:p>
    <w:p w14:paraId="713E5586" w14:textId="77777777" w:rsidR="007960A8" w:rsidRDefault="007960A8">
      <w:pPr>
        <w:pBdr>
          <w:top w:val="nil"/>
          <w:left w:val="nil"/>
          <w:bottom w:val="nil"/>
          <w:right w:val="nil"/>
          <w:between w:val="nil"/>
        </w:pBdr>
        <w:spacing w:before="10"/>
        <w:rPr>
          <w:color w:val="000000"/>
          <w:sz w:val="20"/>
          <w:szCs w:val="20"/>
        </w:rPr>
      </w:pPr>
    </w:p>
    <w:p w14:paraId="7F63E6E5" w14:textId="77777777" w:rsidR="007960A8" w:rsidRDefault="00A26397">
      <w:pPr>
        <w:numPr>
          <w:ilvl w:val="3"/>
          <w:numId w:val="66"/>
        </w:numPr>
        <w:pBdr>
          <w:top w:val="nil"/>
          <w:left w:val="nil"/>
          <w:bottom w:val="nil"/>
          <w:right w:val="nil"/>
          <w:between w:val="nil"/>
        </w:pBdr>
        <w:tabs>
          <w:tab w:val="left" w:pos="3101"/>
        </w:tabs>
        <w:ind w:right="212" w:hanging="1081"/>
        <w:jc w:val="both"/>
        <w:rPr>
          <w:color w:val="000000"/>
        </w:rPr>
      </w:pPr>
      <w:bookmarkStart w:id="9" w:name="_heading=h.83v0vsuq9to" w:colFirst="0" w:colLast="0"/>
      <w:bookmarkEnd w:id="9"/>
      <w:r>
        <w:rPr>
          <w:color w:val="000000"/>
        </w:rPr>
        <w:t xml:space="preserve">Without prejudice to any other right of audit or access granted to the </w:t>
      </w:r>
      <w:r>
        <w:rPr>
          <w:i/>
          <w:iCs/>
          <w:color w:val="000000"/>
        </w:rPr>
        <w:t xml:space="preserve">Client </w:t>
      </w:r>
      <w:r>
        <w:rPr>
          <w:color w:val="000000"/>
        </w:rPr>
        <w:t xml:space="preserve">pursuant to this contract, the </w:t>
      </w:r>
      <w:r>
        <w:rPr>
          <w:i/>
          <w:iCs/>
          <w:color w:val="000000"/>
        </w:rPr>
        <w:t xml:space="preserve">Client’s Agent/Service Manager </w:t>
      </w:r>
      <w:r>
        <w:rPr>
          <w:color w:val="000000"/>
        </w:rPr>
        <w:t xml:space="preserve">and/or its authorised representatives shall be entitled, at any time and without giving notice to the </w:t>
      </w:r>
      <w:r>
        <w:rPr>
          <w:i/>
          <w:iCs/>
          <w:color w:val="000000"/>
        </w:rPr>
        <w:t>Service Provider</w:t>
      </w:r>
      <w:r>
        <w:rPr>
          <w:color w:val="000000"/>
        </w:rPr>
        <w:t xml:space="preserve">, to carry out such tests (including penetration tests) as it may deem necessary in relation to the ISMS and the </w:t>
      </w:r>
      <w:r>
        <w:rPr>
          <w:i/>
          <w:iCs/>
          <w:color w:val="000000"/>
        </w:rPr>
        <w:t>Service Provider</w:t>
      </w:r>
      <w:r>
        <w:rPr>
          <w:color w:val="000000"/>
        </w:rPr>
        <w:t>'s compli</w:t>
      </w:r>
      <w:r>
        <w:rPr>
          <w:color w:val="000000"/>
        </w:rPr>
        <w:t xml:space="preserve">ance with the ISMS and the Security Management Plan. The </w:t>
      </w:r>
      <w:r>
        <w:rPr>
          <w:i/>
          <w:iCs/>
          <w:color w:val="000000"/>
        </w:rPr>
        <w:t xml:space="preserve">Client’s Agent/Service Manager </w:t>
      </w:r>
      <w:r>
        <w:rPr>
          <w:color w:val="000000"/>
        </w:rPr>
        <w:t xml:space="preserve">may notify the </w:t>
      </w:r>
      <w:r>
        <w:rPr>
          <w:i/>
          <w:iCs/>
          <w:color w:val="000000"/>
        </w:rPr>
        <w:t xml:space="preserve">Service Provider </w:t>
      </w:r>
      <w:r>
        <w:rPr>
          <w:color w:val="000000"/>
        </w:rPr>
        <w:t xml:space="preserve">of the results of such tests after completion of each such test. Security Tests shall be designed and implemented so as to minimise the </w:t>
      </w:r>
      <w:r>
        <w:rPr>
          <w:color w:val="000000"/>
        </w:rPr>
        <w:t xml:space="preserve">impact on the carrying out of the </w:t>
      </w:r>
      <w:r>
        <w:rPr>
          <w:i/>
          <w:iCs/>
          <w:color w:val="000000"/>
        </w:rPr>
        <w:t>service</w:t>
      </w:r>
      <w:r>
        <w:rPr>
          <w:color w:val="000000"/>
        </w:rPr>
        <w:t xml:space="preserve">. If such tests adversely affect the </w:t>
      </w:r>
      <w:r>
        <w:rPr>
          <w:i/>
          <w:iCs/>
          <w:color w:val="000000"/>
        </w:rPr>
        <w:t>Service Provider</w:t>
      </w:r>
      <w:r>
        <w:rPr>
          <w:color w:val="000000"/>
        </w:rPr>
        <w:t xml:space="preserve">’s ability to carry out the </w:t>
      </w:r>
      <w:r>
        <w:rPr>
          <w:i/>
          <w:iCs/>
          <w:color w:val="000000"/>
        </w:rPr>
        <w:t xml:space="preserve">service </w:t>
      </w:r>
      <w:r>
        <w:rPr>
          <w:color w:val="000000"/>
        </w:rPr>
        <w:t xml:space="preserve">in accordance with the Scope, the </w:t>
      </w:r>
      <w:r>
        <w:rPr>
          <w:i/>
          <w:iCs/>
          <w:color w:val="000000"/>
        </w:rPr>
        <w:t xml:space="preserve">Service Provider </w:t>
      </w:r>
      <w:r>
        <w:rPr>
          <w:color w:val="000000"/>
        </w:rPr>
        <w:t>shall be granted relief against any resultant under-performance for the per</w:t>
      </w:r>
      <w:r>
        <w:rPr>
          <w:color w:val="000000"/>
        </w:rPr>
        <w:t>iod of the tests.</w:t>
      </w:r>
    </w:p>
    <w:p w14:paraId="369DCAB7" w14:textId="77777777" w:rsidR="007960A8" w:rsidRDefault="007960A8">
      <w:pPr>
        <w:pBdr>
          <w:top w:val="nil"/>
          <w:left w:val="nil"/>
          <w:bottom w:val="nil"/>
          <w:right w:val="nil"/>
          <w:between w:val="nil"/>
        </w:pBdr>
        <w:spacing w:before="9"/>
        <w:rPr>
          <w:color w:val="000000"/>
          <w:sz w:val="20"/>
          <w:szCs w:val="20"/>
        </w:rPr>
      </w:pPr>
    </w:p>
    <w:p w14:paraId="5E769B21" w14:textId="77777777" w:rsidR="007960A8" w:rsidRDefault="00A26397">
      <w:pPr>
        <w:numPr>
          <w:ilvl w:val="3"/>
          <w:numId w:val="66"/>
        </w:numPr>
        <w:pBdr>
          <w:top w:val="nil"/>
          <w:left w:val="nil"/>
          <w:bottom w:val="nil"/>
          <w:right w:val="nil"/>
          <w:between w:val="nil"/>
        </w:pBdr>
        <w:tabs>
          <w:tab w:val="left" w:pos="3101"/>
        </w:tabs>
        <w:ind w:hanging="1081"/>
        <w:jc w:val="both"/>
        <w:rPr>
          <w:color w:val="000000"/>
        </w:rPr>
      </w:pPr>
      <w:r>
        <w:rPr>
          <w:color w:val="000000"/>
        </w:rPr>
        <w:t>Where any Security Test carried out pursuant to paragraphs</w:t>
      </w:r>
    </w:p>
    <w:p w14:paraId="072A3A3A" w14:textId="77777777" w:rsidR="007960A8" w:rsidRDefault="00A26397">
      <w:pPr>
        <w:pBdr>
          <w:top w:val="nil"/>
          <w:left w:val="nil"/>
          <w:bottom w:val="nil"/>
          <w:right w:val="nil"/>
          <w:between w:val="nil"/>
        </w:pBdr>
        <w:spacing w:before="2"/>
        <w:ind w:left="3101" w:right="213"/>
        <w:jc w:val="both"/>
        <w:rPr>
          <w:color w:val="000000"/>
        </w:rPr>
      </w:pPr>
      <w:hyperlink w:anchor="bookmark=id.refyl5oh71jl">
        <w:r>
          <w:rPr>
            <w:color w:val="000000"/>
          </w:rPr>
          <w:t xml:space="preserve">1.4.5.2 </w:t>
        </w:r>
      </w:hyperlink>
      <w:r>
        <w:rPr>
          <w:color w:val="000000"/>
        </w:rPr>
        <w:t xml:space="preserve">or </w:t>
      </w:r>
      <w:hyperlink w:anchor="bookmark=id.2vk16fcnjttw">
        <w:r>
          <w:rPr>
            <w:color w:val="000000"/>
          </w:rPr>
          <w:t xml:space="preserve">1.4.5.3 </w:t>
        </w:r>
      </w:hyperlink>
      <w:r>
        <w:rPr>
          <w:color w:val="000000"/>
        </w:rPr>
        <w:t xml:space="preserve">above reveals any actual or potential Breach of Security, the </w:t>
      </w:r>
      <w:r>
        <w:rPr>
          <w:i/>
          <w:iCs/>
          <w:color w:val="000000"/>
        </w:rPr>
        <w:t xml:space="preserve">Service Provider </w:t>
      </w:r>
      <w:r>
        <w:rPr>
          <w:color w:val="000000"/>
        </w:rPr>
        <w:t xml:space="preserve">shall promptly notify the </w:t>
      </w:r>
      <w:r>
        <w:rPr>
          <w:i/>
          <w:iCs/>
          <w:color w:val="000000"/>
        </w:rPr>
        <w:t xml:space="preserve">Client’s Agent/Service Manager </w:t>
      </w:r>
      <w:r>
        <w:rPr>
          <w:color w:val="000000"/>
        </w:rPr>
        <w:t xml:space="preserve">of any changes to the ISMS and to the Security Management Plan (and the implementation thereof) which the </w:t>
      </w:r>
      <w:r>
        <w:rPr>
          <w:i/>
          <w:iCs/>
          <w:color w:val="000000"/>
        </w:rPr>
        <w:t>Service Provid</w:t>
      </w:r>
      <w:r>
        <w:rPr>
          <w:i/>
          <w:iCs/>
          <w:color w:val="000000"/>
        </w:rPr>
        <w:t xml:space="preserve">er </w:t>
      </w:r>
      <w:r>
        <w:rPr>
          <w:color w:val="000000"/>
        </w:rPr>
        <w:t xml:space="preserve">proposes to make in order to correct such failure or weakness. Subject to the </w:t>
      </w:r>
      <w:r>
        <w:rPr>
          <w:i/>
          <w:iCs/>
          <w:color w:val="000000"/>
        </w:rPr>
        <w:t>Client’s Agent/Service Manager</w:t>
      </w:r>
      <w:r>
        <w:rPr>
          <w:color w:val="000000"/>
        </w:rPr>
        <w:t xml:space="preserve">'s acceptance in accordance with paragraph </w:t>
      </w:r>
      <w:hyperlink w:anchor="bookmark=id.sni1y5z0mknn">
        <w:r>
          <w:rPr>
            <w:color w:val="000000"/>
          </w:rPr>
          <w:t>(i)</w:t>
        </w:r>
      </w:hyperlink>
      <w:r>
        <w:rPr>
          <w:color w:val="000000"/>
        </w:rPr>
        <w:t xml:space="preserve">, the </w:t>
      </w:r>
      <w:r>
        <w:rPr>
          <w:i/>
          <w:iCs/>
          <w:color w:val="000000"/>
        </w:rPr>
        <w:t xml:space="preserve">Service Provider </w:t>
      </w:r>
      <w:r>
        <w:rPr>
          <w:color w:val="000000"/>
        </w:rPr>
        <w:t xml:space="preserve">shall implement such changes </w:t>
      </w:r>
      <w:r>
        <w:rPr>
          <w:color w:val="000000"/>
        </w:rPr>
        <w:t xml:space="preserve">to the ISMS and the Security Management Plan in accordance with the timetable agreed with the </w:t>
      </w:r>
      <w:r>
        <w:rPr>
          <w:i/>
          <w:iCs/>
          <w:color w:val="000000"/>
        </w:rPr>
        <w:t xml:space="preserve">Client’s Agent/Service Manager </w:t>
      </w:r>
      <w:r>
        <w:rPr>
          <w:color w:val="000000"/>
        </w:rPr>
        <w:t>or, otherwise, as soon as reasonably possible. Where the change to the ISMS or Security Management Plan is made to address a non-co</w:t>
      </w:r>
      <w:r>
        <w:rPr>
          <w:color w:val="000000"/>
        </w:rPr>
        <w:t>mpliance with the Security Policy or Security Requirements, the change to the ISMS or Security Management Plan is Disallowed Cost.</w:t>
      </w:r>
    </w:p>
    <w:p w14:paraId="7A08727F" w14:textId="77777777" w:rsidR="007960A8" w:rsidRDefault="007960A8">
      <w:pPr>
        <w:pBdr>
          <w:top w:val="nil"/>
          <w:left w:val="nil"/>
          <w:bottom w:val="nil"/>
          <w:right w:val="nil"/>
          <w:between w:val="nil"/>
        </w:pBdr>
        <w:spacing w:before="11"/>
        <w:rPr>
          <w:color w:val="000000"/>
          <w:sz w:val="20"/>
          <w:szCs w:val="20"/>
        </w:rPr>
      </w:pPr>
    </w:p>
    <w:p w14:paraId="311D7184" w14:textId="77777777" w:rsidR="007960A8" w:rsidRDefault="00A26397">
      <w:pPr>
        <w:numPr>
          <w:ilvl w:val="1"/>
          <w:numId w:val="66"/>
        </w:numPr>
        <w:pBdr>
          <w:top w:val="nil"/>
          <w:left w:val="nil"/>
          <w:bottom w:val="nil"/>
          <w:right w:val="nil"/>
          <w:between w:val="nil"/>
        </w:pBdr>
        <w:tabs>
          <w:tab w:val="left" w:pos="941"/>
        </w:tabs>
        <w:ind w:left="940" w:hanging="721"/>
        <w:rPr>
          <w:color w:val="000000"/>
        </w:rPr>
      </w:pPr>
      <w:r>
        <w:rPr>
          <w:color w:val="000000"/>
        </w:rPr>
        <w:t>Compliance with ISO/IEC 27001</w:t>
      </w:r>
    </w:p>
    <w:p w14:paraId="5198A6B3" w14:textId="77777777" w:rsidR="007960A8" w:rsidRDefault="007960A8">
      <w:pPr>
        <w:pBdr>
          <w:top w:val="nil"/>
          <w:left w:val="nil"/>
          <w:bottom w:val="nil"/>
          <w:right w:val="nil"/>
          <w:between w:val="nil"/>
        </w:pBdr>
        <w:spacing w:before="9"/>
        <w:rPr>
          <w:color w:val="000000"/>
          <w:sz w:val="20"/>
          <w:szCs w:val="20"/>
        </w:rPr>
      </w:pPr>
    </w:p>
    <w:p w14:paraId="68400162" w14:textId="77777777" w:rsidR="007960A8" w:rsidRDefault="00A26397">
      <w:pPr>
        <w:numPr>
          <w:ilvl w:val="2"/>
          <w:numId w:val="55"/>
        </w:numPr>
        <w:pBdr>
          <w:top w:val="nil"/>
          <w:left w:val="nil"/>
          <w:bottom w:val="nil"/>
          <w:right w:val="nil"/>
          <w:between w:val="nil"/>
        </w:pBdr>
        <w:tabs>
          <w:tab w:val="left" w:pos="2021"/>
        </w:tabs>
        <w:ind w:right="213"/>
        <w:jc w:val="both"/>
        <w:rPr>
          <w:color w:val="000000"/>
        </w:rPr>
      </w:pPr>
      <w:bookmarkStart w:id="10" w:name="_heading=h.26f7rp3vcbmw" w:colFirst="0" w:colLast="0"/>
      <w:bookmarkEnd w:id="10"/>
      <w:r>
        <w:rPr>
          <w:color w:val="000000"/>
        </w:rPr>
        <w:t xml:space="preserve">Unless otherwise agreed by the parties, the </w:t>
      </w:r>
      <w:r>
        <w:rPr>
          <w:i/>
          <w:iCs/>
          <w:color w:val="000000"/>
        </w:rPr>
        <w:t xml:space="preserve">Service Provider </w:t>
      </w:r>
      <w:r>
        <w:rPr>
          <w:color w:val="000000"/>
        </w:rPr>
        <w:t xml:space="preserve">shall obtain independent certification of the ISMS to ISO/IEC 27001 within 12 months of the Date of this Contract and shall maintain such certification until the end of the </w:t>
      </w:r>
      <w:r>
        <w:rPr>
          <w:i/>
          <w:iCs/>
          <w:color w:val="000000"/>
        </w:rPr>
        <w:t>service period</w:t>
      </w:r>
      <w:r>
        <w:rPr>
          <w:color w:val="000000"/>
        </w:rPr>
        <w:t xml:space="preserve"> or a termination certificate has been issued.</w:t>
      </w:r>
    </w:p>
    <w:p w14:paraId="7A81FD11" w14:textId="77777777" w:rsidR="007960A8" w:rsidRDefault="007960A8">
      <w:pPr>
        <w:pBdr>
          <w:top w:val="nil"/>
          <w:left w:val="nil"/>
          <w:bottom w:val="nil"/>
          <w:right w:val="nil"/>
          <w:between w:val="nil"/>
        </w:pBdr>
        <w:spacing w:before="11"/>
        <w:rPr>
          <w:color w:val="000000"/>
          <w:sz w:val="20"/>
          <w:szCs w:val="20"/>
        </w:rPr>
      </w:pPr>
    </w:p>
    <w:p w14:paraId="67D667AA" w14:textId="77777777" w:rsidR="007960A8" w:rsidRDefault="00A26397">
      <w:pPr>
        <w:numPr>
          <w:ilvl w:val="2"/>
          <w:numId w:val="55"/>
        </w:numPr>
        <w:pBdr>
          <w:top w:val="nil"/>
          <w:left w:val="nil"/>
          <w:bottom w:val="nil"/>
          <w:right w:val="nil"/>
          <w:between w:val="nil"/>
        </w:pBdr>
        <w:tabs>
          <w:tab w:val="left" w:pos="2021"/>
        </w:tabs>
        <w:spacing w:before="7"/>
        <w:ind w:right="217"/>
        <w:jc w:val="both"/>
        <w:rPr>
          <w:color w:val="000000"/>
          <w:sz w:val="19"/>
          <w:szCs w:val="19"/>
        </w:rPr>
      </w:pPr>
      <w:r>
        <w:rPr>
          <w:color w:val="000000"/>
        </w:rPr>
        <w:t xml:space="preserve">In the event that paragraph </w:t>
      </w:r>
      <w:hyperlink w:anchor="bookmark=id.h0o05u9x35tk">
        <w:r>
          <w:rPr>
            <w:color w:val="000000"/>
          </w:rPr>
          <w:t xml:space="preserve">1.5.1 </w:t>
        </w:r>
      </w:hyperlink>
      <w:r>
        <w:rPr>
          <w:color w:val="000000"/>
        </w:rPr>
        <w:t>above applies, if certain parts of the ISMS do not conform to Good Industry Practice, or controls as described in</w:t>
      </w:r>
    </w:p>
    <w:p w14:paraId="2753D394" w14:textId="77777777" w:rsidR="007960A8" w:rsidRDefault="00A26397">
      <w:pPr>
        <w:pBdr>
          <w:top w:val="nil"/>
          <w:left w:val="nil"/>
          <w:bottom w:val="nil"/>
          <w:right w:val="nil"/>
          <w:between w:val="nil"/>
        </w:pBdr>
        <w:ind w:left="2020" w:right="215"/>
        <w:jc w:val="both"/>
        <w:rPr>
          <w:color w:val="000000"/>
        </w:rPr>
      </w:pPr>
      <w:r>
        <w:rPr>
          <w:color w:val="000000"/>
        </w:rPr>
        <w:t xml:space="preserve">ISO/IEC 27002 are not consistent with the Security Policy, and, as a result, the </w:t>
      </w:r>
      <w:r>
        <w:rPr>
          <w:i/>
          <w:iCs/>
          <w:color w:val="000000"/>
        </w:rPr>
        <w:t xml:space="preserve">Service Provider </w:t>
      </w:r>
      <w:r>
        <w:rPr>
          <w:color w:val="000000"/>
        </w:rPr>
        <w:t xml:space="preserve">reasonably believes that it is not compliant with ISO/IEC 27001, the </w:t>
      </w:r>
      <w:r>
        <w:rPr>
          <w:i/>
          <w:iCs/>
          <w:color w:val="000000"/>
        </w:rPr>
        <w:t xml:space="preserve">Service Provider </w:t>
      </w:r>
      <w:r>
        <w:rPr>
          <w:color w:val="000000"/>
        </w:rPr>
        <w:t xml:space="preserve">shall promptly notify the </w:t>
      </w:r>
      <w:r>
        <w:rPr>
          <w:i/>
          <w:iCs/>
          <w:color w:val="000000"/>
        </w:rPr>
        <w:t xml:space="preserve">Client’s Agent/Service Manager </w:t>
      </w:r>
      <w:r>
        <w:rPr>
          <w:color w:val="000000"/>
        </w:rPr>
        <w:t>of this and the</w:t>
      </w:r>
      <w:r>
        <w:rPr>
          <w:color w:val="000000"/>
        </w:rPr>
        <w:t xml:space="preserve"> </w:t>
      </w:r>
      <w:r>
        <w:rPr>
          <w:i/>
          <w:iCs/>
          <w:color w:val="000000"/>
        </w:rPr>
        <w:t xml:space="preserve">Client </w:t>
      </w:r>
      <w:r>
        <w:rPr>
          <w:color w:val="000000"/>
        </w:rPr>
        <w:t>in its absolute discretion may waive the requirement for certification in respect of the relevant parts.</w:t>
      </w:r>
    </w:p>
    <w:p w14:paraId="55E8A10B" w14:textId="77777777" w:rsidR="007960A8" w:rsidRDefault="007960A8">
      <w:pPr>
        <w:pBdr>
          <w:top w:val="nil"/>
          <w:left w:val="nil"/>
          <w:bottom w:val="nil"/>
          <w:right w:val="nil"/>
          <w:between w:val="nil"/>
        </w:pBdr>
        <w:spacing w:before="10"/>
        <w:rPr>
          <w:color w:val="000000"/>
          <w:sz w:val="20"/>
          <w:szCs w:val="20"/>
        </w:rPr>
      </w:pPr>
    </w:p>
    <w:p w14:paraId="5876F963" w14:textId="77777777" w:rsidR="007960A8" w:rsidRDefault="00A26397">
      <w:pPr>
        <w:numPr>
          <w:ilvl w:val="2"/>
          <w:numId w:val="55"/>
        </w:numPr>
        <w:pBdr>
          <w:top w:val="nil"/>
          <w:left w:val="nil"/>
          <w:bottom w:val="nil"/>
          <w:right w:val="nil"/>
          <w:between w:val="nil"/>
        </w:pBdr>
        <w:tabs>
          <w:tab w:val="left" w:pos="2021"/>
        </w:tabs>
        <w:ind w:right="218"/>
        <w:jc w:val="both"/>
        <w:rPr>
          <w:color w:val="000000"/>
        </w:rPr>
      </w:pPr>
      <w:r>
        <w:rPr>
          <w:color w:val="000000"/>
        </w:rPr>
        <w:t xml:space="preserve">The </w:t>
      </w:r>
      <w:r>
        <w:rPr>
          <w:i/>
          <w:iCs/>
          <w:color w:val="000000"/>
        </w:rPr>
        <w:t xml:space="preserve">Client’s Agent/Service Manager </w:t>
      </w:r>
      <w:r>
        <w:rPr>
          <w:color w:val="000000"/>
        </w:rPr>
        <w:t xml:space="preserve">shall be entitled to carry out such regular security audits as may be required and in accordance with Good </w:t>
      </w:r>
      <w:r>
        <w:rPr>
          <w:color w:val="000000"/>
        </w:rPr>
        <w:t>Industry Practice, in order to ensure that the ISMS maintains compliance with the principles and practices of ISO 27001.</w:t>
      </w:r>
    </w:p>
    <w:p w14:paraId="674A355C" w14:textId="77777777" w:rsidR="007960A8" w:rsidRDefault="007960A8">
      <w:pPr>
        <w:pBdr>
          <w:top w:val="nil"/>
          <w:left w:val="nil"/>
          <w:bottom w:val="nil"/>
          <w:right w:val="nil"/>
          <w:between w:val="nil"/>
        </w:pBdr>
        <w:spacing w:before="11"/>
        <w:rPr>
          <w:color w:val="000000"/>
          <w:sz w:val="20"/>
          <w:szCs w:val="20"/>
        </w:rPr>
      </w:pPr>
    </w:p>
    <w:p w14:paraId="24EE07EE" w14:textId="77777777" w:rsidR="007960A8" w:rsidRDefault="00A26397">
      <w:pPr>
        <w:numPr>
          <w:ilvl w:val="2"/>
          <w:numId w:val="55"/>
        </w:numPr>
        <w:pBdr>
          <w:top w:val="nil"/>
          <w:left w:val="nil"/>
          <w:bottom w:val="nil"/>
          <w:right w:val="nil"/>
          <w:between w:val="nil"/>
        </w:pBdr>
        <w:tabs>
          <w:tab w:val="left" w:pos="2021"/>
        </w:tabs>
        <w:ind w:right="213"/>
        <w:jc w:val="both"/>
        <w:rPr>
          <w:color w:val="000000"/>
        </w:rPr>
      </w:pPr>
      <w:bookmarkStart w:id="11" w:name="_heading=h.odepu5npx53x" w:colFirst="0" w:colLast="0"/>
      <w:bookmarkEnd w:id="11"/>
      <w:r>
        <w:rPr>
          <w:color w:val="000000"/>
        </w:rPr>
        <w:t xml:space="preserve">If, on the basis of evidence provided by such audits, it is the </w:t>
      </w:r>
      <w:r>
        <w:rPr>
          <w:i/>
          <w:iCs/>
          <w:color w:val="000000"/>
        </w:rPr>
        <w:t>Client’s Agent/Service Manager</w:t>
      </w:r>
      <w:r>
        <w:rPr>
          <w:color w:val="000000"/>
        </w:rPr>
        <w:t xml:space="preserve">'s reasonable opinion that compliance with the principles and practices of ISO/IEC 27001 is not being achieved by the </w:t>
      </w:r>
      <w:r>
        <w:rPr>
          <w:i/>
          <w:iCs/>
          <w:color w:val="000000"/>
        </w:rPr>
        <w:t>Service Provider</w:t>
      </w:r>
      <w:r>
        <w:rPr>
          <w:color w:val="000000"/>
        </w:rPr>
        <w:t xml:space="preserve">, then the </w:t>
      </w:r>
      <w:r>
        <w:rPr>
          <w:i/>
          <w:iCs/>
          <w:color w:val="000000"/>
        </w:rPr>
        <w:t xml:space="preserve">Client’s Agent/Service Manager </w:t>
      </w:r>
      <w:r>
        <w:rPr>
          <w:color w:val="000000"/>
        </w:rPr>
        <w:t xml:space="preserve">shall notify the </w:t>
      </w:r>
      <w:r>
        <w:rPr>
          <w:i/>
          <w:iCs/>
          <w:color w:val="000000"/>
        </w:rPr>
        <w:t xml:space="preserve">Service Provider </w:t>
      </w:r>
      <w:r>
        <w:rPr>
          <w:color w:val="000000"/>
        </w:rPr>
        <w:t xml:space="preserve">of the same and give the </w:t>
      </w:r>
      <w:r>
        <w:rPr>
          <w:i/>
          <w:iCs/>
          <w:color w:val="000000"/>
        </w:rPr>
        <w:t xml:space="preserve">Service Provider </w:t>
      </w:r>
      <w:r>
        <w:rPr>
          <w:color w:val="000000"/>
        </w:rPr>
        <w:t>a re</w:t>
      </w:r>
      <w:r>
        <w:rPr>
          <w:color w:val="000000"/>
        </w:rPr>
        <w:t xml:space="preserve">asonable time (having regard to the extent and criticality of any non-compliance and any other relevant circumstances) to become compliant with the principles and practices of ISO/IEC 27001. If the </w:t>
      </w:r>
      <w:r>
        <w:rPr>
          <w:i/>
          <w:iCs/>
          <w:color w:val="000000"/>
        </w:rPr>
        <w:t xml:space="preserve">Service Provider </w:t>
      </w:r>
      <w:r>
        <w:rPr>
          <w:color w:val="000000"/>
        </w:rPr>
        <w:t>does not become compliant within the requ</w:t>
      </w:r>
      <w:r>
        <w:rPr>
          <w:color w:val="000000"/>
        </w:rPr>
        <w:t xml:space="preserve">ired time, then the </w:t>
      </w:r>
      <w:r>
        <w:rPr>
          <w:i/>
          <w:iCs/>
          <w:color w:val="000000"/>
        </w:rPr>
        <w:t xml:space="preserve">Client’s Agent/Service Manager </w:t>
      </w:r>
      <w:r>
        <w:rPr>
          <w:color w:val="000000"/>
        </w:rPr>
        <w:t>has the right to obtain an independent audit against these standards in whole or in part.</w:t>
      </w:r>
    </w:p>
    <w:p w14:paraId="5AB2F274" w14:textId="77777777" w:rsidR="007960A8" w:rsidRDefault="007960A8">
      <w:pPr>
        <w:pBdr>
          <w:top w:val="nil"/>
          <w:left w:val="nil"/>
          <w:bottom w:val="nil"/>
          <w:right w:val="nil"/>
          <w:between w:val="nil"/>
        </w:pBdr>
        <w:spacing w:before="10"/>
        <w:rPr>
          <w:color w:val="000000"/>
          <w:sz w:val="20"/>
          <w:szCs w:val="20"/>
        </w:rPr>
      </w:pPr>
    </w:p>
    <w:p w14:paraId="1E0C2070" w14:textId="77777777" w:rsidR="007960A8" w:rsidRDefault="00A26397">
      <w:pPr>
        <w:numPr>
          <w:ilvl w:val="2"/>
          <w:numId w:val="55"/>
        </w:numPr>
        <w:pBdr>
          <w:top w:val="nil"/>
          <w:left w:val="nil"/>
          <w:bottom w:val="nil"/>
          <w:right w:val="nil"/>
          <w:between w:val="nil"/>
        </w:pBdr>
        <w:tabs>
          <w:tab w:val="left" w:pos="2021"/>
        </w:tabs>
        <w:spacing w:before="1"/>
        <w:ind w:right="213"/>
        <w:jc w:val="both"/>
        <w:rPr>
          <w:color w:val="000000"/>
        </w:rPr>
      </w:pPr>
      <w:r>
        <w:rPr>
          <w:color w:val="000000"/>
        </w:rPr>
        <w:t xml:space="preserve">If, as a result of any such independent audit as described in paragraph </w:t>
      </w:r>
      <w:hyperlink w:anchor="bookmark=id.lsjrczpkxddl">
        <w:r>
          <w:rPr>
            <w:color w:val="000000"/>
          </w:rPr>
          <w:t>1.5.4</w:t>
        </w:r>
      </w:hyperlink>
      <w:r>
        <w:rPr>
          <w:color w:val="000000"/>
        </w:rPr>
        <w:t xml:space="preserve"> the </w:t>
      </w:r>
      <w:r>
        <w:rPr>
          <w:i/>
          <w:iCs/>
          <w:color w:val="000000"/>
        </w:rPr>
        <w:t xml:space="preserve">Service Provider </w:t>
      </w:r>
      <w:r>
        <w:rPr>
          <w:color w:val="000000"/>
        </w:rPr>
        <w:t xml:space="preserve">is found to be non-compliant with the principles and practices of ISO/IEC 27001 then the </w:t>
      </w:r>
      <w:r>
        <w:rPr>
          <w:i/>
          <w:iCs/>
          <w:color w:val="000000"/>
        </w:rPr>
        <w:t xml:space="preserve">Service Provider </w:t>
      </w:r>
      <w:r>
        <w:rPr>
          <w:color w:val="000000"/>
        </w:rPr>
        <w:t>shall, at its own expense, undertake those actions required in order to achieve the necessary compliance and shall rei</w:t>
      </w:r>
      <w:r>
        <w:rPr>
          <w:color w:val="000000"/>
        </w:rPr>
        <w:t xml:space="preserve">mburse in full the costs incurred by the </w:t>
      </w:r>
      <w:r>
        <w:rPr>
          <w:i/>
          <w:iCs/>
          <w:color w:val="000000"/>
        </w:rPr>
        <w:t xml:space="preserve">Client </w:t>
      </w:r>
      <w:r>
        <w:rPr>
          <w:color w:val="000000"/>
        </w:rPr>
        <w:t>in obtaining such audit.</w:t>
      </w:r>
    </w:p>
    <w:p w14:paraId="5245296D" w14:textId="77777777" w:rsidR="007960A8" w:rsidRDefault="007960A8">
      <w:pPr>
        <w:pBdr>
          <w:top w:val="nil"/>
          <w:left w:val="nil"/>
          <w:bottom w:val="nil"/>
          <w:right w:val="nil"/>
          <w:between w:val="nil"/>
        </w:pBdr>
        <w:spacing w:before="9"/>
        <w:rPr>
          <w:color w:val="000000"/>
          <w:sz w:val="20"/>
          <w:szCs w:val="20"/>
        </w:rPr>
      </w:pPr>
    </w:p>
    <w:p w14:paraId="4253120A" w14:textId="77777777" w:rsidR="007960A8" w:rsidRDefault="00A26397">
      <w:pPr>
        <w:numPr>
          <w:ilvl w:val="1"/>
          <w:numId w:val="66"/>
        </w:numPr>
        <w:pBdr>
          <w:top w:val="nil"/>
          <w:left w:val="nil"/>
          <w:bottom w:val="nil"/>
          <w:right w:val="nil"/>
          <w:between w:val="nil"/>
        </w:pBdr>
        <w:tabs>
          <w:tab w:val="left" w:pos="941"/>
        </w:tabs>
        <w:ind w:left="940" w:hanging="721"/>
        <w:rPr>
          <w:color w:val="000000"/>
        </w:rPr>
      </w:pPr>
      <w:r>
        <w:rPr>
          <w:color w:val="000000"/>
        </w:rPr>
        <w:t>Breach of Security</w:t>
      </w:r>
    </w:p>
    <w:p w14:paraId="07E7E280" w14:textId="77777777" w:rsidR="007960A8" w:rsidRDefault="007960A8">
      <w:pPr>
        <w:pBdr>
          <w:top w:val="nil"/>
          <w:left w:val="nil"/>
          <w:bottom w:val="nil"/>
          <w:right w:val="nil"/>
          <w:between w:val="nil"/>
        </w:pBdr>
        <w:rPr>
          <w:color w:val="000000"/>
          <w:sz w:val="21"/>
          <w:szCs w:val="21"/>
        </w:rPr>
      </w:pPr>
    </w:p>
    <w:p w14:paraId="65E90C4F" w14:textId="77777777" w:rsidR="007960A8" w:rsidRDefault="00A26397">
      <w:pPr>
        <w:numPr>
          <w:ilvl w:val="2"/>
          <w:numId w:val="44"/>
        </w:numPr>
        <w:pBdr>
          <w:top w:val="nil"/>
          <w:left w:val="nil"/>
          <w:bottom w:val="nil"/>
          <w:right w:val="nil"/>
          <w:between w:val="nil"/>
        </w:pBdr>
        <w:tabs>
          <w:tab w:val="left" w:pos="2021"/>
        </w:tabs>
        <w:ind w:right="219"/>
        <w:jc w:val="both"/>
        <w:rPr>
          <w:color w:val="000000"/>
        </w:rPr>
      </w:pPr>
      <w:r>
        <w:rPr>
          <w:color w:val="000000"/>
        </w:rPr>
        <w:t>Either party shall give an early warning to the other in accordance with the agreed security incident management process as defined by the ISMS upon becoming aware of any Breach of Security or any potential or attempted Breach of Security.</w:t>
      </w:r>
    </w:p>
    <w:p w14:paraId="388A1B4D" w14:textId="77777777" w:rsidR="007960A8" w:rsidRDefault="007960A8">
      <w:pPr>
        <w:pBdr>
          <w:top w:val="nil"/>
          <w:left w:val="nil"/>
          <w:bottom w:val="nil"/>
          <w:right w:val="nil"/>
          <w:between w:val="nil"/>
        </w:pBdr>
        <w:spacing w:before="8"/>
        <w:rPr>
          <w:color w:val="000000"/>
          <w:sz w:val="20"/>
          <w:szCs w:val="20"/>
        </w:rPr>
      </w:pPr>
    </w:p>
    <w:p w14:paraId="25462254" w14:textId="77777777" w:rsidR="007960A8" w:rsidRDefault="00A26397">
      <w:pPr>
        <w:numPr>
          <w:ilvl w:val="2"/>
          <w:numId w:val="44"/>
        </w:numPr>
        <w:pBdr>
          <w:top w:val="nil"/>
          <w:left w:val="nil"/>
          <w:bottom w:val="nil"/>
          <w:right w:val="nil"/>
          <w:between w:val="nil"/>
        </w:pBdr>
        <w:tabs>
          <w:tab w:val="left" w:pos="2021"/>
        </w:tabs>
        <w:ind w:right="214"/>
        <w:jc w:val="both"/>
        <w:rPr>
          <w:color w:val="000000"/>
        </w:rPr>
      </w:pPr>
      <w:r>
        <w:rPr>
          <w:color w:val="000000"/>
        </w:rPr>
        <w:t xml:space="preserve">Without prejudice to the security incident management process, upon becoming aware of any of the circumstances referred to in paragraph 1.6.1, the </w:t>
      </w:r>
      <w:r>
        <w:rPr>
          <w:i/>
          <w:iCs/>
          <w:color w:val="000000"/>
        </w:rPr>
        <w:t xml:space="preserve">Service Provider </w:t>
      </w:r>
      <w:r>
        <w:rPr>
          <w:color w:val="000000"/>
        </w:rPr>
        <w:t>shall:</w:t>
      </w:r>
    </w:p>
    <w:p w14:paraId="0E9FC3B0" w14:textId="77777777" w:rsidR="007960A8" w:rsidRDefault="007960A8">
      <w:pPr>
        <w:pBdr>
          <w:top w:val="nil"/>
          <w:left w:val="nil"/>
          <w:bottom w:val="nil"/>
          <w:right w:val="nil"/>
          <w:between w:val="nil"/>
        </w:pBdr>
        <w:spacing w:before="1"/>
        <w:rPr>
          <w:color w:val="000000"/>
          <w:sz w:val="21"/>
          <w:szCs w:val="21"/>
        </w:rPr>
      </w:pPr>
    </w:p>
    <w:p w14:paraId="2223023E" w14:textId="77777777" w:rsidR="007960A8" w:rsidRDefault="00A26397">
      <w:pPr>
        <w:numPr>
          <w:ilvl w:val="3"/>
          <w:numId w:val="44"/>
        </w:numPr>
        <w:pBdr>
          <w:top w:val="nil"/>
          <w:left w:val="nil"/>
          <w:bottom w:val="nil"/>
          <w:right w:val="nil"/>
          <w:between w:val="nil"/>
        </w:pBdr>
        <w:tabs>
          <w:tab w:val="left" w:pos="3101"/>
        </w:tabs>
        <w:ind w:hanging="1081"/>
        <w:rPr>
          <w:color w:val="000000"/>
        </w:rPr>
      </w:pPr>
      <w:r>
        <w:rPr>
          <w:color w:val="000000"/>
        </w:rPr>
        <w:t>immediately take all reasonable steps necessary to:</w:t>
      </w:r>
    </w:p>
    <w:p w14:paraId="3419CD0E" w14:textId="77777777" w:rsidR="007960A8" w:rsidRDefault="007960A8">
      <w:pPr>
        <w:pBdr>
          <w:top w:val="nil"/>
          <w:left w:val="nil"/>
          <w:bottom w:val="nil"/>
          <w:right w:val="nil"/>
          <w:between w:val="nil"/>
        </w:pBdr>
        <w:spacing w:before="9"/>
        <w:rPr>
          <w:color w:val="000000"/>
          <w:sz w:val="20"/>
          <w:szCs w:val="20"/>
        </w:rPr>
      </w:pPr>
    </w:p>
    <w:p w14:paraId="5CDC6554" w14:textId="77777777" w:rsidR="007960A8" w:rsidRDefault="00A26397">
      <w:pPr>
        <w:numPr>
          <w:ilvl w:val="4"/>
          <w:numId w:val="44"/>
        </w:numPr>
        <w:pBdr>
          <w:top w:val="nil"/>
          <w:left w:val="nil"/>
          <w:bottom w:val="nil"/>
          <w:right w:val="nil"/>
          <w:between w:val="nil"/>
        </w:pBdr>
        <w:tabs>
          <w:tab w:val="left" w:pos="3821"/>
        </w:tabs>
        <w:ind w:right="214"/>
        <w:jc w:val="both"/>
        <w:rPr>
          <w:color w:val="000000"/>
        </w:rPr>
      </w:pPr>
      <w:r>
        <w:rPr>
          <w:color w:val="000000"/>
        </w:rPr>
        <w:t>remedy such breach or protect the integrity of the ISMS against any such potential or attempted breach or threat; and</w:t>
      </w:r>
    </w:p>
    <w:p w14:paraId="0E284027" w14:textId="77777777" w:rsidR="007960A8" w:rsidRDefault="007960A8">
      <w:pPr>
        <w:pBdr>
          <w:top w:val="nil"/>
          <w:left w:val="nil"/>
          <w:bottom w:val="nil"/>
          <w:right w:val="nil"/>
          <w:between w:val="nil"/>
        </w:pBdr>
        <w:spacing w:before="10"/>
        <w:rPr>
          <w:color w:val="000000"/>
          <w:sz w:val="20"/>
          <w:szCs w:val="20"/>
        </w:rPr>
      </w:pPr>
    </w:p>
    <w:p w14:paraId="3931DC94" w14:textId="77777777" w:rsidR="007960A8" w:rsidRDefault="00A26397">
      <w:pPr>
        <w:numPr>
          <w:ilvl w:val="4"/>
          <w:numId w:val="44"/>
        </w:numPr>
        <w:pBdr>
          <w:top w:val="nil"/>
          <w:left w:val="nil"/>
          <w:bottom w:val="nil"/>
          <w:right w:val="nil"/>
          <w:between w:val="nil"/>
        </w:pBdr>
        <w:tabs>
          <w:tab w:val="left" w:pos="3821"/>
        </w:tabs>
        <w:rPr>
          <w:color w:val="000000"/>
        </w:rPr>
      </w:pPr>
      <w:r>
        <w:rPr>
          <w:color w:val="000000"/>
        </w:rPr>
        <w:t>prevent an equivalent breach in the future.</w:t>
      </w:r>
    </w:p>
    <w:p w14:paraId="48E7ED63" w14:textId="77777777" w:rsidR="007960A8" w:rsidRDefault="007960A8">
      <w:pPr>
        <w:pBdr>
          <w:top w:val="nil"/>
          <w:left w:val="nil"/>
          <w:bottom w:val="nil"/>
          <w:right w:val="nil"/>
          <w:between w:val="nil"/>
        </w:pBdr>
        <w:rPr>
          <w:color w:val="000000"/>
          <w:sz w:val="21"/>
          <w:szCs w:val="21"/>
        </w:rPr>
      </w:pPr>
    </w:p>
    <w:p w14:paraId="048ABDB8" w14:textId="77777777" w:rsidR="007960A8" w:rsidRDefault="00A26397">
      <w:pPr>
        <w:pBdr>
          <w:top w:val="nil"/>
          <w:left w:val="nil"/>
          <w:bottom w:val="nil"/>
          <w:right w:val="nil"/>
          <w:between w:val="nil"/>
        </w:pBdr>
        <w:ind w:left="3101"/>
        <w:rPr>
          <w:color w:val="000000"/>
        </w:rPr>
        <w:sectPr w:rsidR="007960A8">
          <w:pgSz w:w="11910" w:h="16840"/>
          <w:pgMar w:top="2080" w:right="1220" w:bottom="1200" w:left="1220" w:header="838" w:footer="1000" w:gutter="0"/>
          <w:cols w:space="720"/>
        </w:sectPr>
      </w:pPr>
      <w:r>
        <w:rPr>
          <w:color w:val="000000"/>
        </w:rPr>
        <w:t xml:space="preserve">such steps shall include any action or changes reasonably required by the </w:t>
      </w:r>
      <w:r>
        <w:rPr>
          <w:i/>
          <w:iCs/>
          <w:color w:val="000000"/>
        </w:rPr>
        <w:t>Client’s Agent/Service Manager</w:t>
      </w:r>
      <w:r>
        <w:rPr>
          <w:color w:val="000000"/>
        </w:rPr>
        <w:t>; and</w:t>
      </w:r>
    </w:p>
    <w:p w14:paraId="599CEBA6" w14:textId="77777777" w:rsidR="007960A8" w:rsidRDefault="007960A8">
      <w:pPr>
        <w:pBdr>
          <w:top w:val="nil"/>
          <w:left w:val="nil"/>
          <w:bottom w:val="nil"/>
          <w:right w:val="nil"/>
          <w:between w:val="nil"/>
        </w:pBdr>
        <w:rPr>
          <w:color w:val="000000"/>
          <w:sz w:val="20"/>
          <w:szCs w:val="20"/>
        </w:rPr>
      </w:pPr>
    </w:p>
    <w:p w14:paraId="740914CC" w14:textId="77777777" w:rsidR="007960A8" w:rsidRDefault="007960A8">
      <w:pPr>
        <w:pBdr>
          <w:top w:val="nil"/>
          <w:left w:val="nil"/>
          <w:bottom w:val="nil"/>
          <w:right w:val="nil"/>
          <w:between w:val="nil"/>
        </w:pBdr>
        <w:spacing w:before="7"/>
        <w:rPr>
          <w:color w:val="000000"/>
          <w:sz w:val="19"/>
          <w:szCs w:val="19"/>
        </w:rPr>
      </w:pPr>
    </w:p>
    <w:p w14:paraId="1B6FB99E" w14:textId="77777777" w:rsidR="007960A8" w:rsidRDefault="00A26397">
      <w:pPr>
        <w:numPr>
          <w:ilvl w:val="3"/>
          <w:numId w:val="44"/>
        </w:numPr>
        <w:pBdr>
          <w:top w:val="nil"/>
          <w:left w:val="nil"/>
          <w:bottom w:val="nil"/>
          <w:right w:val="nil"/>
          <w:between w:val="nil"/>
        </w:pBdr>
        <w:tabs>
          <w:tab w:val="left" w:pos="3101"/>
        </w:tabs>
        <w:ind w:right="214" w:hanging="1081"/>
        <w:jc w:val="both"/>
        <w:rPr>
          <w:color w:val="000000"/>
        </w:rPr>
      </w:pPr>
      <w:r>
        <w:rPr>
          <w:color w:val="000000"/>
        </w:rPr>
        <w:t xml:space="preserve">as soon as reasonably practicable provide to the </w:t>
      </w:r>
      <w:r>
        <w:rPr>
          <w:i/>
          <w:iCs/>
          <w:color w:val="000000"/>
        </w:rPr>
        <w:t xml:space="preserve">Client’s Agent/Service Manager </w:t>
      </w:r>
      <w:r>
        <w:rPr>
          <w:color w:val="000000"/>
        </w:rPr>
        <w:t>full details (using such reporting mechanism as defined by the I</w:t>
      </w:r>
      <w:r>
        <w:rPr>
          <w:color w:val="000000"/>
        </w:rPr>
        <w:t>SMS) of the Breach of Security or the potential or attempted Breach of Security.</w:t>
      </w:r>
    </w:p>
    <w:p w14:paraId="28309E45" w14:textId="77777777" w:rsidR="007960A8" w:rsidRDefault="007960A8">
      <w:pPr>
        <w:pBdr>
          <w:top w:val="nil"/>
          <w:left w:val="nil"/>
          <w:bottom w:val="nil"/>
          <w:right w:val="nil"/>
          <w:between w:val="nil"/>
        </w:pBdr>
        <w:spacing w:before="9"/>
        <w:rPr>
          <w:color w:val="000000"/>
          <w:sz w:val="20"/>
          <w:szCs w:val="20"/>
        </w:rPr>
      </w:pPr>
    </w:p>
    <w:p w14:paraId="6C34758F" w14:textId="77777777" w:rsidR="007960A8" w:rsidRDefault="00A26397">
      <w:pPr>
        <w:pStyle w:val="Heading1"/>
        <w:ind w:firstLine="220"/>
      </w:pPr>
      <w:r>
        <w:t>Appendix 1 – Security Policy</w:t>
      </w:r>
    </w:p>
    <w:p w14:paraId="338EED81" w14:textId="77777777" w:rsidR="007960A8" w:rsidRDefault="007960A8">
      <w:pPr>
        <w:pBdr>
          <w:top w:val="nil"/>
          <w:left w:val="nil"/>
          <w:bottom w:val="nil"/>
          <w:right w:val="nil"/>
          <w:between w:val="nil"/>
        </w:pBdr>
        <w:rPr>
          <w:b/>
          <w:bCs/>
          <w:color w:val="000000"/>
          <w:sz w:val="21"/>
          <w:szCs w:val="21"/>
        </w:rPr>
      </w:pPr>
    </w:p>
    <w:p w14:paraId="0D3A3FC3" w14:textId="77777777" w:rsidR="007960A8" w:rsidRDefault="00A26397">
      <w:pPr>
        <w:pBdr>
          <w:top w:val="nil"/>
          <w:left w:val="nil"/>
          <w:bottom w:val="nil"/>
          <w:right w:val="nil"/>
          <w:between w:val="nil"/>
        </w:pBdr>
        <w:ind w:left="220"/>
        <w:rPr>
          <w:b/>
          <w:bCs/>
          <w:i/>
          <w:iCs/>
          <w:color w:val="000000"/>
        </w:rPr>
      </w:pPr>
      <w:r>
        <w:rPr>
          <w:b/>
          <w:bCs/>
          <w:i/>
          <w:iCs/>
          <w:color w:val="000000"/>
        </w:rPr>
        <w:t>[Guidance Note: Append Security Policy]</w:t>
      </w:r>
    </w:p>
    <w:p w14:paraId="0EACE3C6" w14:textId="77777777" w:rsidR="007960A8" w:rsidRDefault="007960A8">
      <w:pPr>
        <w:pBdr>
          <w:top w:val="nil"/>
          <w:left w:val="nil"/>
          <w:bottom w:val="nil"/>
          <w:right w:val="nil"/>
          <w:between w:val="nil"/>
        </w:pBdr>
        <w:spacing w:before="9"/>
        <w:rPr>
          <w:b/>
          <w:bCs/>
          <w:i/>
          <w:iCs/>
          <w:color w:val="000000"/>
          <w:sz w:val="20"/>
          <w:szCs w:val="20"/>
        </w:rPr>
      </w:pPr>
    </w:p>
    <w:p w14:paraId="19AAE4CB" w14:textId="77777777" w:rsidR="007960A8" w:rsidRDefault="00A26397">
      <w:pPr>
        <w:pBdr>
          <w:top w:val="nil"/>
          <w:left w:val="nil"/>
          <w:bottom w:val="nil"/>
          <w:right w:val="nil"/>
          <w:between w:val="nil"/>
        </w:pBdr>
        <w:ind w:left="220"/>
        <w:rPr>
          <w:b/>
          <w:bCs/>
          <w:color w:val="000000"/>
        </w:rPr>
      </w:pPr>
      <w:r>
        <w:rPr>
          <w:b/>
          <w:bCs/>
          <w:color w:val="000000"/>
        </w:rPr>
        <w:t>Appendix 2 – Security Management Plan</w:t>
      </w:r>
    </w:p>
    <w:p w14:paraId="4C180C9F" w14:textId="77777777" w:rsidR="007960A8" w:rsidRDefault="007960A8">
      <w:pPr>
        <w:pBdr>
          <w:top w:val="nil"/>
          <w:left w:val="nil"/>
          <w:bottom w:val="nil"/>
          <w:right w:val="nil"/>
          <w:between w:val="nil"/>
        </w:pBdr>
        <w:rPr>
          <w:b/>
          <w:bCs/>
          <w:color w:val="000000"/>
          <w:sz w:val="21"/>
          <w:szCs w:val="21"/>
        </w:rPr>
      </w:pPr>
    </w:p>
    <w:p w14:paraId="51A91789" w14:textId="77777777" w:rsidR="007960A8" w:rsidRDefault="00A26397">
      <w:pPr>
        <w:pBdr>
          <w:top w:val="nil"/>
          <w:left w:val="nil"/>
          <w:bottom w:val="nil"/>
          <w:right w:val="nil"/>
          <w:between w:val="nil"/>
        </w:pBdr>
        <w:ind w:left="220"/>
        <w:rPr>
          <w:b/>
          <w:bCs/>
          <w:i/>
          <w:iCs/>
          <w:color w:val="000000"/>
        </w:rPr>
        <w:sectPr w:rsidR="007960A8">
          <w:pgSz w:w="11910" w:h="16840"/>
          <w:pgMar w:top="2080" w:right="1220" w:bottom="1200" w:left="1220" w:header="838" w:footer="1000" w:gutter="0"/>
          <w:cols w:space="720"/>
        </w:sectPr>
      </w:pPr>
      <w:r>
        <w:rPr>
          <w:b/>
          <w:bCs/>
          <w:i/>
          <w:iCs/>
          <w:color w:val="000000"/>
        </w:rPr>
        <w:t>[Guidance Note: Append Security Management Plan]</w:t>
      </w:r>
    </w:p>
    <w:p w14:paraId="5EF8D290" w14:textId="77777777" w:rsidR="007960A8" w:rsidRDefault="007960A8">
      <w:pPr>
        <w:pBdr>
          <w:top w:val="nil"/>
          <w:left w:val="nil"/>
          <w:bottom w:val="nil"/>
          <w:right w:val="nil"/>
          <w:between w:val="nil"/>
        </w:pBdr>
        <w:rPr>
          <w:b/>
          <w:bCs/>
          <w:i/>
          <w:iCs/>
          <w:color w:val="000000"/>
          <w:sz w:val="20"/>
          <w:szCs w:val="20"/>
        </w:rPr>
      </w:pPr>
    </w:p>
    <w:p w14:paraId="0AB2B874" w14:textId="77777777" w:rsidR="007960A8" w:rsidRDefault="007960A8">
      <w:pPr>
        <w:pBdr>
          <w:top w:val="nil"/>
          <w:left w:val="nil"/>
          <w:bottom w:val="nil"/>
          <w:right w:val="nil"/>
          <w:between w:val="nil"/>
        </w:pBdr>
        <w:spacing w:before="7"/>
        <w:rPr>
          <w:b/>
          <w:bCs/>
          <w:i/>
          <w:iCs/>
          <w:color w:val="000000"/>
          <w:sz w:val="19"/>
          <w:szCs w:val="19"/>
        </w:rPr>
      </w:pPr>
    </w:p>
    <w:p w14:paraId="055B0154" w14:textId="77777777" w:rsidR="007960A8" w:rsidRDefault="00A26397">
      <w:pPr>
        <w:pBdr>
          <w:top w:val="nil"/>
          <w:left w:val="nil"/>
          <w:bottom w:val="nil"/>
          <w:right w:val="nil"/>
          <w:between w:val="nil"/>
        </w:pBdr>
        <w:tabs>
          <w:tab w:val="left" w:pos="6559"/>
        </w:tabs>
        <w:ind w:left="698"/>
        <w:rPr>
          <w:b/>
          <w:bCs/>
          <w:color w:val="000000"/>
        </w:rPr>
      </w:pPr>
      <w:r>
        <w:rPr>
          <w:b/>
          <w:bCs/>
          <w:color w:val="000000"/>
        </w:rPr>
        <w:t xml:space="preserve">SCHEDULE </w:t>
      </w:r>
      <w:r>
        <w:rPr>
          <w:color w:val="000000"/>
        </w:rPr>
        <w:t xml:space="preserve">[Guidance: insert schedule ref here] </w:t>
      </w:r>
      <w:r>
        <w:rPr>
          <w:b/>
          <w:bCs/>
          <w:color w:val="000000"/>
        </w:rPr>
        <w:t>CYBER ESSENTIALS</w:t>
      </w:r>
    </w:p>
    <w:p w14:paraId="0F4E9610" w14:textId="77777777" w:rsidR="007960A8" w:rsidRDefault="007960A8">
      <w:pPr>
        <w:pBdr>
          <w:top w:val="nil"/>
          <w:left w:val="nil"/>
          <w:bottom w:val="nil"/>
          <w:right w:val="nil"/>
          <w:between w:val="nil"/>
        </w:pBdr>
        <w:rPr>
          <w:b/>
          <w:bCs/>
          <w:color w:val="000000"/>
          <w:sz w:val="20"/>
          <w:szCs w:val="20"/>
        </w:rPr>
      </w:pPr>
    </w:p>
    <w:p w14:paraId="54DF8D2C" w14:textId="77777777" w:rsidR="007960A8" w:rsidRDefault="007960A8">
      <w:pPr>
        <w:pBdr>
          <w:top w:val="nil"/>
          <w:left w:val="nil"/>
          <w:bottom w:val="nil"/>
          <w:right w:val="nil"/>
          <w:between w:val="nil"/>
        </w:pBdr>
        <w:spacing w:before="1"/>
        <w:rPr>
          <w:b/>
          <w:bCs/>
          <w:color w:val="000000"/>
          <w:sz w:val="18"/>
          <w:szCs w:val="18"/>
        </w:rPr>
      </w:pPr>
    </w:p>
    <w:p w14:paraId="1F37B504" w14:textId="77777777" w:rsidR="007960A8" w:rsidRDefault="00A26397">
      <w:pPr>
        <w:pStyle w:val="Heading1"/>
        <w:spacing w:before="94"/>
        <w:ind w:left="463" w:right="464"/>
        <w:jc w:val="center"/>
      </w:pPr>
      <w:r>
        <w:t>CYBER ESSENTIALS SCHEME</w:t>
      </w:r>
    </w:p>
    <w:p w14:paraId="372820BD" w14:textId="77777777" w:rsidR="007960A8" w:rsidRDefault="007960A8">
      <w:pPr>
        <w:pBdr>
          <w:top w:val="nil"/>
          <w:left w:val="nil"/>
          <w:bottom w:val="nil"/>
          <w:right w:val="nil"/>
          <w:between w:val="nil"/>
        </w:pBdr>
        <w:spacing w:before="9"/>
        <w:rPr>
          <w:b/>
          <w:bCs/>
          <w:color w:val="000000"/>
          <w:sz w:val="20"/>
          <w:szCs w:val="20"/>
        </w:rPr>
      </w:pPr>
    </w:p>
    <w:p w14:paraId="197CB4AD" w14:textId="77777777" w:rsidR="007960A8" w:rsidRDefault="00A26397">
      <w:pPr>
        <w:numPr>
          <w:ilvl w:val="0"/>
          <w:numId w:val="1"/>
        </w:numPr>
        <w:pBdr>
          <w:top w:val="nil"/>
          <w:left w:val="nil"/>
          <w:bottom w:val="nil"/>
          <w:right w:val="nil"/>
          <w:between w:val="nil"/>
        </w:pBdr>
        <w:tabs>
          <w:tab w:val="left" w:pos="941"/>
        </w:tabs>
        <w:ind w:hanging="721"/>
        <w:rPr>
          <w:b/>
          <w:bCs/>
          <w:color w:val="000000"/>
        </w:rPr>
      </w:pPr>
      <w:r>
        <w:rPr>
          <w:b/>
          <w:bCs/>
          <w:color w:val="000000"/>
        </w:rPr>
        <w:t>DEFINITIONS</w:t>
      </w:r>
    </w:p>
    <w:p w14:paraId="602C054C" w14:textId="77777777" w:rsidR="007960A8" w:rsidRDefault="007960A8">
      <w:pPr>
        <w:pBdr>
          <w:top w:val="nil"/>
          <w:left w:val="nil"/>
          <w:bottom w:val="nil"/>
          <w:right w:val="nil"/>
          <w:between w:val="nil"/>
        </w:pBdr>
        <w:spacing w:before="3"/>
        <w:rPr>
          <w:b/>
          <w:bCs/>
          <w:color w:val="000000"/>
          <w:sz w:val="13"/>
          <w:szCs w:val="13"/>
        </w:rPr>
      </w:pPr>
    </w:p>
    <w:p w14:paraId="13D41425" w14:textId="77777777" w:rsidR="007960A8" w:rsidRDefault="00A26397">
      <w:pPr>
        <w:numPr>
          <w:ilvl w:val="1"/>
          <w:numId w:val="1"/>
        </w:numPr>
        <w:pBdr>
          <w:top w:val="nil"/>
          <w:left w:val="nil"/>
          <w:bottom w:val="nil"/>
          <w:right w:val="nil"/>
          <w:between w:val="nil"/>
        </w:pBdr>
        <w:tabs>
          <w:tab w:val="left" w:pos="941"/>
        </w:tabs>
        <w:spacing w:before="91"/>
        <w:ind w:left="940" w:hanging="721"/>
        <w:rPr>
          <w:rFonts w:ascii="Calibri" w:eastAsia="Calibri" w:hAnsi="Calibri" w:cs="Calibri"/>
          <w:color w:val="000000"/>
        </w:rPr>
      </w:pPr>
      <w:r>
        <w:rPr>
          <w:color w:val="000000"/>
        </w:rPr>
        <w:t>In this Schedule, the following words shall have the following meanings:</w:t>
      </w:r>
    </w:p>
    <w:p w14:paraId="4A15999F" w14:textId="77777777" w:rsidR="007960A8" w:rsidRDefault="00A26397">
      <w:pPr>
        <w:pBdr>
          <w:top w:val="nil"/>
          <w:left w:val="nil"/>
          <w:bottom w:val="nil"/>
          <w:right w:val="nil"/>
          <w:between w:val="nil"/>
        </w:pBdr>
        <w:tabs>
          <w:tab w:val="left" w:pos="5669"/>
          <w:tab w:val="left" w:pos="6304"/>
          <w:tab w:val="left" w:pos="6576"/>
          <w:tab w:val="left" w:pos="6686"/>
          <w:tab w:val="left" w:pos="6993"/>
          <w:tab w:val="left" w:pos="7053"/>
          <w:tab w:val="left" w:pos="7151"/>
          <w:tab w:val="left" w:pos="7218"/>
          <w:tab w:val="left" w:pos="7532"/>
          <w:tab w:val="left" w:pos="7984"/>
          <w:tab w:val="left" w:pos="8350"/>
          <w:tab w:val="left" w:pos="8548"/>
          <w:tab w:val="left" w:pos="8706"/>
          <w:tab w:val="left" w:pos="8802"/>
        </w:tabs>
        <w:spacing w:before="226"/>
        <w:ind w:left="5669" w:right="107" w:hanging="4621"/>
        <w:rPr>
          <w:color w:val="000000"/>
        </w:rPr>
      </w:pPr>
      <w:r>
        <w:rPr>
          <w:b/>
          <w:bCs/>
          <w:color w:val="000000"/>
        </w:rPr>
        <w:t>"Cyber Essentials Scheme"</w:t>
      </w:r>
      <w:r>
        <w:rPr>
          <w:b/>
          <w:bCs/>
          <w:color w:val="000000"/>
        </w:rPr>
        <w:tab/>
      </w:r>
      <w:r>
        <w:rPr>
          <w:color w:val="000000"/>
        </w:rPr>
        <w:t>the</w:t>
      </w:r>
      <w:r>
        <w:rPr>
          <w:color w:val="000000"/>
        </w:rPr>
        <w:tab/>
        <w:t>Cyber</w:t>
      </w:r>
      <w:r>
        <w:rPr>
          <w:color w:val="000000"/>
        </w:rPr>
        <w:tab/>
      </w:r>
      <w:r>
        <w:rPr>
          <w:color w:val="000000"/>
        </w:rPr>
        <w:tab/>
      </w:r>
      <w:r>
        <w:rPr>
          <w:color w:val="000000"/>
        </w:rPr>
        <w:tab/>
      </w:r>
      <w:r>
        <w:rPr>
          <w:color w:val="000000"/>
        </w:rPr>
        <w:tab/>
        <w:t>Essentials</w:t>
      </w:r>
      <w:r>
        <w:rPr>
          <w:color w:val="000000"/>
        </w:rPr>
        <w:tab/>
      </w:r>
      <w:r>
        <w:rPr>
          <w:color w:val="000000"/>
        </w:rPr>
        <w:tab/>
      </w:r>
      <w:r>
        <w:rPr>
          <w:color w:val="000000"/>
        </w:rPr>
        <w:t>Scheme developed by the Government which provides a clear statement of the basic controls</w:t>
      </w:r>
      <w:r>
        <w:rPr>
          <w:color w:val="000000"/>
        </w:rPr>
        <w:tab/>
      </w:r>
      <w:r>
        <w:rPr>
          <w:color w:val="000000"/>
        </w:rPr>
        <w:tab/>
        <w:t>all</w:t>
      </w:r>
      <w:r>
        <w:rPr>
          <w:color w:val="000000"/>
        </w:rPr>
        <w:tab/>
      </w:r>
      <w:r>
        <w:rPr>
          <w:color w:val="000000"/>
        </w:rPr>
        <w:tab/>
      </w:r>
      <w:r>
        <w:rPr>
          <w:color w:val="000000"/>
        </w:rPr>
        <w:tab/>
        <w:t>organisations</w:t>
      </w:r>
      <w:r>
        <w:rPr>
          <w:color w:val="000000"/>
        </w:rPr>
        <w:tab/>
      </w:r>
      <w:r>
        <w:rPr>
          <w:color w:val="000000"/>
        </w:rPr>
        <w:tab/>
        <w:t xml:space="preserve">should implement to mitigate the risk from common internet based threats (as may be amended from time to time). Details of the Cyber Essentials </w:t>
      </w:r>
      <w:r>
        <w:rPr>
          <w:color w:val="000000"/>
        </w:rPr>
        <w:t xml:space="preserve">Scheme can be found here: </w:t>
      </w:r>
      <w:hyperlink r:id="rId13">
        <w:r>
          <w:rPr>
            <w:color w:val="0563C1"/>
            <w:u w:val="single"/>
          </w:rPr>
          <w:t>https://www.ncsc.gov.uk/cyberessentials/overview</w:t>
        </w:r>
      </w:hyperlink>
      <w:r>
        <w:rPr>
          <w:color w:val="000000"/>
        </w:rPr>
        <w:t>;</w:t>
      </w:r>
    </w:p>
    <w:p w14:paraId="39B33BDC" w14:textId="77777777" w:rsidR="007960A8" w:rsidRDefault="007960A8">
      <w:pPr>
        <w:pBdr>
          <w:top w:val="nil"/>
          <w:left w:val="nil"/>
          <w:bottom w:val="nil"/>
          <w:right w:val="nil"/>
          <w:between w:val="nil"/>
        </w:pBdr>
        <w:spacing w:before="7"/>
        <w:rPr>
          <w:color w:val="000000"/>
          <w:sz w:val="12"/>
          <w:szCs w:val="12"/>
        </w:rPr>
        <w:sectPr w:rsidR="007960A8">
          <w:pgSz w:w="11910" w:h="16840"/>
          <w:pgMar w:top="2080" w:right="1220" w:bottom="1200" w:left="1220" w:header="838" w:footer="1000" w:gutter="0"/>
          <w:cols w:space="720"/>
        </w:sectPr>
      </w:pPr>
    </w:p>
    <w:p w14:paraId="2C0C2B42" w14:textId="77777777" w:rsidR="007960A8" w:rsidRDefault="00A26397">
      <w:pPr>
        <w:pStyle w:val="Heading1"/>
        <w:tabs>
          <w:tab w:val="left" w:pos="2417"/>
          <w:tab w:val="left" w:pos="4147"/>
        </w:tabs>
        <w:spacing w:before="94"/>
        <w:ind w:left="1048"/>
      </w:pPr>
      <w:r>
        <w:t>"Cyber</w:t>
      </w:r>
      <w:r>
        <w:tab/>
        <w:t>Essentials</w:t>
      </w:r>
      <w:r>
        <w:tab/>
        <w:t>Basic Certificate"</w:t>
      </w:r>
    </w:p>
    <w:p w14:paraId="69E44FA0" w14:textId="77777777" w:rsidR="007960A8" w:rsidRDefault="00A26397">
      <w:pPr>
        <w:pBdr>
          <w:top w:val="nil"/>
          <w:left w:val="nil"/>
          <w:bottom w:val="nil"/>
          <w:right w:val="nil"/>
          <w:between w:val="nil"/>
        </w:pBdr>
        <w:spacing w:before="96"/>
        <w:ind w:left="893" w:right="110"/>
        <w:jc w:val="both"/>
        <w:rPr>
          <w:color w:val="000000"/>
        </w:rPr>
        <w:sectPr w:rsidR="007960A8">
          <w:type w:val="continuous"/>
          <w:pgSz w:w="11910" w:h="16840"/>
          <w:pgMar w:top="1580" w:right="1220" w:bottom="280" w:left="1220" w:header="720" w:footer="720" w:gutter="0"/>
          <w:cols w:num="2" w:space="720" w:equalWidth="0">
            <w:col w:w="4715" w:space="40"/>
            <w:col w:w="4715" w:space="0"/>
          </w:cols>
        </w:sectPr>
      </w:pPr>
      <w:r>
        <w:br w:type="column"/>
      </w:r>
      <w:r>
        <w:rPr>
          <w:color w:val="000000"/>
        </w:rPr>
        <w:t>the certificate awarded on the basis of self-assessment, verified by an independent certification body, under the Cyber Essentials Scheme and is the basic level of assurance;</w:t>
      </w:r>
    </w:p>
    <w:p w14:paraId="76CFA65B" w14:textId="77777777" w:rsidR="007960A8" w:rsidRDefault="007960A8">
      <w:pPr>
        <w:pBdr>
          <w:top w:val="nil"/>
          <w:left w:val="nil"/>
          <w:bottom w:val="nil"/>
          <w:right w:val="nil"/>
          <w:between w:val="nil"/>
        </w:pBdr>
        <w:spacing w:before="6"/>
        <w:rPr>
          <w:color w:val="000000"/>
          <w:sz w:val="12"/>
          <w:szCs w:val="12"/>
        </w:rPr>
      </w:pPr>
    </w:p>
    <w:p w14:paraId="172DED38" w14:textId="77777777" w:rsidR="007960A8" w:rsidRDefault="00A26397">
      <w:pPr>
        <w:pBdr>
          <w:top w:val="nil"/>
          <w:left w:val="nil"/>
          <w:bottom w:val="nil"/>
          <w:right w:val="nil"/>
          <w:between w:val="nil"/>
        </w:pBdr>
        <w:tabs>
          <w:tab w:val="left" w:pos="5669"/>
        </w:tabs>
        <w:spacing w:before="97" w:line="252" w:lineRule="auto"/>
        <w:ind w:left="1048"/>
        <w:jc w:val="both"/>
        <w:rPr>
          <w:color w:val="000000"/>
        </w:rPr>
      </w:pPr>
      <w:r>
        <w:rPr>
          <w:b/>
          <w:bCs/>
          <w:color w:val="000000"/>
        </w:rPr>
        <w:t>"Cyber Essentials Certificate"</w:t>
      </w:r>
      <w:r>
        <w:rPr>
          <w:b/>
          <w:bCs/>
          <w:color w:val="000000"/>
        </w:rPr>
        <w:tab/>
      </w:r>
      <w:r>
        <w:rPr>
          <w:color w:val="000000"/>
        </w:rPr>
        <w:t>Cyber Essentials Basic Certificate, the</w:t>
      </w:r>
    </w:p>
    <w:p w14:paraId="57F23012" w14:textId="77777777" w:rsidR="007960A8" w:rsidRDefault="00A26397">
      <w:pPr>
        <w:pBdr>
          <w:top w:val="nil"/>
          <w:left w:val="nil"/>
          <w:bottom w:val="nil"/>
          <w:right w:val="nil"/>
          <w:between w:val="nil"/>
        </w:pBdr>
        <w:ind w:left="5669" w:right="106"/>
        <w:jc w:val="both"/>
        <w:rPr>
          <w:color w:val="000000"/>
        </w:rPr>
      </w:pPr>
      <w:r>
        <w:rPr>
          <w:color w:val="000000"/>
        </w:rPr>
        <w:t xml:space="preserve">Cyber Essentials Plus Certificate or the Cyber Essential Scheme certificate equivalent to be provided by the </w:t>
      </w:r>
      <w:r>
        <w:rPr>
          <w:i/>
          <w:iCs/>
          <w:color w:val="000000"/>
        </w:rPr>
        <w:t>Service Provider;</w:t>
      </w:r>
    </w:p>
    <w:p w14:paraId="012AFB42" w14:textId="77777777" w:rsidR="007960A8" w:rsidRDefault="007960A8">
      <w:pPr>
        <w:pBdr>
          <w:top w:val="nil"/>
          <w:left w:val="nil"/>
          <w:bottom w:val="nil"/>
          <w:right w:val="nil"/>
          <w:between w:val="nil"/>
        </w:pBdr>
        <w:spacing w:before="9"/>
        <w:rPr>
          <w:color w:val="000000"/>
          <w:sz w:val="20"/>
          <w:szCs w:val="20"/>
        </w:rPr>
      </w:pPr>
    </w:p>
    <w:p w14:paraId="68F5C8D9" w14:textId="77777777" w:rsidR="007960A8" w:rsidRDefault="00A26397">
      <w:pPr>
        <w:pBdr>
          <w:top w:val="nil"/>
          <w:left w:val="nil"/>
          <w:bottom w:val="nil"/>
          <w:right w:val="nil"/>
          <w:between w:val="nil"/>
        </w:pBdr>
        <w:tabs>
          <w:tab w:val="left" w:pos="5669"/>
        </w:tabs>
        <w:ind w:left="1048"/>
        <w:jc w:val="both"/>
        <w:rPr>
          <w:color w:val="000000"/>
        </w:rPr>
      </w:pPr>
      <w:r>
        <w:rPr>
          <w:b/>
          <w:bCs/>
          <w:color w:val="000000"/>
        </w:rPr>
        <w:t>"Cyber Essential Scheme Data"</w:t>
      </w:r>
      <w:r>
        <w:rPr>
          <w:b/>
          <w:bCs/>
          <w:color w:val="000000"/>
        </w:rPr>
        <w:tab/>
      </w:r>
      <w:r>
        <w:rPr>
          <w:color w:val="000000"/>
        </w:rPr>
        <w:t>sensitive and personal information</w:t>
      </w:r>
    </w:p>
    <w:p w14:paraId="38271DAD" w14:textId="77777777" w:rsidR="007960A8" w:rsidRDefault="00A26397">
      <w:pPr>
        <w:pBdr>
          <w:top w:val="nil"/>
          <w:left w:val="nil"/>
          <w:bottom w:val="nil"/>
          <w:right w:val="nil"/>
          <w:between w:val="nil"/>
        </w:pBdr>
        <w:spacing w:before="1"/>
        <w:ind w:left="5669" w:right="107"/>
        <w:jc w:val="both"/>
        <w:rPr>
          <w:color w:val="000000"/>
        </w:rPr>
      </w:pPr>
      <w:r>
        <w:rPr>
          <w:color w:val="000000"/>
        </w:rPr>
        <w:t>and other relevant information as referred to in the Cyber Essentials Scheme; and</w:t>
      </w:r>
    </w:p>
    <w:p w14:paraId="4FAA49EB" w14:textId="77777777" w:rsidR="007960A8" w:rsidRDefault="007960A8">
      <w:pPr>
        <w:pBdr>
          <w:top w:val="nil"/>
          <w:left w:val="nil"/>
          <w:bottom w:val="nil"/>
          <w:right w:val="nil"/>
          <w:between w:val="nil"/>
        </w:pBdr>
        <w:spacing w:before="10"/>
        <w:rPr>
          <w:color w:val="000000"/>
          <w:sz w:val="20"/>
          <w:szCs w:val="20"/>
        </w:rPr>
      </w:pPr>
    </w:p>
    <w:p w14:paraId="52E28E91" w14:textId="77777777" w:rsidR="007960A8" w:rsidRDefault="00A26397">
      <w:pPr>
        <w:pBdr>
          <w:top w:val="nil"/>
          <w:left w:val="nil"/>
          <w:bottom w:val="nil"/>
          <w:right w:val="nil"/>
          <w:between w:val="nil"/>
        </w:pBdr>
        <w:tabs>
          <w:tab w:val="left" w:pos="5669"/>
        </w:tabs>
        <w:ind w:left="1048"/>
        <w:jc w:val="both"/>
        <w:rPr>
          <w:color w:val="000000"/>
        </w:rPr>
      </w:pPr>
      <w:r>
        <w:rPr>
          <w:b/>
          <w:bCs/>
          <w:color w:val="000000"/>
        </w:rPr>
        <w:t>"Cyber Essentials Plus Certificate"</w:t>
      </w:r>
      <w:r>
        <w:rPr>
          <w:b/>
          <w:bCs/>
          <w:color w:val="000000"/>
        </w:rPr>
        <w:tab/>
      </w:r>
      <w:r>
        <w:rPr>
          <w:color w:val="000000"/>
        </w:rPr>
        <w:t>the certification awarded on the basis</w:t>
      </w:r>
    </w:p>
    <w:p w14:paraId="5884347B" w14:textId="77777777" w:rsidR="007960A8" w:rsidRDefault="00A26397">
      <w:pPr>
        <w:pBdr>
          <w:top w:val="nil"/>
          <w:left w:val="nil"/>
          <w:bottom w:val="nil"/>
          <w:right w:val="nil"/>
          <w:between w:val="nil"/>
        </w:pBdr>
        <w:spacing w:before="1"/>
        <w:ind w:left="5669" w:right="106"/>
        <w:jc w:val="both"/>
        <w:rPr>
          <w:color w:val="000000"/>
        </w:rPr>
      </w:pPr>
      <w:r>
        <w:rPr>
          <w:color w:val="000000"/>
        </w:rPr>
        <w:t xml:space="preserve">of external testing by an independent certification body of the </w:t>
      </w:r>
      <w:r>
        <w:rPr>
          <w:i/>
          <w:iCs/>
          <w:color w:val="000000"/>
        </w:rPr>
        <w:t xml:space="preserve">Service Provider's </w:t>
      </w:r>
      <w:r>
        <w:rPr>
          <w:color w:val="000000"/>
        </w:rPr>
        <w:t>cyber security approach under the Cyber Essentials Scheme and is a more advanced level of assurance.</w:t>
      </w:r>
    </w:p>
    <w:p w14:paraId="62DE2A6C" w14:textId="77777777" w:rsidR="007960A8" w:rsidRDefault="007960A8">
      <w:pPr>
        <w:pBdr>
          <w:top w:val="nil"/>
          <w:left w:val="nil"/>
          <w:bottom w:val="nil"/>
          <w:right w:val="nil"/>
          <w:between w:val="nil"/>
        </w:pBdr>
        <w:rPr>
          <w:color w:val="000000"/>
          <w:sz w:val="24"/>
          <w:szCs w:val="24"/>
        </w:rPr>
      </w:pPr>
    </w:p>
    <w:p w14:paraId="000E65FA" w14:textId="77777777" w:rsidR="007960A8" w:rsidRDefault="007960A8">
      <w:pPr>
        <w:pBdr>
          <w:top w:val="nil"/>
          <w:left w:val="nil"/>
          <w:bottom w:val="nil"/>
          <w:right w:val="nil"/>
          <w:between w:val="nil"/>
        </w:pBdr>
        <w:rPr>
          <w:color w:val="000000"/>
          <w:sz w:val="24"/>
          <w:szCs w:val="24"/>
        </w:rPr>
      </w:pPr>
    </w:p>
    <w:p w14:paraId="436ADB25" w14:textId="77777777" w:rsidR="007960A8" w:rsidRDefault="00A26397">
      <w:pPr>
        <w:pStyle w:val="Heading1"/>
        <w:numPr>
          <w:ilvl w:val="0"/>
          <w:numId w:val="1"/>
        </w:numPr>
        <w:tabs>
          <w:tab w:val="left" w:pos="581"/>
        </w:tabs>
        <w:spacing w:before="178"/>
        <w:ind w:left="580" w:hanging="361"/>
        <w:sectPr w:rsidR="007960A8">
          <w:type w:val="continuous"/>
          <w:pgSz w:w="11910" w:h="16840"/>
          <w:pgMar w:top="1580" w:right="1220" w:bottom="280" w:left="1220" w:header="720" w:footer="720" w:gutter="0"/>
          <w:cols w:space="720"/>
        </w:sectPr>
      </w:pPr>
      <w:r>
        <w:t>CYBER ESSENTIALS OBLIGATIONS</w:t>
      </w:r>
    </w:p>
    <w:p w14:paraId="7566048A" w14:textId="77777777" w:rsidR="007960A8" w:rsidRDefault="007960A8">
      <w:pPr>
        <w:pBdr>
          <w:top w:val="nil"/>
          <w:left w:val="nil"/>
          <w:bottom w:val="nil"/>
          <w:right w:val="nil"/>
          <w:between w:val="nil"/>
        </w:pBdr>
        <w:rPr>
          <w:b/>
          <w:bCs/>
          <w:color w:val="000000"/>
          <w:sz w:val="20"/>
          <w:szCs w:val="20"/>
        </w:rPr>
      </w:pPr>
    </w:p>
    <w:p w14:paraId="65C91166" w14:textId="77777777" w:rsidR="007960A8" w:rsidRDefault="007960A8">
      <w:pPr>
        <w:pBdr>
          <w:top w:val="nil"/>
          <w:left w:val="nil"/>
          <w:bottom w:val="nil"/>
          <w:right w:val="nil"/>
          <w:between w:val="nil"/>
        </w:pBdr>
        <w:spacing w:before="7"/>
        <w:rPr>
          <w:b/>
          <w:bCs/>
          <w:color w:val="000000"/>
          <w:sz w:val="19"/>
          <w:szCs w:val="19"/>
        </w:rPr>
      </w:pPr>
    </w:p>
    <w:p w14:paraId="6DAD6C37" w14:textId="77777777" w:rsidR="007960A8" w:rsidRDefault="00A26397">
      <w:pPr>
        <w:numPr>
          <w:ilvl w:val="1"/>
          <w:numId w:val="1"/>
        </w:numPr>
        <w:pBdr>
          <w:top w:val="nil"/>
          <w:left w:val="nil"/>
          <w:bottom w:val="nil"/>
          <w:right w:val="nil"/>
          <w:between w:val="nil"/>
        </w:pBdr>
        <w:tabs>
          <w:tab w:val="left" w:pos="583"/>
        </w:tabs>
        <w:ind w:right="213" w:firstLine="0"/>
        <w:jc w:val="both"/>
        <w:rPr>
          <w:color w:val="000000"/>
        </w:rPr>
      </w:pPr>
      <w:r>
        <w:rPr>
          <w:color w:val="000000"/>
        </w:rPr>
        <w:t xml:space="preserve">Where the Scope requires that the </w:t>
      </w:r>
      <w:r>
        <w:rPr>
          <w:i/>
          <w:iCs/>
          <w:color w:val="000000"/>
        </w:rPr>
        <w:t xml:space="preserve">Service Provider </w:t>
      </w:r>
      <w:r>
        <w:rPr>
          <w:color w:val="000000"/>
        </w:rPr>
        <w:t xml:space="preserve">provide a Cyber Essentials Certificate prior to the execution of the </w:t>
      </w:r>
      <w:r>
        <w:rPr>
          <w:i/>
          <w:iCs/>
          <w:color w:val="000000"/>
        </w:rPr>
        <w:t xml:space="preserve">service </w:t>
      </w:r>
      <w:r>
        <w:rPr>
          <w:color w:val="000000"/>
        </w:rPr>
        <w:t xml:space="preserve">the </w:t>
      </w:r>
      <w:r>
        <w:rPr>
          <w:i/>
          <w:iCs/>
          <w:color w:val="000000"/>
        </w:rPr>
        <w:t xml:space="preserve">Service Provider </w:t>
      </w:r>
      <w:r>
        <w:rPr>
          <w:color w:val="000000"/>
        </w:rPr>
        <w:t xml:space="preserve">shall provide a valid Cyber Essentials Certificate, then on or prior to the commencement of the </w:t>
      </w:r>
      <w:r>
        <w:rPr>
          <w:i/>
          <w:iCs/>
          <w:color w:val="000000"/>
        </w:rPr>
        <w:t xml:space="preserve">service </w:t>
      </w:r>
      <w:r>
        <w:rPr>
          <w:color w:val="000000"/>
        </w:rPr>
        <w:t>the</w:t>
      </w:r>
      <w:r>
        <w:rPr>
          <w:color w:val="000000"/>
        </w:rPr>
        <w:t xml:space="preserve"> </w:t>
      </w:r>
      <w:r>
        <w:rPr>
          <w:i/>
          <w:iCs/>
          <w:color w:val="000000"/>
        </w:rPr>
        <w:t xml:space="preserve">Service Provider </w:t>
      </w:r>
      <w:r>
        <w:rPr>
          <w:color w:val="000000"/>
        </w:rPr>
        <w:t xml:space="preserve">delivers to the </w:t>
      </w:r>
      <w:r>
        <w:rPr>
          <w:i/>
          <w:iCs/>
          <w:color w:val="000000"/>
        </w:rPr>
        <w:t xml:space="preserve">Client </w:t>
      </w:r>
      <w:r>
        <w:rPr>
          <w:color w:val="000000"/>
        </w:rPr>
        <w:t xml:space="preserve">evidence of the same. Where the </w:t>
      </w:r>
      <w:r>
        <w:rPr>
          <w:i/>
          <w:iCs/>
          <w:color w:val="000000"/>
        </w:rPr>
        <w:t xml:space="preserve">Service Provider </w:t>
      </w:r>
      <w:r>
        <w:rPr>
          <w:color w:val="000000"/>
        </w:rPr>
        <w:t xml:space="preserve">fails to comply with this paragraph it shall be prohibited from commencing the carrying out of the </w:t>
      </w:r>
      <w:r>
        <w:rPr>
          <w:i/>
          <w:iCs/>
          <w:color w:val="000000"/>
        </w:rPr>
        <w:t xml:space="preserve">service </w:t>
      </w:r>
      <w:r>
        <w:rPr>
          <w:color w:val="000000"/>
        </w:rPr>
        <w:t xml:space="preserve">under any contract until such time as the </w:t>
      </w:r>
      <w:r>
        <w:rPr>
          <w:i/>
          <w:iCs/>
          <w:color w:val="000000"/>
        </w:rPr>
        <w:t xml:space="preserve">Service Provider </w:t>
      </w:r>
      <w:r>
        <w:rPr>
          <w:color w:val="000000"/>
        </w:rPr>
        <w:t xml:space="preserve">has evidenced to the </w:t>
      </w:r>
      <w:r>
        <w:rPr>
          <w:i/>
          <w:iCs/>
          <w:color w:val="000000"/>
        </w:rPr>
        <w:t xml:space="preserve">Client </w:t>
      </w:r>
      <w:r>
        <w:rPr>
          <w:color w:val="000000"/>
        </w:rPr>
        <w:t>its compliance with this paragraph 2.1.</w:t>
      </w:r>
    </w:p>
    <w:p w14:paraId="311D64FB" w14:textId="77777777" w:rsidR="007960A8" w:rsidRDefault="007960A8">
      <w:pPr>
        <w:pBdr>
          <w:top w:val="nil"/>
          <w:left w:val="nil"/>
          <w:bottom w:val="nil"/>
          <w:right w:val="nil"/>
          <w:between w:val="nil"/>
        </w:pBdr>
        <w:rPr>
          <w:color w:val="000000"/>
          <w:sz w:val="21"/>
          <w:szCs w:val="21"/>
        </w:rPr>
      </w:pPr>
    </w:p>
    <w:p w14:paraId="4FB7B358" w14:textId="77777777" w:rsidR="007960A8" w:rsidRDefault="00A26397">
      <w:pPr>
        <w:numPr>
          <w:ilvl w:val="1"/>
          <w:numId w:val="1"/>
        </w:numPr>
        <w:pBdr>
          <w:top w:val="nil"/>
          <w:left w:val="nil"/>
          <w:bottom w:val="nil"/>
          <w:right w:val="nil"/>
          <w:between w:val="nil"/>
        </w:pBdr>
        <w:tabs>
          <w:tab w:val="left" w:pos="610"/>
        </w:tabs>
        <w:ind w:right="215" w:firstLine="0"/>
        <w:jc w:val="both"/>
        <w:rPr>
          <w:color w:val="000000"/>
        </w:rPr>
      </w:pPr>
      <w:r>
        <w:rPr>
          <w:color w:val="000000"/>
        </w:rPr>
        <w:t xml:space="preserve">Where the </w:t>
      </w:r>
      <w:r>
        <w:rPr>
          <w:i/>
          <w:iCs/>
          <w:color w:val="000000"/>
        </w:rPr>
        <w:t xml:space="preserve">Service Provider </w:t>
      </w:r>
      <w:r>
        <w:rPr>
          <w:color w:val="000000"/>
        </w:rPr>
        <w:t xml:space="preserve">continues to Process Cyber Essentials Scheme Data during the carrying out of the </w:t>
      </w:r>
      <w:r>
        <w:rPr>
          <w:i/>
          <w:iCs/>
          <w:color w:val="000000"/>
        </w:rPr>
        <w:t xml:space="preserve">service </w:t>
      </w:r>
      <w:r>
        <w:rPr>
          <w:color w:val="000000"/>
        </w:rPr>
        <w:t xml:space="preserve">the </w:t>
      </w:r>
      <w:r>
        <w:rPr>
          <w:i/>
          <w:iCs/>
          <w:color w:val="000000"/>
        </w:rPr>
        <w:t xml:space="preserve">Service Provider </w:t>
      </w:r>
      <w:r>
        <w:rPr>
          <w:color w:val="000000"/>
        </w:rPr>
        <w:t xml:space="preserve">delivers to the </w:t>
      </w:r>
      <w:r>
        <w:rPr>
          <w:i/>
          <w:iCs/>
          <w:color w:val="000000"/>
        </w:rPr>
        <w:t xml:space="preserve">Client </w:t>
      </w:r>
      <w:r>
        <w:rPr>
          <w:color w:val="000000"/>
        </w:rPr>
        <w:t xml:space="preserve">evidence of renewal of the </w:t>
      </w:r>
      <w:r>
        <w:rPr>
          <w:color w:val="000000"/>
        </w:rPr>
        <w:t xml:space="preserve">Cyber Essentials Certificate on each anniversary of the first applicable certificate obtained by the </w:t>
      </w:r>
      <w:r>
        <w:rPr>
          <w:i/>
          <w:iCs/>
          <w:color w:val="000000"/>
        </w:rPr>
        <w:t xml:space="preserve">Service Provider </w:t>
      </w:r>
      <w:r>
        <w:rPr>
          <w:color w:val="000000"/>
        </w:rPr>
        <w:t>under paragraph 2.1.</w:t>
      </w:r>
    </w:p>
    <w:p w14:paraId="55681FB8" w14:textId="77777777" w:rsidR="007960A8" w:rsidRDefault="007960A8">
      <w:pPr>
        <w:pBdr>
          <w:top w:val="nil"/>
          <w:left w:val="nil"/>
          <w:bottom w:val="nil"/>
          <w:right w:val="nil"/>
          <w:between w:val="nil"/>
        </w:pBdr>
        <w:spacing w:before="9"/>
        <w:rPr>
          <w:color w:val="000000"/>
          <w:sz w:val="20"/>
          <w:szCs w:val="20"/>
        </w:rPr>
      </w:pPr>
    </w:p>
    <w:p w14:paraId="1695AD23" w14:textId="77777777" w:rsidR="007960A8" w:rsidRDefault="00A26397">
      <w:pPr>
        <w:numPr>
          <w:ilvl w:val="1"/>
          <w:numId w:val="1"/>
        </w:numPr>
        <w:pBdr>
          <w:top w:val="nil"/>
          <w:left w:val="nil"/>
          <w:bottom w:val="nil"/>
          <w:right w:val="nil"/>
          <w:between w:val="nil"/>
        </w:pBdr>
        <w:tabs>
          <w:tab w:val="left" w:pos="648"/>
        </w:tabs>
        <w:ind w:right="214" w:firstLine="0"/>
        <w:jc w:val="both"/>
        <w:rPr>
          <w:color w:val="000000"/>
        </w:rPr>
      </w:pPr>
      <w:r>
        <w:rPr>
          <w:color w:val="000000"/>
        </w:rPr>
        <w:t xml:space="preserve">Where the </w:t>
      </w:r>
      <w:r>
        <w:rPr>
          <w:i/>
          <w:iCs/>
          <w:color w:val="000000"/>
        </w:rPr>
        <w:t xml:space="preserve">Service Provider </w:t>
      </w:r>
      <w:r>
        <w:rPr>
          <w:color w:val="000000"/>
        </w:rPr>
        <w:t xml:space="preserve">is due to Process Cyber Essentials Scheme Data after the commencement of the </w:t>
      </w:r>
      <w:r>
        <w:rPr>
          <w:i/>
          <w:iCs/>
          <w:color w:val="000000"/>
        </w:rPr>
        <w:t xml:space="preserve">service </w:t>
      </w:r>
      <w:r>
        <w:rPr>
          <w:color w:val="000000"/>
        </w:rPr>
        <w:t xml:space="preserve">but before the end of the </w:t>
      </w:r>
      <w:r>
        <w:rPr>
          <w:i/>
          <w:iCs/>
          <w:color w:val="000000"/>
        </w:rPr>
        <w:t xml:space="preserve">service period </w:t>
      </w:r>
      <w:r>
        <w:rPr>
          <w:color w:val="000000"/>
        </w:rPr>
        <w:t xml:space="preserve">the </w:t>
      </w:r>
      <w:r>
        <w:rPr>
          <w:i/>
          <w:iCs/>
          <w:color w:val="000000"/>
        </w:rPr>
        <w:t xml:space="preserve">Service Provider </w:t>
      </w:r>
      <w:r>
        <w:rPr>
          <w:color w:val="000000"/>
        </w:rPr>
        <w:t xml:space="preserve">delivers to the </w:t>
      </w:r>
      <w:r>
        <w:rPr>
          <w:i/>
          <w:iCs/>
          <w:color w:val="000000"/>
        </w:rPr>
        <w:t xml:space="preserve">Client </w:t>
      </w:r>
      <w:r>
        <w:rPr>
          <w:color w:val="000000"/>
        </w:rPr>
        <w:t>evidence of:</w:t>
      </w:r>
    </w:p>
    <w:p w14:paraId="071FE2A6" w14:textId="77777777" w:rsidR="007960A8" w:rsidRDefault="007960A8">
      <w:pPr>
        <w:pBdr>
          <w:top w:val="nil"/>
          <w:left w:val="nil"/>
          <w:bottom w:val="nil"/>
          <w:right w:val="nil"/>
          <w:between w:val="nil"/>
        </w:pBdr>
        <w:spacing w:before="10"/>
        <w:rPr>
          <w:color w:val="000000"/>
          <w:sz w:val="20"/>
          <w:szCs w:val="20"/>
        </w:rPr>
      </w:pPr>
    </w:p>
    <w:p w14:paraId="6D469FFE" w14:textId="77777777" w:rsidR="007960A8" w:rsidRDefault="00A26397">
      <w:pPr>
        <w:numPr>
          <w:ilvl w:val="2"/>
          <w:numId w:val="1"/>
        </w:numPr>
        <w:pBdr>
          <w:top w:val="nil"/>
          <w:left w:val="nil"/>
          <w:bottom w:val="nil"/>
          <w:right w:val="nil"/>
          <w:between w:val="nil"/>
        </w:pBdr>
        <w:tabs>
          <w:tab w:val="left" w:pos="794"/>
        </w:tabs>
        <w:ind w:right="217" w:firstLine="0"/>
        <w:jc w:val="both"/>
        <w:rPr>
          <w:color w:val="000000"/>
        </w:rPr>
      </w:pPr>
      <w:r>
        <w:rPr>
          <w:color w:val="000000"/>
        </w:rPr>
        <w:t xml:space="preserve">a valid and current Cyber Essentials Certificate before the </w:t>
      </w:r>
      <w:r>
        <w:rPr>
          <w:i/>
          <w:iCs/>
          <w:color w:val="000000"/>
        </w:rPr>
        <w:t xml:space="preserve">Service Provider </w:t>
      </w:r>
      <w:r>
        <w:rPr>
          <w:color w:val="000000"/>
        </w:rPr>
        <w:t>Processes any such Cyber Essentials Scheme Data; and</w:t>
      </w:r>
    </w:p>
    <w:p w14:paraId="4974BB20" w14:textId="77777777" w:rsidR="007960A8" w:rsidRDefault="007960A8">
      <w:pPr>
        <w:pBdr>
          <w:top w:val="nil"/>
          <w:left w:val="nil"/>
          <w:bottom w:val="nil"/>
          <w:right w:val="nil"/>
          <w:between w:val="nil"/>
        </w:pBdr>
        <w:spacing w:before="10"/>
        <w:rPr>
          <w:color w:val="000000"/>
          <w:sz w:val="20"/>
          <w:szCs w:val="20"/>
        </w:rPr>
      </w:pPr>
    </w:p>
    <w:p w14:paraId="1E3B8B2D" w14:textId="77777777" w:rsidR="007960A8" w:rsidRDefault="00A26397">
      <w:pPr>
        <w:numPr>
          <w:ilvl w:val="2"/>
          <w:numId w:val="1"/>
        </w:numPr>
        <w:pBdr>
          <w:top w:val="nil"/>
          <w:left w:val="nil"/>
          <w:bottom w:val="nil"/>
          <w:right w:val="nil"/>
          <w:between w:val="nil"/>
        </w:pBdr>
        <w:tabs>
          <w:tab w:val="left" w:pos="780"/>
        </w:tabs>
        <w:ind w:right="221" w:firstLine="0"/>
        <w:jc w:val="both"/>
        <w:rPr>
          <w:color w:val="000000"/>
        </w:rPr>
      </w:pPr>
      <w:r>
        <w:rPr>
          <w:color w:val="000000"/>
        </w:rPr>
        <w:t xml:space="preserve">renewal of the valid Cyber Essentials Certificate on each anniversary of the first Cyber Essentials Scheme certificate obtained by the </w:t>
      </w:r>
      <w:r>
        <w:rPr>
          <w:i/>
          <w:iCs/>
          <w:color w:val="000000"/>
        </w:rPr>
        <w:t xml:space="preserve">Service Provider </w:t>
      </w:r>
      <w:r>
        <w:rPr>
          <w:color w:val="000000"/>
        </w:rPr>
        <w:t>under paragraph 2.1.</w:t>
      </w:r>
    </w:p>
    <w:p w14:paraId="6D56FAF0" w14:textId="77777777" w:rsidR="007960A8" w:rsidRDefault="007960A8">
      <w:pPr>
        <w:pBdr>
          <w:top w:val="nil"/>
          <w:left w:val="nil"/>
          <w:bottom w:val="nil"/>
          <w:right w:val="nil"/>
          <w:between w:val="nil"/>
        </w:pBdr>
        <w:spacing w:before="10"/>
        <w:rPr>
          <w:color w:val="000000"/>
          <w:sz w:val="20"/>
          <w:szCs w:val="20"/>
        </w:rPr>
      </w:pPr>
    </w:p>
    <w:p w14:paraId="3CE5AEDE" w14:textId="77777777" w:rsidR="007960A8" w:rsidRDefault="00A26397">
      <w:pPr>
        <w:numPr>
          <w:ilvl w:val="1"/>
          <w:numId w:val="1"/>
        </w:numPr>
        <w:pBdr>
          <w:top w:val="nil"/>
          <w:left w:val="nil"/>
          <w:bottom w:val="nil"/>
          <w:right w:val="nil"/>
          <w:between w:val="nil"/>
        </w:pBdr>
        <w:tabs>
          <w:tab w:val="left" w:pos="588"/>
        </w:tabs>
        <w:spacing w:before="1"/>
        <w:ind w:right="218" w:firstLine="0"/>
        <w:jc w:val="both"/>
        <w:rPr>
          <w:color w:val="000000"/>
        </w:rPr>
      </w:pPr>
      <w:r>
        <w:rPr>
          <w:color w:val="000000"/>
        </w:rPr>
        <w:t xml:space="preserve">In the event that the </w:t>
      </w:r>
      <w:r>
        <w:rPr>
          <w:i/>
          <w:iCs/>
          <w:color w:val="000000"/>
        </w:rPr>
        <w:t xml:space="preserve">Service Provider </w:t>
      </w:r>
      <w:r>
        <w:rPr>
          <w:color w:val="000000"/>
        </w:rPr>
        <w:t xml:space="preserve">fails to comply with paragraphs 2.2 or 2.3 </w:t>
      </w:r>
      <w:r>
        <w:rPr>
          <w:color w:val="000000"/>
        </w:rPr>
        <w:t xml:space="preserve">(as applicable), the </w:t>
      </w:r>
      <w:r>
        <w:rPr>
          <w:i/>
          <w:iCs/>
          <w:color w:val="000000"/>
        </w:rPr>
        <w:t xml:space="preserve">Client </w:t>
      </w:r>
      <w:r>
        <w:rPr>
          <w:color w:val="000000"/>
        </w:rPr>
        <w:t>reserves the right to terminate this contract for material Default.</w:t>
      </w:r>
    </w:p>
    <w:p w14:paraId="527240DB" w14:textId="77777777" w:rsidR="007960A8" w:rsidRDefault="007960A8">
      <w:pPr>
        <w:pBdr>
          <w:top w:val="nil"/>
          <w:left w:val="nil"/>
          <w:bottom w:val="nil"/>
          <w:right w:val="nil"/>
          <w:between w:val="nil"/>
        </w:pBdr>
        <w:spacing w:before="10"/>
        <w:rPr>
          <w:color w:val="000000"/>
          <w:sz w:val="20"/>
          <w:szCs w:val="20"/>
        </w:rPr>
      </w:pPr>
    </w:p>
    <w:p w14:paraId="042EF2F8" w14:textId="77777777" w:rsidR="007960A8" w:rsidRDefault="00A26397">
      <w:pPr>
        <w:numPr>
          <w:ilvl w:val="1"/>
          <w:numId w:val="1"/>
        </w:numPr>
        <w:pBdr>
          <w:top w:val="nil"/>
          <w:left w:val="nil"/>
          <w:bottom w:val="nil"/>
          <w:right w:val="nil"/>
          <w:between w:val="nil"/>
        </w:pBdr>
        <w:tabs>
          <w:tab w:val="left" w:pos="602"/>
        </w:tabs>
        <w:ind w:right="214" w:firstLine="0"/>
        <w:jc w:val="both"/>
        <w:rPr>
          <w:color w:val="000000"/>
        </w:rPr>
      </w:pPr>
      <w:r>
        <w:rPr>
          <w:color w:val="000000"/>
        </w:rPr>
        <w:t xml:space="preserve">The </w:t>
      </w:r>
      <w:r>
        <w:rPr>
          <w:i/>
          <w:iCs/>
          <w:color w:val="000000"/>
        </w:rPr>
        <w:t xml:space="preserve">Service Provider </w:t>
      </w:r>
      <w:r>
        <w:rPr>
          <w:color w:val="000000"/>
        </w:rPr>
        <w:t xml:space="preserve">ensures that all sub-contracts with Sub-Consultants who Process Cyber Essentials Data contain provisions no less onerous on the Sub-Consultants than those imposed on the </w:t>
      </w:r>
      <w:r>
        <w:rPr>
          <w:i/>
          <w:iCs/>
          <w:color w:val="000000"/>
        </w:rPr>
        <w:t xml:space="preserve">Service Provider </w:t>
      </w:r>
      <w:r>
        <w:rPr>
          <w:color w:val="000000"/>
        </w:rPr>
        <w:t>under this contract in respect of the Cyber Essentials Scheme under p</w:t>
      </w:r>
      <w:r>
        <w:rPr>
          <w:color w:val="000000"/>
        </w:rPr>
        <w:t>aragraph 2.1 of this Schedule</w:t>
      </w:r>
    </w:p>
    <w:p w14:paraId="182BCCAB" w14:textId="77777777" w:rsidR="007960A8" w:rsidRDefault="007960A8">
      <w:pPr>
        <w:pBdr>
          <w:top w:val="nil"/>
          <w:left w:val="nil"/>
          <w:bottom w:val="nil"/>
          <w:right w:val="nil"/>
          <w:between w:val="nil"/>
        </w:pBdr>
        <w:spacing w:before="9"/>
        <w:rPr>
          <w:color w:val="000000"/>
          <w:sz w:val="20"/>
          <w:szCs w:val="20"/>
        </w:rPr>
      </w:pPr>
    </w:p>
    <w:p w14:paraId="635774EA" w14:textId="77777777" w:rsidR="007960A8" w:rsidRDefault="00A26397">
      <w:pPr>
        <w:numPr>
          <w:ilvl w:val="1"/>
          <w:numId w:val="1"/>
        </w:numPr>
        <w:pBdr>
          <w:top w:val="nil"/>
          <w:left w:val="nil"/>
          <w:bottom w:val="nil"/>
          <w:right w:val="nil"/>
          <w:between w:val="nil"/>
        </w:pBdr>
        <w:tabs>
          <w:tab w:val="left" w:pos="588"/>
        </w:tabs>
        <w:ind w:left="587" w:hanging="368"/>
        <w:jc w:val="both"/>
        <w:rPr>
          <w:color w:val="000000"/>
        </w:rPr>
      </w:pPr>
      <w:r>
        <w:rPr>
          <w:color w:val="000000"/>
        </w:rPr>
        <w:t>This Schedule shall survive termination or expiry of this contract.</w:t>
      </w:r>
    </w:p>
    <w:p w14:paraId="2D2D2913" w14:textId="77777777" w:rsidR="007960A8" w:rsidRDefault="007960A8">
      <w:pPr>
        <w:pBdr>
          <w:top w:val="nil"/>
          <w:left w:val="nil"/>
          <w:bottom w:val="nil"/>
          <w:right w:val="nil"/>
          <w:between w:val="nil"/>
        </w:pBdr>
        <w:ind w:left="940"/>
        <w:rPr>
          <w:color w:val="000000"/>
        </w:rPr>
      </w:pPr>
    </w:p>
    <w:p w14:paraId="388D7F3E" w14:textId="77777777" w:rsidR="007960A8" w:rsidRDefault="00A26397">
      <w:pPr>
        <w:widowControl/>
        <w:spacing w:after="160" w:line="259" w:lineRule="auto"/>
        <w:rPr>
          <w:color w:val="000000"/>
        </w:rPr>
      </w:pPr>
      <w:r>
        <w:br w:type="page"/>
      </w:r>
    </w:p>
    <w:p w14:paraId="27572FFD" w14:textId="77777777" w:rsidR="007960A8" w:rsidRDefault="00A26397">
      <w:pPr>
        <w:widowControl/>
        <w:spacing w:after="160" w:line="259" w:lineRule="auto"/>
        <w:rPr>
          <w:b/>
          <w:bCs/>
        </w:rPr>
      </w:pPr>
      <w:bookmarkStart w:id="12" w:name="_heading=h.qjhwe22bvsdj" w:colFirst="0" w:colLast="0"/>
      <w:bookmarkEnd w:id="12"/>
      <w:r>
        <w:rPr>
          <w:b/>
          <w:bCs/>
        </w:rPr>
        <w:t>Schedule [</w:t>
      </w:r>
      <w:r>
        <w:t>Guidance: insert schedule ref here</w:t>
      </w:r>
      <w:r>
        <w:rPr>
          <w:b/>
          <w:bCs/>
        </w:rPr>
        <w:t xml:space="preserve">] </w:t>
      </w:r>
      <w:r>
        <w:rPr>
          <w:b/>
          <w:bCs/>
          <w:u w:val="single"/>
        </w:rPr>
        <w:t>Modern Slavery</w:t>
      </w:r>
    </w:p>
    <w:p w14:paraId="56D8B4CE" w14:textId="77777777" w:rsidR="007960A8" w:rsidRDefault="00A26397">
      <w:pPr>
        <w:widowControl/>
        <w:spacing w:after="160" w:line="259" w:lineRule="auto"/>
        <w:rPr>
          <w:b/>
          <w:bCs/>
        </w:rPr>
      </w:pPr>
      <w:r>
        <w:rPr>
          <w:b/>
          <w:bCs/>
        </w:rPr>
        <w:t>1. Definitions</w:t>
      </w:r>
    </w:p>
    <w:p w14:paraId="529D3001" w14:textId="77777777" w:rsidR="007960A8" w:rsidRDefault="00A26397">
      <w:pPr>
        <w:widowControl/>
        <w:spacing w:after="160" w:line="259" w:lineRule="auto"/>
      </w:pPr>
      <w:r>
        <w:t xml:space="preserve">1.1 </w:t>
      </w:r>
      <w:r>
        <w:tab/>
      </w:r>
      <w:r>
        <w:t xml:space="preserve">In this Schedule, the following words shall have the following meanings: </w:t>
      </w:r>
    </w:p>
    <w:p w14:paraId="73478927" w14:textId="77777777" w:rsidR="007960A8" w:rsidRDefault="00A26397">
      <w:pPr>
        <w:widowControl/>
        <w:spacing w:after="160" w:line="259" w:lineRule="auto"/>
      </w:pPr>
      <w:r>
        <w:rPr>
          <w:b/>
          <w:bCs/>
        </w:rPr>
        <w:t xml:space="preserve"> Modern Slavery Helpline: </w:t>
      </w:r>
      <w:r>
        <w:rPr>
          <w:b/>
          <w:bCs/>
        </w:rPr>
        <w:tab/>
      </w:r>
      <w:r>
        <w:t>The modern slavery helpline phone number on 08000 121 700 or the online reporting tool which can be found online at </w:t>
      </w:r>
      <w:hyperlink r:id="rId14">
        <w:r>
          <w:rPr>
            <w:color w:val="0563C1"/>
            <w:u w:val="single"/>
          </w:rPr>
          <w:t>www.modernslaveryhelpline.org</w:t>
        </w:r>
      </w:hyperlink>
      <w:r>
        <w:t xml:space="preserve"> or any replacement number or website address.</w:t>
      </w:r>
    </w:p>
    <w:p w14:paraId="1A658180" w14:textId="77777777" w:rsidR="007960A8" w:rsidRDefault="00A26397">
      <w:pPr>
        <w:widowControl/>
        <w:spacing w:after="160" w:line="259" w:lineRule="auto"/>
      </w:pPr>
      <w:r>
        <w:rPr>
          <w:b/>
          <w:bCs/>
        </w:rPr>
        <w:t>Modern Slavery Assessment Tool:</w:t>
      </w:r>
      <w:r>
        <w:rPr>
          <w:b/>
          <w:bCs/>
        </w:rPr>
        <w:tab/>
        <w:t xml:space="preserve"> </w:t>
      </w:r>
      <w:r>
        <w:t>the modern slavery risk identification and management tool, guidance for which can be found at http://supplierregistration.cabinetoffice.gov.uk/msat</w:t>
      </w:r>
    </w:p>
    <w:p w14:paraId="4325C75E" w14:textId="77777777" w:rsidR="007960A8" w:rsidRDefault="00A26397">
      <w:pPr>
        <w:widowControl/>
        <w:spacing w:after="160" w:line="259" w:lineRule="auto"/>
      </w:pPr>
      <w:r>
        <w:rPr>
          <w:b/>
          <w:bCs/>
        </w:rPr>
        <w:t xml:space="preserve">Supply Chain Map: </w:t>
      </w:r>
      <w:r>
        <w:rPr>
          <w:b/>
          <w:bCs/>
        </w:rPr>
        <w:tab/>
      </w:r>
      <w:r>
        <w:rPr>
          <w:b/>
          <w:bCs/>
        </w:rPr>
        <w:tab/>
      </w:r>
      <w:r>
        <w:t xml:space="preserve">a document containing details of (i) the </w:t>
      </w:r>
      <w:r>
        <w:rPr>
          <w:i/>
          <w:iCs/>
        </w:rPr>
        <w:t>Service Provider</w:t>
      </w:r>
      <w:r>
        <w:t xml:space="preserve">, (ii) all Subcontractors and </w:t>
      </w:r>
      <w:r>
        <w:t xml:space="preserve">(iii) any other entity that the </w:t>
      </w:r>
      <w:r>
        <w:rPr>
          <w:i/>
          <w:iCs/>
        </w:rPr>
        <w:t xml:space="preserve">Service Provider </w:t>
      </w:r>
      <w:r>
        <w:t>is aware is in its supply chain that is not a Subcontractor, setting out at least:</w:t>
      </w:r>
    </w:p>
    <w:p w14:paraId="1B5E4003" w14:textId="77777777" w:rsidR="007960A8" w:rsidRDefault="00A26397">
      <w:pPr>
        <w:widowControl/>
        <w:spacing w:after="160" w:line="259" w:lineRule="auto"/>
      </w:pPr>
      <w:r>
        <w:t>a. the name, registered office and company registration number of each entity in the supply chain</w:t>
      </w:r>
    </w:p>
    <w:p w14:paraId="09CA64EC" w14:textId="77777777" w:rsidR="007960A8" w:rsidRDefault="00A26397">
      <w:pPr>
        <w:widowControl/>
        <w:spacing w:after="160" w:line="259" w:lineRule="auto"/>
      </w:pPr>
      <w:r>
        <w:t>b. the function of each en</w:t>
      </w:r>
      <w:r>
        <w:t>tity in the supply chain; and</w:t>
      </w:r>
    </w:p>
    <w:p w14:paraId="348E5D32" w14:textId="77777777" w:rsidR="007960A8" w:rsidRDefault="00A26397">
      <w:pPr>
        <w:widowControl/>
        <w:spacing w:after="160" w:line="259" w:lineRule="auto"/>
      </w:pPr>
      <w:r>
        <w:t>c. the location of any premises at which an entity in the supply chain carries out a function in the supply chain.</w:t>
      </w:r>
    </w:p>
    <w:p w14:paraId="549A0820" w14:textId="77777777" w:rsidR="007960A8" w:rsidRDefault="00A26397">
      <w:pPr>
        <w:widowControl/>
        <w:spacing w:after="160" w:line="259" w:lineRule="auto"/>
        <w:rPr>
          <w:b/>
          <w:bCs/>
        </w:rPr>
      </w:pPr>
      <w:r>
        <w:rPr>
          <w:b/>
          <w:bCs/>
        </w:rPr>
        <w:t>Modern Slavery Obligations</w:t>
      </w:r>
    </w:p>
    <w:p w14:paraId="34369FF9" w14:textId="77777777" w:rsidR="007960A8" w:rsidRDefault="00A26397">
      <w:pPr>
        <w:widowControl/>
        <w:spacing w:after="160" w:line="259" w:lineRule="auto"/>
      </w:pPr>
      <w:r>
        <w:t>2.1</w:t>
      </w:r>
      <w:r>
        <w:rPr>
          <w:b/>
          <w:bCs/>
        </w:rPr>
        <w:t xml:space="preserve"> </w:t>
      </w:r>
      <w:r>
        <w:t xml:space="preserve">The </w:t>
      </w:r>
      <w:r>
        <w:rPr>
          <w:i/>
          <w:iCs/>
        </w:rPr>
        <w:t>Service Provider</w:t>
      </w:r>
      <w:r>
        <w:t>:</w:t>
      </w:r>
    </w:p>
    <w:p w14:paraId="2EA3DFF6" w14:textId="77777777" w:rsidR="007960A8" w:rsidRDefault="00A26397">
      <w:pPr>
        <w:widowControl/>
        <w:spacing w:after="160" w:line="259" w:lineRule="auto"/>
      </w:pPr>
      <w:r>
        <w:t>a. shall not use, nor allow its subcontractors to use, for</w:t>
      </w:r>
      <w:r>
        <w:t>ced, bonded or involuntary prison labour;</w:t>
      </w:r>
    </w:p>
    <w:p w14:paraId="5FD3A54D" w14:textId="77777777" w:rsidR="007960A8" w:rsidRDefault="00A26397">
      <w:pPr>
        <w:widowControl/>
        <w:spacing w:after="160" w:line="259" w:lineRule="auto"/>
      </w:pPr>
      <w:r>
        <w:t xml:space="preserve">b. shall not require any </w:t>
      </w:r>
      <w:r>
        <w:rPr>
          <w:i/>
          <w:iCs/>
        </w:rPr>
        <w:t>Service Provider</w:t>
      </w:r>
      <w:r>
        <w:t xml:space="preserve"> employees or the employees of any subcontractors to lodge deposits or identity papers with their employer and shall be free to leave their employer after reasonable notice;</w:t>
      </w:r>
    </w:p>
    <w:p w14:paraId="55795902" w14:textId="77777777" w:rsidR="007960A8" w:rsidRDefault="00A26397">
      <w:pPr>
        <w:widowControl/>
        <w:spacing w:after="160" w:line="259" w:lineRule="auto"/>
      </w:pPr>
      <w:r>
        <w:t>c. warrants and represents that it has not been convicted of any slavery or human trafficking offences anywhere around the world;</w:t>
      </w:r>
    </w:p>
    <w:p w14:paraId="2B5879FE" w14:textId="77777777" w:rsidR="007960A8" w:rsidRDefault="00A26397">
      <w:pPr>
        <w:widowControl/>
        <w:spacing w:after="160" w:line="259" w:lineRule="auto"/>
      </w:pPr>
      <w:r>
        <w:t xml:space="preserve">d. warrants that to the best of its knowledge it is not currently under investigation, inquiry or enforcement proceedings in </w:t>
      </w:r>
      <w:r>
        <w:t>relation to any allegation of slavery or human trafficking offences anywhere around the world;</w:t>
      </w:r>
    </w:p>
    <w:p w14:paraId="7C4CDE0F" w14:textId="77777777" w:rsidR="007960A8" w:rsidRDefault="00A26397">
      <w:pPr>
        <w:widowControl/>
        <w:spacing w:after="160" w:line="259" w:lineRule="auto"/>
      </w:pPr>
      <w:r>
        <w:t>e. shall make reasonable enquiries to ensure that its officers, employees and subcontractors have not been convicted of slavery or human trafficking offences any</w:t>
      </w:r>
      <w:r>
        <w:t>where around the world;</w:t>
      </w:r>
    </w:p>
    <w:p w14:paraId="2BEFEF05" w14:textId="77777777" w:rsidR="007960A8" w:rsidRDefault="00A26397">
      <w:pPr>
        <w:widowControl/>
        <w:spacing w:after="160" w:line="259" w:lineRule="auto"/>
      </w:pPr>
      <w:r>
        <w:t>f. shall have and maintain throughout the term its own policies and procedures to ensure its compliance with the Modern Slavery Act 2015 and include in its contracts with its Subcontractors anti-slavery and human trafficking provisi</w:t>
      </w:r>
      <w:r>
        <w:t>ons;</w:t>
      </w:r>
    </w:p>
    <w:p w14:paraId="2EB1592D" w14:textId="77777777" w:rsidR="007960A8" w:rsidRDefault="00A26397">
      <w:pPr>
        <w:widowControl/>
        <w:spacing w:after="160" w:line="259" w:lineRule="auto"/>
      </w:pPr>
      <w:r>
        <w:t>g. shall implement due diligence procedures to ensure that there is no slavery or human trafficking in any part of its supply chain performing obligations under the contract;</w:t>
      </w:r>
    </w:p>
    <w:p w14:paraId="64B6DC53" w14:textId="77777777" w:rsidR="007960A8" w:rsidRDefault="00A26397">
      <w:pPr>
        <w:widowControl/>
        <w:spacing w:after="160" w:line="259" w:lineRule="auto"/>
      </w:pPr>
      <w:r>
        <w:t xml:space="preserve">h. shall prepare and deliver to the </w:t>
      </w:r>
      <w:r>
        <w:rPr>
          <w:i/>
          <w:iCs/>
        </w:rPr>
        <w:t>Client</w:t>
      </w:r>
      <w:r>
        <w:t>, an annual slavery and human traf</w:t>
      </w:r>
      <w:r>
        <w:t>ficking report setting out the steps it has taken to ensure that slavery and human trafficking is not taking place in any of its supply chains or in any part of its business (a statement under section 54 of the Modern Slavery Act 2015);</w:t>
      </w:r>
    </w:p>
    <w:p w14:paraId="562F5935" w14:textId="77777777" w:rsidR="007960A8" w:rsidRDefault="00A26397">
      <w:pPr>
        <w:widowControl/>
        <w:spacing w:after="160" w:line="259" w:lineRule="auto"/>
      </w:pPr>
      <w:r>
        <w:t>i. shall not use, o</w:t>
      </w:r>
      <w:r>
        <w:t>r allow its employees or Subcontractors to use, physical abuse or discipline, the threat of physical abuse, sexual or other harassment and verbal abuse or other forms of intimidation of its employees or Subcontractors;</w:t>
      </w:r>
    </w:p>
    <w:p w14:paraId="717E2629" w14:textId="77777777" w:rsidR="007960A8" w:rsidRDefault="00A26397">
      <w:pPr>
        <w:widowControl/>
        <w:spacing w:after="160" w:line="259" w:lineRule="auto"/>
      </w:pPr>
      <w:r>
        <w:t>j. shall not use, or allow its Subcon</w:t>
      </w:r>
      <w:r>
        <w:t>tractors to use, child or slave labour;</w:t>
      </w:r>
    </w:p>
    <w:p w14:paraId="0F8ADFEB" w14:textId="77777777" w:rsidR="007960A8" w:rsidRDefault="00A26397">
      <w:pPr>
        <w:widowControl/>
        <w:spacing w:after="160" w:line="259" w:lineRule="auto"/>
      </w:pPr>
      <w:r>
        <w:t xml:space="preserve">k. shall report the discovery or suspicion of any slavery, trafficking, forced labour, child labour, involuntary prison labour or labour rights abuses by it or its subcontractors to the </w:t>
      </w:r>
      <w:r>
        <w:rPr>
          <w:i/>
          <w:iCs/>
        </w:rPr>
        <w:t>Client</w:t>
      </w:r>
      <w:r>
        <w:t xml:space="preserve"> and Modern Slavery Helpline and relevant national or local law </w:t>
      </w:r>
      <w:r>
        <w:t>enforcement agencies;</w:t>
      </w:r>
    </w:p>
    <w:p w14:paraId="5DBCF8EF" w14:textId="77777777" w:rsidR="007960A8" w:rsidRDefault="00A26397">
      <w:pPr>
        <w:widowControl/>
        <w:spacing w:after="160" w:line="259" w:lineRule="auto"/>
      </w:pPr>
      <w:r>
        <w:t xml:space="preserve">l. if the </w:t>
      </w:r>
      <w:r>
        <w:rPr>
          <w:i/>
          <w:iCs/>
        </w:rPr>
        <w:t>Service Provider</w:t>
      </w:r>
      <w:r>
        <w:t xml:space="preserve"> is in default under clauses a to k, the </w:t>
      </w:r>
      <w:r>
        <w:rPr>
          <w:i/>
          <w:iCs/>
        </w:rPr>
        <w:t>Client</w:t>
      </w:r>
      <w:r>
        <w:t xml:space="preserve"> may by notice:</w:t>
      </w:r>
    </w:p>
    <w:p w14:paraId="35A6DC5D" w14:textId="77777777" w:rsidR="007960A8" w:rsidRDefault="00A26397">
      <w:pPr>
        <w:widowControl/>
        <w:spacing w:after="160" w:line="259" w:lineRule="auto"/>
      </w:pPr>
      <w:r>
        <w:t xml:space="preserve">i) require the </w:t>
      </w:r>
      <w:r>
        <w:rPr>
          <w:i/>
          <w:iCs/>
        </w:rPr>
        <w:t>Service Provider</w:t>
      </w:r>
      <w:r>
        <w:t xml:space="preserve"> to remove from performance of the contract any Subcontractor, </w:t>
      </w:r>
      <w:r>
        <w:rPr>
          <w:i/>
          <w:iCs/>
        </w:rPr>
        <w:t>Service Provider</w:t>
      </w:r>
      <w:r>
        <w:t xml:space="preserve"> employees or other persons associa</w:t>
      </w:r>
      <w:r>
        <w:t>ted with it whose acts or omissions have caused the default; or</w:t>
      </w:r>
    </w:p>
    <w:p w14:paraId="5D60B912" w14:textId="77777777" w:rsidR="007960A8" w:rsidRDefault="00A26397">
      <w:pPr>
        <w:widowControl/>
        <w:spacing w:after="160" w:line="259" w:lineRule="auto"/>
      </w:pPr>
      <w:r>
        <w:t>ii) immediately terminate the contract</w:t>
      </w:r>
    </w:p>
    <w:p w14:paraId="62A8C6D9" w14:textId="77777777" w:rsidR="007960A8" w:rsidRDefault="00A26397">
      <w:pPr>
        <w:widowControl/>
        <w:spacing w:after="160" w:line="259" w:lineRule="auto"/>
      </w:pPr>
      <w:r>
        <w:t xml:space="preserve">m. shall comply with any request by the </w:t>
      </w:r>
      <w:r>
        <w:rPr>
          <w:i/>
          <w:iCs/>
        </w:rPr>
        <w:t>Client</w:t>
      </w:r>
      <w:r>
        <w:t xml:space="preserve"> to complete the Modern Slavery Assessment Tool within 60 days of such request;</w:t>
      </w:r>
    </w:p>
    <w:p w14:paraId="7FE14E77" w14:textId="77777777" w:rsidR="007960A8" w:rsidRDefault="00A26397">
      <w:pPr>
        <w:widowControl/>
        <w:spacing w:after="160" w:line="259" w:lineRule="auto"/>
      </w:pPr>
      <w:r>
        <w:t xml:space="preserve">n. shall, if the </w:t>
      </w:r>
      <w:r>
        <w:rPr>
          <w:i/>
          <w:iCs/>
        </w:rPr>
        <w:t>Service Pr</w:t>
      </w:r>
      <w:r>
        <w:rPr>
          <w:i/>
          <w:iCs/>
        </w:rPr>
        <w:t>ovider</w:t>
      </w:r>
      <w:r>
        <w:t xml:space="preserve"> or the </w:t>
      </w:r>
      <w:r>
        <w:rPr>
          <w:i/>
          <w:iCs/>
        </w:rPr>
        <w:t>Client</w:t>
      </w:r>
      <w:r>
        <w:t xml:space="preserve"> identifies any occurrence of modern slavery connected to this contract, comply with any request of the </w:t>
      </w:r>
      <w:r>
        <w:rPr>
          <w:i/>
          <w:iCs/>
        </w:rPr>
        <w:t>Client</w:t>
      </w:r>
      <w:r>
        <w:t xml:space="preserve"> to put in place and follow a rectification plan process (the “Rectification Plan Process”) to submit a remedial action plan w</w:t>
      </w:r>
      <w:r>
        <w:t>hich follows the form set out in Annex D of the </w:t>
      </w:r>
      <w:hyperlink r:id="rId15">
        <w:r>
          <w:rPr>
            <w:color w:val="0563C1"/>
            <w:u w:val="single"/>
          </w:rPr>
          <w:t>Tackling Modern Slavery in Government Suppl</w:t>
        </w:r>
        <w:r>
          <w:rPr>
            <w:color w:val="0563C1"/>
            <w:u w:val="single"/>
          </w:rPr>
          <w:t>y Chains</w:t>
        </w:r>
      </w:hyperlink>
      <w:r>
        <w:t> guidance;</w:t>
      </w:r>
    </w:p>
    <w:p w14:paraId="018C310E" w14:textId="77777777" w:rsidR="007960A8" w:rsidRDefault="00A26397">
      <w:pPr>
        <w:widowControl/>
        <w:spacing w:after="160" w:line="259" w:lineRule="auto"/>
      </w:pPr>
      <w:r>
        <w:t xml:space="preserve">o. shall comply with any request by the </w:t>
      </w:r>
      <w:r>
        <w:rPr>
          <w:i/>
          <w:iCs/>
        </w:rPr>
        <w:t>Client</w:t>
      </w:r>
      <w:r>
        <w:t xml:space="preserve"> to provide a Supply Chain Map within 14 days of such request;</w:t>
      </w:r>
    </w:p>
    <w:p w14:paraId="7A42A971" w14:textId="77777777" w:rsidR="007960A8" w:rsidRDefault="00A26397">
      <w:pPr>
        <w:widowControl/>
        <w:spacing w:after="160" w:line="259" w:lineRule="auto"/>
      </w:pPr>
      <w:r>
        <w:t xml:space="preserve">p. shall comply with any request by the </w:t>
      </w:r>
      <w:r>
        <w:rPr>
          <w:i/>
          <w:iCs/>
        </w:rPr>
        <w:t>Client</w:t>
      </w:r>
      <w:r>
        <w:t xml:space="preserve"> to provide a copy of any reports of any Subcontractor regarding any or all of workplace conditions, working or employment practices and recruitment practices within 14 days of such request;</w:t>
      </w:r>
    </w:p>
    <w:p w14:paraId="6A6B5F91" w14:textId="77777777" w:rsidR="007960A8" w:rsidRDefault="00A26397">
      <w:pPr>
        <w:widowControl/>
        <w:spacing w:after="160" w:line="259" w:lineRule="auto"/>
      </w:pPr>
      <w:r>
        <w:t>q. shall carry out due diligence to ensure workers in its busines</w:t>
      </w:r>
      <w:r>
        <w:t>s and its supply chains are not paying illegal or exploitative recruitment fees to secure employment, and where these fees are uncovered shall ensure that workers are remedied;</w:t>
      </w:r>
    </w:p>
    <w:p w14:paraId="343E2B4C" w14:textId="77777777" w:rsidR="007960A8" w:rsidRDefault="00A26397">
      <w:pPr>
        <w:widowControl/>
        <w:spacing w:after="160" w:line="259" w:lineRule="auto"/>
      </w:pPr>
      <w:r>
        <w:t xml:space="preserve">r. shall allow the </w:t>
      </w:r>
      <w:r>
        <w:rPr>
          <w:i/>
          <w:iCs/>
        </w:rPr>
        <w:t>Client</w:t>
      </w:r>
      <w:r>
        <w:t xml:space="preserve"> or independent third party to carry out an unannounce</w:t>
      </w:r>
      <w:r>
        <w:t xml:space="preserve">d or semi- announced inspection of any </w:t>
      </w:r>
      <w:r>
        <w:rPr>
          <w:i/>
          <w:iCs/>
        </w:rPr>
        <w:t>Service Areas</w:t>
      </w:r>
      <w:r>
        <w:t xml:space="preserve"> and speak directly to any </w:t>
      </w:r>
      <w:r>
        <w:rPr>
          <w:i/>
          <w:iCs/>
        </w:rPr>
        <w:t>Service Provider</w:t>
      </w:r>
      <w:r>
        <w:t xml:space="preserve"> employee in a confidential manner and in the native language of such </w:t>
      </w:r>
      <w:r>
        <w:rPr>
          <w:i/>
          <w:iCs/>
        </w:rPr>
        <w:t>Service Provider</w:t>
      </w:r>
      <w:r>
        <w:t xml:space="preserve"> employee in respect of workforce conditions, working or employment practic</w:t>
      </w:r>
      <w:r>
        <w:t>es;</w:t>
      </w:r>
    </w:p>
    <w:p w14:paraId="500FD27B" w14:textId="77777777" w:rsidR="007960A8" w:rsidRDefault="00A26397">
      <w:pPr>
        <w:widowControl/>
        <w:spacing w:after="160" w:line="259" w:lineRule="auto"/>
      </w:pPr>
      <w:r>
        <w:t xml:space="preserve">s. for the purposes of an audit carried out pursuant to limb u, the </w:t>
      </w:r>
      <w:r>
        <w:rPr>
          <w:i/>
          <w:iCs/>
        </w:rPr>
        <w:t>Client</w:t>
      </w:r>
      <w:r>
        <w:t xml:space="preserve"> may instruct the </w:t>
      </w:r>
      <w:r>
        <w:rPr>
          <w:i/>
          <w:iCs/>
        </w:rPr>
        <w:t>Service Provider</w:t>
      </w:r>
      <w:r>
        <w:t xml:space="preserve"> to carry out such an audit of any subcontractor by an independent third party and, if so instructed, the </w:t>
      </w:r>
      <w:r>
        <w:rPr>
          <w:i/>
          <w:iCs/>
        </w:rPr>
        <w:t>Service Provider</w:t>
      </w:r>
      <w:r>
        <w:t xml:space="preserve"> shall deliver a repor</w:t>
      </w:r>
      <w:r>
        <w:t xml:space="preserve">t to the </w:t>
      </w:r>
      <w:r>
        <w:rPr>
          <w:i/>
          <w:iCs/>
        </w:rPr>
        <w:t>Client</w:t>
      </w:r>
      <w:r>
        <w:t xml:space="preserve"> within 90 days of such instruction;</w:t>
      </w:r>
    </w:p>
    <w:p w14:paraId="0A0AAAA7" w14:textId="77777777" w:rsidR="007960A8" w:rsidRDefault="00A26397">
      <w:pPr>
        <w:widowControl/>
        <w:spacing w:after="160" w:line="259" w:lineRule="auto"/>
      </w:pPr>
      <w:r>
        <w:t xml:space="preserve">t. if the </w:t>
      </w:r>
      <w:r>
        <w:rPr>
          <w:i/>
          <w:iCs/>
        </w:rPr>
        <w:t>Service Provider</w:t>
      </w:r>
      <w:r>
        <w:t xml:space="preserve"> notifies the </w:t>
      </w:r>
      <w:r>
        <w:rPr>
          <w:i/>
          <w:iCs/>
        </w:rPr>
        <w:t>Client</w:t>
      </w:r>
      <w:r>
        <w:t xml:space="preserve"> pursuant to clause k, it shall respond promptly to the </w:t>
      </w:r>
      <w:r>
        <w:rPr>
          <w:i/>
          <w:iCs/>
        </w:rPr>
        <w:t>Client’s</w:t>
      </w:r>
      <w:r>
        <w:t xml:space="preserve"> enquiries, co-operate with any investigation, and allow the </w:t>
      </w:r>
      <w:r>
        <w:rPr>
          <w:i/>
          <w:iCs/>
        </w:rPr>
        <w:t>Client</w:t>
      </w:r>
      <w:r>
        <w:t xml:space="preserve"> to audit any books, record</w:t>
      </w:r>
      <w:r>
        <w:t>s and/or any other relevant documentation in accordance with the contract;</w:t>
      </w:r>
    </w:p>
    <w:p w14:paraId="564186B5" w14:textId="77777777" w:rsidR="007960A8" w:rsidRDefault="00A26397">
      <w:pPr>
        <w:widowControl/>
        <w:spacing w:after="160" w:line="259" w:lineRule="auto"/>
      </w:pPr>
      <w:r>
        <w:t xml:space="preserve">u. if the </w:t>
      </w:r>
      <w:r>
        <w:rPr>
          <w:i/>
          <w:iCs/>
        </w:rPr>
        <w:t>Service Provider</w:t>
      </w:r>
      <w:r>
        <w:t xml:space="preserve"> is in default under clauses m to t, the </w:t>
      </w:r>
      <w:r>
        <w:rPr>
          <w:i/>
          <w:iCs/>
        </w:rPr>
        <w:t>Client</w:t>
      </w:r>
      <w:r>
        <w:t xml:space="preserve"> may by notice:</w:t>
      </w:r>
    </w:p>
    <w:p w14:paraId="2AD9B6E1" w14:textId="77777777" w:rsidR="007960A8" w:rsidRDefault="00A26397">
      <w:pPr>
        <w:widowControl/>
        <w:spacing w:after="160" w:line="259" w:lineRule="auto"/>
      </w:pPr>
      <w:r>
        <w:t xml:space="preserve">i) require the </w:t>
      </w:r>
      <w:r>
        <w:rPr>
          <w:i/>
          <w:iCs/>
        </w:rPr>
        <w:t>Service Provider</w:t>
      </w:r>
      <w:r>
        <w:t xml:space="preserve"> to remove from performance of the contract any Subcontractor</w:t>
      </w:r>
      <w:r>
        <w:t xml:space="preserve">, </w:t>
      </w:r>
      <w:r>
        <w:rPr>
          <w:i/>
          <w:iCs/>
        </w:rPr>
        <w:t>Service Provider employees</w:t>
      </w:r>
      <w:r>
        <w:t xml:space="preserve"> or other persons associated with it whose acts or omissions have caused the default; or</w:t>
      </w:r>
    </w:p>
    <w:p w14:paraId="7D49A981" w14:textId="77777777" w:rsidR="007960A8" w:rsidRDefault="00A26397">
      <w:pPr>
        <w:widowControl/>
        <w:spacing w:after="160" w:line="259" w:lineRule="auto"/>
      </w:pPr>
      <w:r>
        <w:t>ii) immediately terminate the contract.</w:t>
      </w:r>
    </w:p>
    <w:p w14:paraId="0DF8BCEB" w14:textId="77777777" w:rsidR="007960A8" w:rsidRDefault="007960A8">
      <w:pPr>
        <w:widowControl/>
        <w:spacing w:after="160" w:line="259" w:lineRule="auto"/>
      </w:pPr>
    </w:p>
    <w:p w14:paraId="1A742B03" w14:textId="77777777" w:rsidR="007960A8" w:rsidRDefault="007960A8">
      <w:pPr>
        <w:widowControl/>
        <w:spacing w:after="160" w:line="259" w:lineRule="auto"/>
        <w:rPr>
          <w:b/>
          <w:bCs/>
        </w:rPr>
      </w:pPr>
    </w:p>
    <w:p w14:paraId="75A2C8EF" w14:textId="77777777" w:rsidR="007960A8" w:rsidRDefault="00A26397">
      <w:pPr>
        <w:widowControl/>
        <w:spacing w:after="160" w:line="259" w:lineRule="auto"/>
        <w:rPr>
          <w:b/>
          <w:bCs/>
        </w:rPr>
      </w:pPr>
      <w:r>
        <w:br w:type="page"/>
      </w:r>
    </w:p>
    <w:p w14:paraId="01037788" w14:textId="77777777" w:rsidR="007960A8" w:rsidRDefault="00A26397">
      <w:pPr>
        <w:widowControl/>
        <w:spacing w:after="160" w:line="259" w:lineRule="auto"/>
        <w:rPr>
          <w:b/>
          <w:bCs/>
        </w:rPr>
      </w:pPr>
      <w:bookmarkStart w:id="13" w:name="_heading=h.iy8vg6k3l560" w:colFirst="0" w:colLast="0"/>
      <w:bookmarkEnd w:id="13"/>
      <w:r>
        <w:rPr>
          <w:b/>
          <w:bCs/>
        </w:rPr>
        <w:t>Schedule [</w:t>
      </w:r>
      <w:r>
        <w:t>Guidance: insert schedule ref here</w:t>
      </w:r>
      <w:r>
        <w:rPr>
          <w:b/>
          <w:bCs/>
        </w:rPr>
        <w:t xml:space="preserve">] </w:t>
      </w:r>
      <w:r>
        <w:rPr>
          <w:b/>
          <w:bCs/>
          <w:u w:val="single"/>
        </w:rPr>
        <w:t>Carbon Reduction</w:t>
      </w:r>
    </w:p>
    <w:p w14:paraId="7D0D55DF" w14:textId="77777777" w:rsidR="007960A8" w:rsidRDefault="00A26397">
      <w:pPr>
        <w:widowControl/>
        <w:spacing w:after="160" w:line="259" w:lineRule="auto"/>
        <w:rPr>
          <w:b/>
          <w:bCs/>
        </w:rPr>
      </w:pPr>
      <w:r>
        <w:rPr>
          <w:b/>
          <w:bCs/>
        </w:rPr>
        <w:t>1. Definitions</w:t>
      </w:r>
    </w:p>
    <w:p w14:paraId="03A4586F" w14:textId="77777777" w:rsidR="007960A8" w:rsidRDefault="00A26397">
      <w:pPr>
        <w:widowControl/>
        <w:spacing w:after="160" w:line="259" w:lineRule="auto"/>
      </w:pPr>
      <w:r>
        <w:t xml:space="preserve">1.1 </w:t>
      </w:r>
      <w:r>
        <w:tab/>
        <w:t>In this Sche</w:t>
      </w:r>
      <w:r>
        <w:t xml:space="preserve">dule, the following words shall have the following meanings: </w:t>
      </w:r>
    </w:p>
    <w:p w14:paraId="52E1421C" w14:textId="77777777" w:rsidR="007960A8" w:rsidRDefault="00A26397">
      <w:pPr>
        <w:widowControl/>
        <w:spacing w:after="160" w:line="259" w:lineRule="auto"/>
        <w:rPr>
          <w:b/>
          <w:bCs/>
        </w:rPr>
      </w:pPr>
      <w:r>
        <w:rPr>
          <w:b/>
          <w:bCs/>
        </w:rPr>
        <w:t>CRP:</w:t>
      </w:r>
      <w:r>
        <w:t xml:space="preserve"> </w:t>
      </w:r>
      <w:r>
        <w:tab/>
      </w:r>
      <w:r>
        <w:tab/>
      </w:r>
      <w:r>
        <w:tab/>
      </w:r>
      <w:r>
        <w:tab/>
        <w:t xml:space="preserve">the </w:t>
      </w:r>
      <w:r>
        <w:rPr>
          <w:i/>
          <w:iCs/>
        </w:rPr>
        <w:t>Service Provider’s</w:t>
      </w:r>
      <w:r>
        <w:t xml:space="preserve"> Carbon Reduction Plan.</w:t>
      </w:r>
    </w:p>
    <w:p w14:paraId="26B21752" w14:textId="77777777" w:rsidR="007960A8" w:rsidRDefault="00A26397">
      <w:pPr>
        <w:widowControl/>
        <w:spacing w:after="160" w:line="259" w:lineRule="auto"/>
        <w:ind w:left="2880" w:hanging="2880"/>
      </w:pPr>
      <w:r>
        <w:rPr>
          <w:b/>
          <w:bCs/>
        </w:rPr>
        <w:t>Net zero obligation:</w:t>
      </w:r>
      <w:r>
        <w:t xml:space="preserve"> </w:t>
      </w:r>
      <w:r>
        <w:tab/>
        <w:t xml:space="preserve">the </w:t>
      </w:r>
      <w:r>
        <w:rPr>
          <w:i/>
          <w:iCs/>
        </w:rPr>
        <w:t>Service Provider’s</w:t>
      </w:r>
      <w:r>
        <w:t xml:space="preserve"> obligation to use best endeavours when carrying out </w:t>
      </w:r>
      <w:r>
        <w:rPr>
          <w:i/>
          <w:iCs/>
        </w:rPr>
        <w:t>services</w:t>
      </w:r>
      <w:r>
        <w:t xml:space="preserve"> under the Contract to ensure that</w:t>
      </w:r>
      <w:r>
        <w:t xml:space="preserve"> their environmental impact is minimised throughout the delivery of the contract.</w:t>
      </w:r>
    </w:p>
    <w:p w14:paraId="193574E4" w14:textId="77777777" w:rsidR="007960A8" w:rsidRDefault="00A26397">
      <w:pPr>
        <w:widowControl/>
        <w:spacing w:after="160" w:line="259" w:lineRule="auto"/>
      </w:pPr>
      <w:r>
        <w:rPr>
          <w:b/>
          <w:bCs/>
        </w:rPr>
        <w:t>Net zero commitment</w:t>
      </w:r>
      <w:r>
        <w:rPr>
          <w:b/>
          <w:bCs/>
          <w:vertAlign w:val="superscript"/>
        </w:rPr>
        <w:footnoteReference w:id="1"/>
      </w:r>
      <w:r>
        <w:rPr>
          <w:b/>
          <w:bCs/>
        </w:rPr>
        <w:t>:</w:t>
      </w:r>
      <w:r>
        <w:rPr>
          <w:b/>
          <w:bCs/>
        </w:rPr>
        <w:tab/>
      </w:r>
      <w:r>
        <w:t xml:space="preserve">the </w:t>
      </w:r>
      <w:r>
        <w:rPr>
          <w:i/>
          <w:iCs/>
        </w:rPr>
        <w:t>Service Provider’s</w:t>
      </w:r>
      <w:r>
        <w:t xml:space="preserve"> commitment to:</w:t>
      </w:r>
    </w:p>
    <w:p w14:paraId="32D208F9" w14:textId="77777777" w:rsidR="007960A8" w:rsidRDefault="00A26397">
      <w:pPr>
        <w:widowControl/>
        <w:spacing w:after="160" w:line="259" w:lineRule="auto"/>
        <w:ind w:left="2880"/>
      </w:pPr>
      <w:r>
        <w:t xml:space="preserve">(i) set a contractor net zero target with a target achievement date the same as or earlier than the government net zero target (the </w:t>
      </w:r>
      <w:r>
        <w:rPr>
          <w:b/>
          <w:bCs/>
        </w:rPr>
        <w:t>Contractor Net Zero Target</w:t>
      </w:r>
      <w:r>
        <w:t>);</w:t>
      </w:r>
    </w:p>
    <w:p w14:paraId="3EAF1080" w14:textId="77777777" w:rsidR="007960A8" w:rsidRDefault="00A26397">
      <w:pPr>
        <w:widowControl/>
        <w:spacing w:after="160" w:line="259" w:lineRule="auto"/>
        <w:ind w:left="2880"/>
      </w:pPr>
      <w:r>
        <w:t>(ii) maintain its CRP in accordance with table 1 in the annex to this Schedule;</w:t>
      </w:r>
    </w:p>
    <w:p w14:paraId="5D18C262" w14:textId="77777777" w:rsidR="007960A8" w:rsidRDefault="00A26397">
      <w:pPr>
        <w:widowControl/>
        <w:spacing w:after="160" w:line="259" w:lineRule="auto"/>
        <w:ind w:left="2880"/>
      </w:pPr>
      <w:r>
        <w:t>(iii) provide details of steps it is taking as an organisation to reduce its carbon footprint in the form of emissions reduction initiatives;</w:t>
      </w:r>
    </w:p>
    <w:p w14:paraId="19E6192C" w14:textId="77777777" w:rsidR="007960A8" w:rsidRDefault="00A26397">
      <w:pPr>
        <w:widowControl/>
        <w:spacing w:after="160" w:line="259" w:lineRule="auto"/>
        <w:ind w:left="2880"/>
      </w:pPr>
      <w:r>
        <w:t>(iv) where requested to do to do s</w:t>
      </w:r>
      <w:r>
        <w:t xml:space="preserve">o, undertake and keep up to date full and complete records of greenhouse gas emissions reporting activity undertaken by the </w:t>
      </w:r>
      <w:r>
        <w:rPr>
          <w:i/>
          <w:iCs/>
        </w:rPr>
        <w:t xml:space="preserve">Service Provider </w:t>
      </w:r>
      <w:r>
        <w:t>with supporting data and provide the same to the authority each year;</w:t>
      </w:r>
    </w:p>
    <w:p w14:paraId="2B607238" w14:textId="77777777" w:rsidR="007960A8" w:rsidRDefault="00A26397">
      <w:pPr>
        <w:widowControl/>
        <w:spacing w:after="160" w:line="259" w:lineRule="auto"/>
        <w:ind w:left="2880"/>
      </w:pPr>
      <w:r>
        <w:t>(v) attend, on reasonable notice, meetings wi</w:t>
      </w:r>
      <w:r>
        <w:t xml:space="preserve">th an individual nominated by the </w:t>
      </w:r>
      <w:r>
        <w:rPr>
          <w:i/>
          <w:iCs/>
        </w:rPr>
        <w:t>Client</w:t>
      </w:r>
      <w:r>
        <w:t xml:space="preserve"> to present the </w:t>
      </w:r>
      <w:r>
        <w:rPr>
          <w:i/>
          <w:iCs/>
        </w:rPr>
        <w:t>Service Provider’s</w:t>
      </w:r>
      <w:r>
        <w:t xml:space="preserve"> CRP to achieve, and current progress towards, the supplier net zero target [and the </w:t>
      </w:r>
      <w:r>
        <w:rPr>
          <w:i/>
          <w:iCs/>
        </w:rPr>
        <w:t>Service Provider</w:t>
      </w:r>
      <w:r>
        <w:t xml:space="preserve"> shall refresh its CRP accordingly]</w:t>
      </w:r>
    </w:p>
    <w:p w14:paraId="2E0AA1E4" w14:textId="77777777" w:rsidR="007960A8" w:rsidRDefault="00A26397">
      <w:pPr>
        <w:widowControl/>
        <w:spacing w:after="160" w:line="259" w:lineRule="auto"/>
      </w:pPr>
      <w:r>
        <w:rPr>
          <w:b/>
          <w:bCs/>
        </w:rPr>
        <w:t>Net zero commitment</w:t>
      </w:r>
      <w:r>
        <w:rPr>
          <w:b/>
          <w:bCs/>
          <w:vertAlign w:val="superscript"/>
        </w:rPr>
        <w:footnoteReference w:id="2"/>
      </w:r>
      <w:r>
        <w:rPr>
          <w:b/>
          <w:bCs/>
        </w:rPr>
        <w:t>:</w:t>
      </w:r>
      <w:r>
        <w:tab/>
        <w:t xml:space="preserve">the </w:t>
      </w:r>
      <w:r>
        <w:rPr>
          <w:i/>
          <w:iCs/>
        </w:rPr>
        <w:t>Service Provider’s</w:t>
      </w:r>
      <w:r>
        <w:t xml:space="preserve"> commitment to:</w:t>
      </w:r>
    </w:p>
    <w:p w14:paraId="68F16F9B" w14:textId="77777777" w:rsidR="007960A8" w:rsidRDefault="00A26397">
      <w:pPr>
        <w:widowControl/>
        <w:numPr>
          <w:ilvl w:val="0"/>
          <w:numId w:val="64"/>
        </w:numPr>
        <w:spacing w:after="160" w:line="259" w:lineRule="auto"/>
      </w:pPr>
      <w:r>
        <w:t xml:space="preserve">set a contractor net zero target with a target achievement date the same as or earlier than the government net zero target (the </w:t>
      </w:r>
      <w:r>
        <w:rPr>
          <w:b/>
          <w:bCs/>
        </w:rPr>
        <w:t>Contractor Net Zero Target</w:t>
      </w:r>
      <w:r>
        <w:t>);</w:t>
      </w:r>
    </w:p>
    <w:p w14:paraId="11538DF7" w14:textId="77777777" w:rsidR="007960A8" w:rsidRDefault="00A26397">
      <w:pPr>
        <w:widowControl/>
        <w:numPr>
          <w:ilvl w:val="0"/>
          <w:numId w:val="64"/>
        </w:numPr>
        <w:spacing w:after="160" w:line="259" w:lineRule="auto"/>
      </w:pPr>
      <w:r>
        <w:t>provide details of any steps it is taking as an organisation to reduce its carbon f</w:t>
      </w:r>
      <w:r>
        <w:t>ootprint in the form of emissions reduction initiatives;</w:t>
      </w:r>
    </w:p>
    <w:p w14:paraId="4D79EB7C" w14:textId="77777777" w:rsidR="007960A8" w:rsidRDefault="00A26397">
      <w:pPr>
        <w:widowControl/>
        <w:numPr>
          <w:ilvl w:val="0"/>
          <w:numId w:val="64"/>
        </w:numPr>
        <w:spacing w:after="160" w:line="259" w:lineRule="auto"/>
      </w:pPr>
      <w:r>
        <w:t>create a CRP, in accordance with the template at table 1 of the annex to this Schedule, within the first 12 months of contract;</w:t>
      </w:r>
    </w:p>
    <w:p w14:paraId="594BDB12" w14:textId="77777777" w:rsidR="007960A8" w:rsidRDefault="00A26397">
      <w:pPr>
        <w:widowControl/>
        <w:numPr>
          <w:ilvl w:val="0"/>
          <w:numId w:val="64"/>
        </w:numPr>
        <w:spacing w:after="160" w:line="259" w:lineRule="auto"/>
      </w:pPr>
      <w:r>
        <w:t>where required to do so, undertake and keep up to date full and complet</w:t>
      </w:r>
      <w:r>
        <w:t xml:space="preserve">e records of Greenhouse gas emissions reporting activity undertaken by the </w:t>
      </w:r>
      <w:r>
        <w:rPr>
          <w:i/>
          <w:iCs/>
        </w:rPr>
        <w:t xml:space="preserve">Service Provider </w:t>
      </w:r>
      <w:r>
        <w:t>with supporting data and provide the same to the authority each year;</w:t>
      </w:r>
    </w:p>
    <w:p w14:paraId="4E203860" w14:textId="77777777" w:rsidR="007960A8" w:rsidRDefault="00A26397">
      <w:pPr>
        <w:widowControl/>
        <w:numPr>
          <w:ilvl w:val="0"/>
          <w:numId w:val="64"/>
        </w:numPr>
        <w:spacing w:after="160" w:line="259" w:lineRule="auto"/>
      </w:pPr>
      <w:r>
        <w:t xml:space="preserve">attend, on reasonable notice, meetings with a representative of the </w:t>
      </w:r>
      <w:r>
        <w:rPr>
          <w:i/>
          <w:iCs/>
        </w:rPr>
        <w:t xml:space="preserve">Client </w:t>
      </w:r>
      <w:r>
        <w:t xml:space="preserve">or other nominated </w:t>
      </w:r>
      <w:r>
        <w:t xml:space="preserve">representative to present the </w:t>
      </w:r>
      <w:r>
        <w:rPr>
          <w:i/>
          <w:iCs/>
        </w:rPr>
        <w:t>Service Provider’s</w:t>
      </w:r>
      <w:r>
        <w:t xml:space="preserve"> CRP to achieve, and current progress towards, the supplier net zero target and the </w:t>
      </w:r>
      <w:r>
        <w:rPr>
          <w:i/>
          <w:iCs/>
        </w:rPr>
        <w:t xml:space="preserve">Service Provider </w:t>
      </w:r>
      <w:r>
        <w:t>shall refresh its CRP accordingly.</w:t>
      </w:r>
    </w:p>
    <w:p w14:paraId="451F97DC" w14:textId="77777777" w:rsidR="007960A8" w:rsidRDefault="00A26397">
      <w:pPr>
        <w:widowControl/>
        <w:spacing w:after="160" w:line="259" w:lineRule="auto"/>
        <w:ind w:left="3240" w:hanging="2880"/>
      </w:pPr>
      <w:r>
        <w:rPr>
          <w:b/>
          <w:bCs/>
        </w:rPr>
        <w:t>PPN 006:</w:t>
      </w:r>
      <w:r>
        <w:tab/>
        <w:t>The Public Procurement Notice published by the Cabinet Office o</w:t>
      </w:r>
      <w:r>
        <w:t xml:space="preserve">n </w:t>
      </w:r>
      <w:r>
        <w:tab/>
        <w:t>17 February 2025 titled “PPN 006: Taking account of Carbon Reduction Plans in the procurement of major government contracts.</w:t>
      </w:r>
    </w:p>
    <w:p w14:paraId="6811BCB8" w14:textId="77777777" w:rsidR="007960A8" w:rsidRDefault="00A26397">
      <w:pPr>
        <w:widowControl/>
        <w:spacing w:after="160" w:line="259" w:lineRule="auto"/>
        <w:rPr>
          <w:b/>
          <w:bCs/>
        </w:rPr>
      </w:pPr>
      <w:r>
        <w:rPr>
          <w:b/>
          <w:bCs/>
        </w:rPr>
        <w:t>2. Carbon Reduction</w:t>
      </w:r>
    </w:p>
    <w:p w14:paraId="0B81CAF8" w14:textId="77777777" w:rsidR="007960A8" w:rsidRDefault="00A26397">
      <w:pPr>
        <w:widowControl/>
        <w:spacing w:after="160" w:line="259" w:lineRule="auto"/>
        <w:ind w:left="709" w:hanging="709"/>
      </w:pPr>
      <w:r>
        <w:t>2.1</w:t>
      </w:r>
      <w:r>
        <w:tab/>
        <w:t xml:space="preserve">If the </w:t>
      </w:r>
      <w:r>
        <w:rPr>
          <w:i/>
          <w:iCs/>
        </w:rPr>
        <w:t>Client</w:t>
      </w:r>
      <w:r>
        <w:t xml:space="preserve">, having reviewed the emissions report and discussed with the </w:t>
      </w:r>
      <w:r>
        <w:rPr>
          <w:i/>
          <w:iCs/>
        </w:rPr>
        <w:t xml:space="preserve">Service Provider </w:t>
      </w:r>
      <w:r>
        <w:t>its progress</w:t>
      </w:r>
      <w:r>
        <w:t xml:space="preserve"> to achieve the Contractor Net Zero Target, determines (acting reasonably) that the </w:t>
      </w:r>
      <w:r>
        <w:rPr>
          <w:i/>
          <w:iCs/>
        </w:rPr>
        <w:t xml:space="preserve">Service Provider </w:t>
      </w:r>
      <w:r>
        <w:t xml:space="preserve">is making insufficient progress towards achieving the contractor net zero date, the </w:t>
      </w:r>
      <w:r>
        <w:rPr>
          <w:i/>
          <w:iCs/>
        </w:rPr>
        <w:t xml:space="preserve">Client </w:t>
      </w:r>
      <w:r>
        <w:t xml:space="preserve">may work with the </w:t>
      </w:r>
      <w:r>
        <w:rPr>
          <w:i/>
          <w:iCs/>
        </w:rPr>
        <w:t>Service Provider</w:t>
      </w:r>
      <w:r>
        <w:t xml:space="preserve"> to determine and implement a </w:t>
      </w:r>
      <w:r>
        <w:t>suitable rectification plan.</w:t>
      </w:r>
    </w:p>
    <w:p w14:paraId="0D5443B2" w14:textId="77777777" w:rsidR="007960A8" w:rsidRDefault="00A26397">
      <w:pPr>
        <w:widowControl/>
        <w:spacing w:after="160" w:line="259" w:lineRule="auto"/>
      </w:pPr>
      <w:r>
        <w:rPr>
          <w:b/>
          <w:bCs/>
        </w:rPr>
        <w:t>3. Net zero contractual commitments</w:t>
      </w:r>
    </w:p>
    <w:p w14:paraId="74B5AE98" w14:textId="77777777" w:rsidR="007960A8" w:rsidRDefault="00A26397">
      <w:pPr>
        <w:widowControl/>
        <w:spacing w:after="160" w:line="259" w:lineRule="auto"/>
        <w:ind w:left="709" w:hanging="709"/>
      </w:pPr>
      <w:r>
        <w:t>3.1</w:t>
      </w:r>
      <w:r>
        <w:rPr>
          <w:vertAlign w:val="superscript"/>
        </w:rPr>
        <w:footnoteReference w:id="3"/>
      </w:r>
      <w:r>
        <w:t xml:space="preserve"> </w:t>
      </w:r>
      <w:r>
        <w:tab/>
        <w:t xml:space="preserve">The </w:t>
      </w:r>
      <w:r>
        <w:rPr>
          <w:i/>
          <w:iCs/>
        </w:rPr>
        <w:t xml:space="preserve">Service Provider </w:t>
      </w:r>
      <w:r>
        <w:t>commits to delivering this contract in line with its published CRP and to support the achievement of the Contractor Net Zero Target and the government net zero tar</w:t>
      </w:r>
      <w:r>
        <w:t>get.</w:t>
      </w:r>
    </w:p>
    <w:p w14:paraId="78F8007D" w14:textId="77777777" w:rsidR="007960A8" w:rsidRDefault="00A26397">
      <w:pPr>
        <w:widowControl/>
        <w:spacing w:after="160" w:line="259" w:lineRule="auto"/>
        <w:ind w:left="709" w:hanging="709"/>
      </w:pPr>
      <w:r>
        <w:t>3.1</w:t>
      </w:r>
      <w:r>
        <w:rPr>
          <w:vertAlign w:val="superscript"/>
        </w:rPr>
        <w:footnoteReference w:id="4"/>
      </w:r>
      <w:r>
        <w:t xml:space="preserve"> </w:t>
      </w:r>
      <w:r>
        <w:tab/>
        <w:t xml:space="preserve">The </w:t>
      </w:r>
      <w:r>
        <w:rPr>
          <w:i/>
          <w:iCs/>
        </w:rPr>
        <w:t xml:space="preserve">Service Provider </w:t>
      </w:r>
      <w:r>
        <w:t>commits to delivering this contract in a manner which supports the achievement of the Contractor Net Zero Target and the government net zero target.</w:t>
      </w:r>
      <w:r>
        <w:rPr>
          <w:vertAlign w:val="superscript"/>
        </w:rPr>
        <w:footnoteReference w:id="5"/>
      </w:r>
    </w:p>
    <w:p w14:paraId="5D37C49A" w14:textId="77777777" w:rsidR="007960A8" w:rsidRDefault="00A26397">
      <w:pPr>
        <w:widowControl/>
        <w:spacing w:after="160" w:line="259" w:lineRule="auto"/>
        <w:ind w:left="709" w:hanging="709"/>
      </w:pPr>
      <w:r>
        <w:t xml:space="preserve">3.2. </w:t>
      </w:r>
      <w:r>
        <w:tab/>
        <w:t xml:space="preserve">The </w:t>
      </w:r>
      <w:r>
        <w:rPr>
          <w:i/>
          <w:iCs/>
        </w:rPr>
        <w:t xml:space="preserve">Service Provider </w:t>
      </w:r>
      <w:r>
        <w:t>shall create a Contract Carbon Footprint by u</w:t>
      </w:r>
      <w:r>
        <w:t xml:space="preserve">ndertaking an assessment of the greenhouse gas emissions for this contract within [X] months date of the Contract. The assessment shall aim to quantify the greenhouse gas emissions associated with resources, time and assets deployed in the delivery of the </w:t>
      </w:r>
      <w:r>
        <w:t xml:space="preserve">contract and, in particular, identify greenhouse gas hotspots (the </w:t>
      </w:r>
      <w:r>
        <w:rPr>
          <w:b/>
          <w:bCs/>
        </w:rPr>
        <w:t>Contract Carbon Footprint</w:t>
      </w:r>
      <w:r>
        <w:t>).</w:t>
      </w:r>
    </w:p>
    <w:p w14:paraId="3F7E3843" w14:textId="77777777" w:rsidR="007960A8" w:rsidRDefault="00A26397">
      <w:pPr>
        <w:widowControl/>
        <w:spacing w:after="160" w:line="259" w:lineRule="auto"/>
        <w:ind w:left="709" w:hanging="709"/>
      </w:pPr>
      <w:r>
        <w:t xml:space="preserve">3.3. </w:t>
      </w:r>
      <w:r>
        <w:tab/>
      </w:r>
      <w:r>
        <w:t>The greenhouse gas emissions assessment outlined in paragraph 3.2 should adhere to the [the Greenhouse Gas Protocol Product Standard / ISO 14064 / Insert other required standard] and should be conducted to a mutually-agreed level of assurance. The greenhou</w:t>
      </w:r>
      <w:r>
        <w:t xml:space="preserve">se gas emissions to be included in the assessment shall be mutually agreed between the </w:t>
      </w:r>
      <w:r>
        <w:rPr>
          <w:i/>
          <w:iCs/>
        </w:rPr>
        <w:t xml:space="preserve">Service Provider </w:t>
      </w:r>
      <w:r>
        <w:t xml:space="preserve">and the </w:t>
      </w:r>
      <w:r>
        <w:rPr>
          <w:i/>
          <w:iCs/>
        </w:rPr>
        <w:t>Client</w:t>
      </w:r>
      <w:r>
        <w:t>.</w:t>
      </w:r>
    </w:p>
    <w:p w14:paraId="684146E4" w14:textId="77777777" w:rsidR="007960A8" w:rsidRDefault="00A26397">
      <w:pPr>
        <w:widowControl/>
        <w:spacing w:after="160" w:line="259" w:lineRule="auto"/>
        <w:ind w:left="709" w:hanging="709"/>
      </w:pPr>
      <w:r>
        <w:t>3.4.</w:t>
      </w:r>
      <w:r>
        <w:tab/>
        <w:t xml:space="preserve">The </w:t>
      </w:r>
      <w:r>
        <w:rPr>
          <w:i/>
          <w:iCs/>
        </w:rPr>
        <w:t xml:space="preserve">Service Provider </w:t>
      </w:r>
      <w:r>
        <w:t>undertakes to, within [X] months of the date of the Contract, develop and implement a CRP, in the form set out</w:t>
      </w:r>
      <w:r>
        <w:t xml:space="preserve"> in PPN 006, with the objective of reducing the Contract Carbon Footprint of this contract by [10%] per contract year throughout the term (the </w:t>
      </w:r>
      <w:r>
        <w:rPr>
          <w:b/>
          <w:bCs/>
        </w:rPr>
        <w:t>Emissions Reduction Target</w:t>
      </w:r>
      <w:r>
        <w:t>), initially focusing on greenhouse gas hotspots, and shall update and provide a copy o</w:t>
      </w:r>
      <w:r>
        <w:t xml:space="preserve">f the CRP to the </w:t>
      </w:r>
      <w:r>
        <w:rPr>
          <w:i/>
          <w:iCs/>
        </w:rPr>
        <w:t xml:space="preserve">Client </w:t>
      </w:r>
      <w:r>
        <w:t>annually.</w:t>
      </w:r>
    </w:p>
    <w:p w14:paraId="2B498FE4" w14:textId="77777777" w:rsidR="007960A8" w:rsidRDefault="00A26397">
      <w:pPr>
        <w:widowControl/>
        <w:spacing w:after="160" w:line="259" w:lineRule="auto"/>
      </w:pPr>
      <w:r>
        <w:t xml:space="preserve">3.5. </w:t>
      </w:r>
      <w:r>
        <w:tab/>
        <w:t xml:space="preserve">The </w:t>
      </w:r>
      <w:r>
        <w:rPr>
          <w:i/>
          <w:iCs/>
        </w:rPr>
        <w:t>Service Provider</w:t>
      </w:r>
      <w:r>
        <w:t xml:space="preserve"> warrants to the </w:t>
      </w:r>
      <w:r>
        <w:rPr>
          <w:i/>
          <w:iCs/>
        </w:rPr>
        <w:t xml:space="preserve">Client </w:t>
      </w:r>
      <w:r>
        <w:t>that:</w:t>
      </w:r>
    </w:p>
    <w:p w14:paraId="4021E95B" w14:textId="77777777" w:rsidR="007960A8" w:rsidRDefault="00A26397">
      <w:pPr>
        <w:widowControl/>
        <w:spacing w:after="160" w:line="259" w:lineRule="auto"/>
        <w:ind w:left="709"/>
      </w:pPr>
      <w:r>
        <w:t>(i) it has sufficient resources, infrastructure and materials to achieve the Emissions Reduction Target by the date of the expiry of the contract;</w:t>
      </w:r>
    </w:p>
    <w:p w14:paraId="7002257E" w14:textId="77777777" w:rsidR="007960A8" w:rsidRDefault="00A26397">
      <w:pPr>
        <w:widowControl/>
        <w:spacing w:after="160" w:line="259" w:lineRule="auto"/>
        <w:ind w:left="709"/>
      </w:pPr>
      <w:r>
        <w:t xml:space="preserve">(ii) the </w:t>
      </w:r>
      <w:r>
        <w:rPr>
          <w:i/>
          <w:iCs/>
        </w:rPr>
        <w:t>services</w:t>
      </w:r>
      <w:r>
        <w:t xml:space="preserve"> w</w:t>
      </w:r>
      <w:r>
        <w:t>ill not be of lower quality as a result of working towards the Emissions Reduction Target;</w:t>
      </w:r>
    </w:p>
    <w:p w14:paraId="1D654005" w14:textId="77777777" w:rsidR="007960A8" w:rsidRDefault="00A26397">
      <w:pPr>
        <w:widowControl/>
        <w:spacing w:after="160" w:line="259" w:lineRule="auto"/>
        <w:ind w:left="709"/>
      </w:pPr>
      <w:r>
        <w:t>(iii) it will not offer preferential terms and conditions to those other customers who do not require an Emissions Reduction Target or similar obligations in their c</w:t>
      </w:r>
      <w:r>
        <w:t>ontracts.</w:t>
      </w:r>
    </w:p>
    <w:p w14:paraId="5055D35C" w14:textId="77777777" w:rsidR="007960A8" w:rsidRDefault="00A26397">
      <w:pPr>
        <w:widowControl/>
        <w:spacing w:after="160" w:line="259" w:lineRule="auto"/>
        <w:ind w:left="709" w:hanging="709"/>
      </w:pPr>
      <w:r>
        <w:t xml:space="preserve">3.6. </w:t>
      </w:r>
      <w:r>
        <w:tab/>
        <w:t xml:space="preserve">At the </w:t>
      </w:r>
      <w:r>
        <w:rPr>
          <w:i/>
          <w:iCs/>
        </w:rPr>
        <w:t>Client’s</w:t>
      </w:r>
      <w:r>
        <w:t xml:space="preserve"> request, the </w:t>
      </w:r>
      <w:r>
        <w:rPr>
          <w:i/>
          <w:iCs/>
        </w:rPr>
        <w:t xml:space="preserve">Service Provider </w:t>
      </w:r>
      <w:r>
        <w:t xml:space="preserve">shall arrange for an independent assessment and verification of the Contract Carbon Footprint. The </w:t>
      </w:r>
      <w:r>
        <w:rPr>
          <w:i/>
          <w:iCs/>
        </w:rPr>
        <w:t>Service Provider</w:t>
      </w:r>
      <w:r>
        <w:t xml:space="preserve"> shall make a copy of the results available to the </w:t>
      </w:r>
      <w:r>
        <w:rPr>
          <w:i/>
          <w:iCs/>
        </w:rPr>
        <w:t xml:space="preserve">Client </w:t>
      </w:r>
      <w:r>
        <w:t>as soon as reasonably</w:t>
      </w:r>
      <w:r>
        <w:t xml:space="preserve"> practicable. The </w:t>
      </w:r>
      <w:r>
        <w:rPr>
          <w:i/>
          <w:iCs/>
        </w:rPr>
        <w:t xml:space="preserve">Client </w:t>
      </w:r>
      <w:r>
        <w:t>may request this independent assessment no more than once in any period of [two] contract years.</w:t>
      </w:r>
    </w:p>
    <w:p w14:paraId="079A5E92" w14:textId="77777777" w:rsidR="007960A8" w:rsidRDefault="00A26397">
      <w:pPr>
        <w:widowControl/>
        <w:spacing w:after="160" w:line="259" w:lineRule="auto"/>
      </w:pPr>
      <w:r>
        <w:rPr>
          <w:b/>
          <w:bCs/>
        </w:rPr>
        <w:t>4. Reporting</w:t>
      </w:r>
    </w:p>
    <w:p w14:paraId="482ABAF7" w14:textId="77777777" w:rsidR="007960A8" w:rsidRDefault="00A26397">
      <w:pPr>
        <w:widowControl/>
        <w:spacing w:after="160" w:line="259" w:lineRule="auto"/>
      </w:pPr>
      <w:r>
        <w:t xml:space="preserve">4. </w:t>
      </w:r>
      <w:r>
        <w:tab/>
        <w:t xml:space="preserve">The </w:t>
      </w:r>
      <w:r>
        <w:rPr>
          <w:i/>
          <w:iCs/>
        </w:rPr>
        <w:t>Service Provider</w:t>
      </w:r>
      <w:r>
        <w:t xml:space="preserve"> shall:</w:t>
      </w:r>
    </w:p>
    <w:p w14:paraId="2A536ADA" w14:textId="77777777" w:rsidR="007960A8" w:rsidRDefault="00A26397">
      <w:pPr>
        <w:widowControl/>
        <w:numPr>
          <w:ilvl w:val="0"/>
          <w:numId w:val="65"/>
        </w:numPr>
        <w:spacing w:after="160" w:line="259" w:lineRule="auto"/>
      </w:pPr>
      <w:r>
        <w:t>re-assess the greenhouse gas emissions every contract year</w:t>
      </w:r>
    </w:p>
    <w:p w14:paraId="5D36EDDB" w14:textId="77777777" w:rsidR="007960A8" w:rsidRDefault="00A26397">
      <w:pPr>
        <w:widowControl/>
        <w:numPr>
          <w:ilvl w:val="0"/>
          <w:numId w:val="65"/>
        </w:numPr>
        <w:spacing w:after="160" w:line="259" w:lineRule="auto"/>
      </w:pPr>
      <w:r>
        <w:t xml:space="preserve">provide the </w:t>
      </w:r>
      <w:r>
        <w:rPr>
          <w:i/>
          <w:iCs/>
        </w:rPr>
        <w:t xml:space="preserve">Client </w:t>
      </w:r>
      <w:r>
        <w:t>with a writ</w:t>
      </w:r>
      <w:r>
        <w:t xml:space="preserve">ten report of the results of each assessment within [X] months of the completion using the template at Table 1 in the annex to this Schedule and every following [X] months. The </w:t>
      </w:r>
      <w:r>
        <w:rPr>
          <w:i/>
          <w:iCs/>
        </w:rPr>
        <w:t>Client</w:t>
      </w:r>
      <w:r>
        <w:t xml:space="preserve">, acting reasonably, may make adjustments to the content or frequency of </w:t>
      </w:r>
      <w:r>
        <w:t>emissions reports as required.</w:t>
      </w:r>
    </w:p>
    <w:p w14:paraId="1F4FE166" w14:textId="77777777" w:rsidR="007960A8" w:rsidRDefault="00A26397">
      <w:pPr>
        <w:widowControl/>
        <w:spacing w:after="160" w:line="259" w:lineRule="auto"/>
      </w:pPr>
      <w:r>
        <w:rPr>
          <w:b/>
          <w:bCs/>
        </w:rPr>
        <w:t>[5: Gain-share</w:t>
      </w:r>
      <w:r>
        <w:rPr>
          <w:b/>
          <w:bCs/>
          <w:vertAlign w:val="superscript"/>
        </w:rPr>
        <w:footnoteReference w:id="6"/>
      </w:r>
    </w:p>
    <w:p w14:paraId="5686BCAD" w14:textId="77777777" w:rsidR="007960A8" w:rsidRDefault="00A26397">
      <w:pPr>
        <w:widowControl/>
        <w:spacing w:after="160" w:line="259" w:lineRule="auto"/>
        <w:ind w:left="709" w:hanging="709"/>
      </w:pPr>
      <w:r>
        <w:t xml:space="preserve">5.1 </w:t>
      </w:r>
      <w:r>
        <w:tab/>
        <w:t xml:space="preserve">Where the </w:t>
      </w:r>
      <w:r>
        <w:rPr>
          <w:i/>
          <w:iCs/>
        </w:rPr>
        <w:t xml:space="preserve">Service Provider </w:t>
      </w:r>
      <w:r>
        <w:t>reduces the Contract Carbon Footprint by more than the Emissions Reduction Target percentage stated in paragraph 3.4 in any one year then the following gain-share mechanism sha</w:t>
      </w:r>
      <w:r>
        <w:t>ll apply (gain-share mechanism):</w:t>
      </w:r>
    </w:p>
    <w:p w14:paraId="0A0122A6" w14:textId="77777777" w:rsidR="007960A8" w:rsidRDefault="00A26397">
      <w:pPr>
        <w:widowControl/>
        <w:spacing w:after="160" w:line="259" w:lineRule="auto"/>
      </w:pPr>
      <w:r>
        <w:rPr>
          <w:b/>
          <w:bCs/>
        </w:rPr>
        <w:t>Gain-share mechanism:</w:t>
      </w:r>
    </w:p>
    <w:p w14:paraId="689B0010" w14:textId="77777777" w:rsidR="007960A8" w:rsidRDefault="00A26397">
      <w:pPr>
        <w:widowControl/>
        <w:spacing w:after="160" w:line="259" w:lineRule="auto"/>
      </w:pPr>
      <w:r>
        <w:t>X = Contract Carbon Footprint in Year 1 (measured in tonnes of CO2e).</w:t>
      </w:r>
    </w:p>
    <w:p w14:paraId="1D5E43C6" w14:textId="77777777" w:rsidR="007960A8" w:rsidRDefault="00A26397">
      <w:pPr>
        <w:widowControl/>
        <w:spacing w:after="160" w:line="259" w:lineRule="auto"/>
      </w:pPr>
      <w:r>
        <w:t xml:space="preserve">Y = Contract Carbon Footprint in Year 2 (measured in tonnes of CO2e). This shall be recorded under ‘Actual emissions’ in the table </w:t>
      </w:r>
      <w:r>
        <w:t>in the annex to this schedule.</w:t>
      </w:r>
    </w:p>
    <w:p w14:paraId="445AD43A" w14:textId="77777777" w:rsidR="007960A8" w:rsidRDefault="00A26397">
      <w:pPr>
        <w:widowControl/>
        <w:spacing w:after="160" w:line="259" w:lineRule="auto"/>
      </w:pPr>
      <w:r>
        <w:t>X x % Reduction target (e.g., 10%) = the Emissions Reduction Target expressed in tonnes of CO2e to be achieved in the following year.</w:t>
      </w:r>
    </w:p>
    <w:p w14:paraId="6B8C91FB" w14:textId="77777777" w:rsidR="007960A8" w:rsidRDefault="00A26397">
      <w:pPr>
        <w:widowControl/>
        <w:spacing w:after="160" w:line="259" w:lineRule="auto"/>
      </w:pPr>
      <w:r>
        <w:t>Note: The reduction target should be recorded under Emissions Reduction Target (ERT) (%) in</w:t>
      </w:r>
      <w:r>
        <w:t xml:space="preserve"> the table in the annex to this schedule.</w:t>
      </w:r>
    </w:p>
    <w:p w14:paraId="0AC92D05" w14:textId="77777777" w:rsidR="007960A8" w:rsidRDefault="00A26397">
      <w:pPr>
        <w:widowControl/>
        <w:spacing w:after="160" w:line="259" w:lineRule="auto"/>
      </w:pPr>
      <w:r>
        <w:t>X – Y = the difference in Contract Carbon Footprint between Previous Year and current Year (measured in tonnes of CO2e). This is known as the Actual Emissions Reduction (</w:t>
      </w:r>
      <w:r>
        <w:rPr>
          <w:b/>
          <w:bCs/>
        </w:rPr>
        <w:t>Actual ER</w:t>
      </w:r>
      <w:r>
        <w:t>).</w:t>
      </w:r>
    </w:p>
    <w:p w14:paraId="62D0BC68" w14:textId="77777777" w:rsidR="007960A8" w:rsidRDefault="00A26397">
      <w:pPr>
        <w:widowControl/>
        <w:spacing w:after="160" w:line="259" w:lineRule="auto"/>
      </w:pPr>
      <w:r>
        <w:t>Actual ER – ERT = ‘Additional Em</w:t>
      </w:r>
      <w:r>
        <w:t>issions Reduction’ for the contract above the agreed [10]% required by paragraph 7 (Additional ER).</w:t>
      </w:r>
    </w:p>
    <w:p w14:paraId="7CD8C655" w14:textId="77777777" w:rsidR="007960A8" w:rsidRDefault="00A26397">
      <w:pPr>
        <w:widowControl/>
        <w:spacing w:after="160" w:line="259" w:lineRule="auto"/>
      </w:pPr>
      <w:r>
        <w:t>Additional ER x 50% of the market rate, as determined by the </w:t>
      </w:r>
      <w:hyperlink r:id="rId16">
        <w:r>
          <w:rPr>
            <w:color w:val="0563C1"/>
            <w:u w:val="single"/>
          </w:rPr>
          <w:t>UK ETS Authority of the UK Emissions Trading Scheme (UK ETS)</w:t>
        </w:r>
      </w:hyperlink>
      <w:r>
        <w:t xml:space="preserve">* to offset 1 tonne of CO2e = payment made to the </w:t>
      </w:r>
      <w:r>
        <w:rPr>
          <w:i/>
          <w:iCs/>
        </w:rPr>
        <w:t>Service Provider</w:t>
      </w:r>
      <w:r>
        <w:t xml:space="preserve"> under the Gain-share mechanism (Gain-share Payment).</w:t>
      </w:r>
    </w:p>
    <w:p w14:paraId="233DA1F1" w14:textId="77777777" w:rsidR="007960A8" w:rsidRDefault="00A26397">
      <w:pPr>
        <w:widowControl/>
        <w:spacing w:after="160" w:line="259" w:lineRule="auto"/>
      </w:pPr>
      <w:r>
        <w:t>*As determined by the </w:t>
      </w:r>
      <w:hyperlink r:id="rId17">
        <w:r>
          <w:rPr>
            <w:color w:val="0563C1"/>
            <w:u w:val="single"/>
          </w:rPr>
          <w:t>UK ETS Authority of the UK Emissions Trading Scheme (UK ETS)</w:t>
        </w:r>
      </w:hyperlink>
    </w:p>
    <w:p w14:paraId="0E7A6628" w14:textId="77777777" w:rsidR="007960A8" w:rsidRDefault="00A26397">
      <w:pPr>
        <w:widowControl/>
        <w:spacing w:after="160" w:line="259" w:lineRule="auto"/>
        <w:ind w:left="567" w:hanging="567"/>
      </w:pPr>
      <w:r>
        <w:t xml:space="preserve">5.2 </w:t>
      </w:r>
      <w:r>
        <w:tab/>
      </w:r>
      <w:r>
        <w:t xml:space="preserve">The maximum cumulative value of any gain-share Payment(s) due to the </w:t>
      </w:r>
      <w:r>
        <w:rPr>
          <w:i/>
          <w:iCs/>
        </w:rPr>
        <w:t>Service Provider</w:t>
      </w:r>
      <w:r>
        <w:t xml:space="preserve"> in any year of the contract shall be equal to [up to a maximum of 5]% of the value of the </w:t>
      </w:r>
      <w:r>
        <w:rPr>
          <w:i/>
          <w:iCs/>
        </w:rPr>
        <w:t>services</w:t>
      </w:r>
      <w:r>
        <w:t xml:space="preserve"> provided by the </w:t>
      </w:r>
      <w:r>
        <w:rPr>
          <w:i/>
          <w:iCs/>
        </w:rPr>
        <w:t xml:space="preserve">Service Provider </w:t>
      </w:r>
      <w:r>
        <w:t xml:space="preserve">to the </w:t>
      </w:r>
      <w:r>
        <w:rPr>
          <w:i/>
          <w:iCs/>
        </w:rPr>
        <w:t xml:space="preserve">Client </w:t>
      </w:r>
      <w:r>
        <w:t xml:space="preserve">in respect of that same </w:t>
      </w:r>
      <w:r>
        <w:t>year.</w:t>
      </w:r>
    </w:p>
    <w:p w14:paraId="08ADCA93" w14:textId="77777777" w:rsidR="007960A8" w:rsidRDefault="00A26397">
      <w:pPr>
        <w:widowControl/>
        <w:spacing w:after="160" w:line="259" w:lineRule="auto"/>
        <w:ind w:left="567" w:hanging="567"/>
      </w:pPr>
      <w:r>
        <w:t xml:space="preserve">5.3 </w:t>
      </w:r>
      <w:r>
        <w:tab/>
        <w:t>The gain-share payment shall only become due for payment after any verification process is complete.</w:t>
      </w:r>
    </w:p>
    <w:p w14:paraId="0E412C2B" w14:textId="77777777" w:rsidR="007960A8" w:rsidRDefault="00A26397">
      <w:pPr>
        <w:widowControl/>
        <w:spacing w:after="160" w:line="259" w:lineRule="auto"/>
        <w:ind w:left="567" w:hanging="567"/>
      </w:pPr>
      <w:r>
        <w:t xml:space="preserve">5.4. </w:t>
      </w:r>
      <w:r>
        <w:tab/>
        <w:t xml:space="preserve">The </w:t>
      </w:r>
      <w:r>
        <w:rPr>
          <w:i/>
          <w:iCs/>
        </w:rPr>
        <w:t xml:space="preserve">Service Provider </w:t>
      </w:r>
      <w:r>
        <w:t xml:space="preserve">shall invoice the </w:t>
      </w:r>
      <w:r>
        <w:rPr>
          <w:i/>
          <w:iCs/>
        </w:rPr>
        <w:t xml:space="preserve">Client </w:t>
      </w:r>
      <w:r>
        <w:t>for any gain-share payment after it has become due for payment and in the absence of any dis</w:t>
      </w:r>
      <w:r>
        <w:t xml:space="preserve">pute about the level of the gain-share payment it shall be paid by the </w:t>
      </w:r>
      <w:r>
        <w:rPr>
          <w:i/>
          <w:iCs/>
        </w:rPr>
        <w:t xml:space="preserve">Client </w:t>
      </w:r>
      <w:r>
        <w:t>as if the sum due was part of the Prices.</w:t>
      </w:r>
    </w:p>
    <w:p w14:paraId="75481B06" w14:textId="77777777" w:rsidR="007960A8" w:rsidRDefault="00A26397">
      <w:pPr>
        <w:widowControl/>
        <w:spacing w:after="160" w:line="259" w:lineRule="auto"/>
        <w:ind w:left="567" w:hanging="567"/>
      </w:pPr>
      <w:r>
        <w:t xml:space="preserve">5.5 </w:t>
      </w:r>
      <w:r>
        <w:tab/>
        <w:t xml:space="preserve">The </w:t>
      </w:r>
      <w:r>
        <w:rPr>
          <w:i/>
          <w:iCs/>
        </w:rPr>
        <w:t>Service Provider</w:t>
      </w:r>
      <w:r>
        <w:t xml:space="preserve"> shall invest at least [X]% of any gain-share payment(s) received by the </w:t>
      </w:r>
      <w:r>
        <w:rPr>
          <w:i/>
          <w:iCs/>
        </w:rPr>
        <w:t xml:space="preserve">Client </w:t>
      </w:r>
      <w:r>
        <w:t>into green sustainability initi</w:t>
      </w:r>
      <w:r>
        <w:t xml:space="preserve">atives. The </w:t>
      </w:r>
      <w:r>
        <w:rPr>
          <w:i/>
          <w:iCs/>
        </w:rPr>
        <w:t xml:space="preserve">Client </w:t>
      </w:r>
      <w:r>
        <w:t xml:space="preserve">reserves the right to ask the </w:t>
      </w:r>
      <w:r>
        <w:rPr>
          <w:i/>
          <w:iCs/>
        </w:rPr>
        <w:t>Service Provider</w:t>
      </w:r>
      <w:r>
        <w:t xml:space="preserve"> for evidence that it is complying with this requirement.]</w:t>
      </w:r>
    </w:p>
    <w:p w14:paraId="6A41B83A" w14:textId="77777777" w:rsidR="007960A8" w:rsidRDefault="00A26397">
      <w:pPr>
        <w:widowControl/>
        <w:spacing w:after="160" w:line="259" w:lineRule="auto"/>
      </w:pPr>
      <w:r>
        <w:rPr>
          <w:b/>
          <w:bCs/>
        </w:rPr>
        <w:t>6. Net zero modification</w:t>
      </w:r>
    </w:p>
    <w:p w14:paraId="76457D6E" w14:textId="77777777" w:rsidR="007960A8" w:rsidRDefault="00A26397">
      <w:pPr>
        <w:widowControl/>
        <w:spacing w:after="160" w:line="259" w:lineRule="auto"/>
        <w:ind w:left="720" w:hanging="720"/>
      </w:pPr>
      <w:r>
        <w:t xml:space="preserve">6.1 </w:t>
      </w:r>
      <w:r>
        <w:tab/>
        <w:t>The parties agree to, wherever possible, perform their obligations under this contract in a way that m</w:t>
      </w:r>
      <w:r>
        <w:t>inimises the Contract Carbon Footprint associated with the activities under this contract.</w:t>
      </w:r>
    </w:p>
    <w:p w14:paraId="62E9E889" w14:textId="77777777" w:rsidR="007960A8" w:rsidRDefault="00A26397">
      <w:pPr>
        <w:widowControl/>
        <w:spacing w:after="160" w:line="259" w:lineRule="auto"/>
        <w:ind w:left="720" w:hanging="720"/>
      </w:pPr>
      <w:r>
        <w:t xml:space="preserve">6.2 </w:t>
      </w:r>
      <w:r>
        <w:tab/>
        <w:t>Either party may serve written notice to the other party, requesting or proposing a net zero modification in the performance of either party’s obligations under</w:t>
      </w:r>
      <w:r>
        <w:t xml:space="preserve"> the contact in order to reduce the Contract Carbon Footprint resulting from this contract (the </w:t>
      </w:r>
      <w:r>
        <w:rPr>
          <w:b/>
          <w:bCs/>
        </w:rPr>
        <w:t>Net Zero Modification Notice</w:t>
      </w:r>
      <w:r>
        <w:t>).</w:t>
      </w:r>
    </w:p>
    <w:p w14:paraId="428AA81C" w14:textId="77777777" w:rsidR="007960A8" w:rsidRDefault="00A26397">
      <w:pPr>
        <w:widowControl/>
        <w:spacing w:after="160" w:line="259" w:lineRule="auto"/>
      </w:pPr>
      <w:r>
        <w:t xml:space="preserve">6.3. </w:t>
      </w:r>
      <w:r>
        <w:tab/>
        <w:t>The notice must outline how the proposal will be implemented and must include:</w:t>
      </w:r>
    </w:p>
    <w:p w14:paraId="5C6019EE" w14:textId="77777777" w:rsidR="007960A8" w:rsidRDefault="00A26397">
      <w:pPr>
        <w:widowControl/>
        <w:spacing w:after="160" w:line="259" w:lineRule="auto"/>
        <w:ind w:left="720"/>
      </w:pPr>
      <w:r>
        <w:t>a) the reason for the proposed net zero modi</w:t>
      </w:r>
      <w:r>
        <w:t>fication, including how the modification will assist in delivering the Emissions Reduction Target or, alternatively, how the net zero modification will improve the Contract Carbon Footprint;</w:t>
      </w:r>
    </w:p>
    <w:p w14:paraId="6DCF9E8B" w14:textId="77777777" w:rsidR="007960A8" w:rsidRDefault="00A26397">
      <w:pPr>
        <w:widowControl/>
        <w:spacing w:after="160" w:line="259" w:lineRule="auto"/>
        <w:ind w:left="720"/>
      </w:pPr>
      <w:r>
        <w:t xml:space="preserve">b) the time within, and the manner in which, the </w:t>
      </w:r>
      <w:r>
        <w:rPr>
          <w:i/>
          <w:iCs/>
        </w:rPr>
        <w:t>Service Provider</w:t>
      </w:r>
      <w:r>
        <w:t xml:space="preserve"> proposes to implement the proposed net zero modification;</w:t>
      </w:r>
    </w:p>
    <w:p w14:paraId="51022797" w14:textId="77777777" w:rsidR="007960A8" w:rsidRDefault="00A26397">
      <w:pPr>
        <w:widowControl/>
        <w:spacing w:after="160" w:line="259" w:lineRule="auto"/>
        <w:ind w:left="720"/>
      </w:pPr>
      <w:r>
        <w:t xml:space="preserve">c) the effect the proposed net zero modification will have on delivery of the contract (including any extension of time required to the </w:t>
      </w:r>
      <w:r>
        <w:rPr>
          <w:i/>
          <w:iCs/>
        </w:rPr>
        <w:t>service period</w:t>
      </w:r>
      <w:r>
        <w:t>); and</w:t>
      </w:r>
    </w:p>
    <w:p w14:paraId="5AB5B7AD" w14:textId="77777777" w:rsidR="007960A8" w:rsidRDefault="00A26397">
      <w:pPr>
        <w:widowControl/>
        <w:spacing w:after="160" w:line="259" w:lineRule="auto"/>
        <w:ind w:left="720"/>
      </w:pPr>
      <w:r>
        <w:t>d) any approvals required to implement t</w:t>
      </w:r>
      <w:r>
        <w:t>he proposed net zero modification, and the effect of the proposed net zero modification on any existing approvals.</w:t>
      </w:r>
    </w:p>
    <w:p w14:paraId="0854504D" w14:textId="77777777" w:rsidR="007960A8" w:rsidRDefault="00A26397">
      <w:pPr>
        <w:widowControl/>
        <w:spacing w:after="160" w:line="259" w:lineRule="auto"/>
      </w:pPr>
      <w:r>
        <w:t xml:space="preserve">6.4. </w:t>
      </w:r>
      <w:r>
        <w:tab/>
        <w:t>The requested net zero modification:</w:t>
      </w:r>
    </w:p>
    <w:p w14:paraId="25995565" w14:textId="77777777" w:rsidR="007960A8" w:rsidRDefault="00A26397">
      <w:pPr>
        <w:widowControl/>
        <w:spacing w:after="160" w:line="259" w:lineRule="auto"/>
        <w:ind w:left="720"/>
      </w:pPr>
      <w:r>
        <w:t>a) must be capable of being implemented within [60] days following agreement between the parties;</w:t>
      </w:r>
    </w:p>
    <w:p w14:paraId="066DB8BF" w14:textId="77777777" w:rsidR="007960A8" w:rsidRDefault="00A26397">
      <w:pPr>
        <w:widowControl/>
        <w:spacing w:after="160" w:line="259" w:lineRule="auto"/>
        <w:ind w:left="720"/>
      </w:pPr>
      <w:r>
        <w:t xml:space="preserve">b) must not result in an increase in an overall liability or cost to either party or a reduction in the quality of the </w:t>
      </w:r>
      <w:r>
        <w:rPr>
          <w:i/>
          <w:iCs/>
        </w:rPr>
        <w:t>services</w:t>
      </w:r>
      <w:r>
        <w:t>;</w:t>
      </w:r>
    </w:p>
    <w:p w14:paraId="3A551B94" w14:textId="77777777" w:rsidR="007960A8" w:rsidRDefault="00A26397">
      <w:pPr>
        <w:widowControl/>
        <w:spacing w:after="160" w:line="259" w:lineRule="auto"/>
        <w:ind w:firstLine="720"/>
      </w:pPr>
      <w:r>
        <w:t>c) must not cause a reduction in compensation due to either party under the contract.</w:t>
      </w:r>
    </w:p>
    <w:p w14:paraId="6E0FCC56" w14:textId="77777777" w:rsidR="007960A8" w:rsidRDefault="00A26397">
      <w:pPr>
        <w:widowControl/>
        <w:spacing w:after="160" w:line="259" w:lineRule="auto"/>
        <w:ind w:left="720" w:hanging="720"/>
      </w:pPr>
      <w:r>
        <w:t xml:space="preserve">6.5. </w:t>
      </w:r>
      <w:r>
        <w:tab/>
        <w:t>Within [X] days of receipt of the N</w:t>
      </w:r>
      <w:r>
        <w:t>et Zero Modification Notice, the notified party must provide the notifying party with a written response either:</w:t>
      </w:r>
    </w:p>
    <w:p w14:paraId="6F1EFBB2" w14:textId="77777777" w:rsidR="007960A8" w:rsidRDefault="00A26397">
      <w:pPr>
        <w:widowControl/>
        <w:spacing w:after="160" w:line="259" w:lineRule="auto"/>
        <w:ind w:left="720"/>
      </w:pPr>
      <w:r>
        <w:t>a) accepting the request in the Net Zero Modification Notice [and outlining a way to implement it] within [60] days;</w:t>
      </w:r>
    </w:p>
    <w:p w14:paraId="12AAD0A1" w14:textId="77777777" w:rsidR="007960A8" w:rsidRDefault="00A26397">
      <w:pPr>
        <w:widowControl/>
        <w:spacing w:after="160" w:line="259" w:lineRule="auto"/>
        <w:ind w:firstLine="720"/>
      </w:pPr>
      <w:r>
        <w:t>b) requesting further info</w:t>
      </w:r>
      <w:r>
        <w:t>rmation; or</w:t>
      </w:r>
    </w:p>
    <w:p w14:paraId="3E1278CB" w14:textId="77777777" w:rsidR="007960A8" w:rsidRDefault="00A26397">
      <w:pPr>
        <w:widowControl/>
        <w:spacing w:after="160" w:line="259" w:lineRule="auto"/>
        <w:ind w:left="720"/>
      </w:pPr>
      <w:r>
        <w:t>c) rejecting the request in the Net Zero Modification Notice and explaining, reasonably and in good faith:</w:t>
      </w:r>
    </w:p>
    <w:p w14:paraId="65B0E873" w14:textId="77777777" w:rsidR="007960A8" w:rsidRDefault="00A26397">
      <w:pPr>
        <w:widowControl/>
        <w:spacing w:after="160" w:line="259" w:lineRule="auto"/>
        <w:ind w:left="1440"/>
      </w:pPr>
      <w:r>
        <w:t>(i) why the request would have a material negative impact on the notified party in terms of cost, quality, legal risk, or other relevant factors; and</w:t>
      </w:r>
    </w:p>
    <w:p w14:paraId="4ED26269" w14:textId="77777777" w:rsidR="007960A8" w:rsidRDefault="00A26397">
      <w:pPr>
        <w:widowControl/>
        <w:spacing w:after="160" w:line="259" w:lineRule="auto"/>
        <w:ind w:left="1440"/>
      </w:pPr>
      <w:r>
        <w:t xml:space="preserve">(ii) why the request would not have a material impact on reducing the Contract Carbon Footprint resulting </w:t>
      </w:r>
      <w:r>
        <w:t>from this contract.</w:t>
      </w:r>
    </w:p>
    <w:p w14:paraId="78163FCA" w14:textId="77777777" w:rsidR="007960A8" w:rsidRDefault="00A26397">
      <w:pPr>
        <w:widowControl/>
        <w:spacing w:after="160" w:line="259" w:lineRule="auto"/>
        <w:ind w:left="720" w:hanging="720"/>
      </w:pPr>
      <w:r>
        <w:t xml:space="preserve">6.6 </w:t>
      </w:r>
      <w:r>
        <w:tab/>
        <w:t>Where the request in the Net Zero Modification Notice is accepted, the contract shall be modified following the Compensation Event process.</w:t>
      </w:r>
    </w:p>
    <w:p w14:paraId="089A2CEF" w14:textId="77777777" w:rsidR="007960A8" w:rsidRDefault="00A26397">
      <w:pPr>
        <w:widowControl/>
        <w:spacing w:after="160" w:line="259" w:lineRule="auto"/>
        <w:ind w:left="720" w:hanging="720"/>
      </w:pPr>
      <w:r>
        <w:t xml:space="preserve">6.7 </w:t>
      </w:r>
      <w:r>
        <w:tab/>
        <w:t>If the notified party rejects the request in the Net Zero Modification Notice in accor</w:t>
      </w:r>
      <w:r>
        <w:t>dance with paragraph 6.5(c) but the notifying party does not agree that the request would have a material negative impact on the notified party then both parties shall resolve the dispute in accordance with the Dispute Resolution Procedure.</w:t>
      </w:r>
    </w:p>
    <w:p w14:paraId="1DBA8CBE" w14:textId="77777777" w:rsidR="007960A8" w:rsidRDefault="00A26397">
      <w:pPr>
        <w:widowControl/>
        <w:spacing w:after="160" w:line="259" w:lineRule="auto"/>
      </w:pPr>
      <w:r>
        <w:rPr>
          <w:b/>
          <w:bCs/>
        </w:rPr>
        <w:t xml:space="preserve">7. Remediation </w:t>
      </w:r>
      <w:r>
        <w:rPr>
          <w:b/>
          <w:bCs/>
        </w:rPr>
        <w:t>plan</w:t>
      </w:r>
    </w:p>
    <w:p w14:paraId="18B6062E" w14:textId="77777777" w:rsidR="007960A8" w:rsidRDefault="00A26397">
      <w:pPr>
        <w:widowControl/>
        <w:spacing w:after="160" w:line="259" w:lineRule="auto"/>
        <w:ind w:left="720" w:hanging="720"/>
      </w:pPr>
      <w:r>
        <w:t xml:space="preserve">7. </w:t>
      </w:r>
      <w:r>
        <w:tab/>
        <w:t xml:space="preserve">The </w:t>
      </w:r>
      <w:r>
        <w:rPr>
          <w:i/>
          <w:iCs/>
        </w:rPr>
        <w:t>Service Provider</w:t>
      </w:r>
      <w:r>
        <w:t xml:space="preserve"> shall notify the </w:t>
      </w:r>
      <w:r>
        <w:rPr>
          <w:i/>
          <w:iCs/>
        </w:rPr>
        <w:t xml:space="preserve">Client </w:t>
      </w:r>
      <w:r>
        <w:t xml:space="preserve">as soon as it becomes aware of any reason why it might fail to achieve any of the obligations in paragraph 3. The </w:t>
      </w:r>
      <w:r>
        <w:rPr>
          <w:i/>
          <w:iCs/>
        </w:rPr>
        <w:t xml:space="preserve">Client </w:t>
      </w:r>
      <w:r>
        <w:t xml:space="preserve">shall work with the </w:t>
      </w:r>
      <w:r>
        <w:rPr>
          <w:i/>
          <w:iCs/>
        </w:rPr>
        <w:t>Service Provider</w:t>
      </w:r>
      <w:r>
        <w:t xml:space="preserve"> to agree a remediation plan for the </w:t>
      </w:r>
      <w:r>
        <w:rPr>
          <w:i/>
          <w:iCs/>
        </w:rPr>
        <w:t>Service Provider</w:t>
      </w:r>
      <w:r>
        <w:t xml:space="preserve"> in accordance with the Rectification Plan Pro</w:t>
      </w:r>
      <w:r>
        <w:t>cess.</w:t>
      </w:r>
    </w:p>
    <w:p w14:paraId="1A17CC2F" w14:textId="77777777" w:rsidR="007960A8" w:rsidRDefault="00A26397">
      <w:pPr>
        <w:widowControl/>
        <w:spacing w:after="160" w:line="259" w:lineRule="auto"/>
      </w:pPr>
      <w:r>
        <w:rPr>
          <w:b/>
          <w:bCs/>
        </w:rPr>
        <w:t>8. Fuel emissions</w:t>
      </w:r>
    </w:p>
    <w:p w14:paraId="1E00E6C4" w14:textId="77777777" w:rsidR="007960A8" w:rsidRDefault="00A26397">
      <w:pPr>
        <w:widowControl/>
        <w:spacing w:after="160" w:line="259" w:lineRule="auto"/>
      </w:pPr>
      <w:r>
        <w:t xml:space="preserve">8.1 </w:t>
      </w:r>
      <w:r>
        <w:tab/>
        <w:t xml:space="preserve">The </w:t>
      </w:r>
      <w:r>
        <w:rPr>
          <w:i/>
          <w:iCs/>
        </w:rPr>
        <w:t>Service Provider</w:t>
      </w:r>
      <w:r>
        <w:t xml:space="preserve"> shall avoid fuel emissions wherever possible by:</w:t>
      </w:r>
    </w:p>
    <w:p w14:paraId="23A1AFD1" w14:textId="77777777" w:rsidR="007960A8" w:rsidRDefault="00A26397">
      <w:pPr>
        <w:widowControl/>
        <w:spacing w:after="160" w:line="259" w:lineRule="auto"/>
        <w:ind w:left="720"/>
      </w:pPr>
      <w:r>
        <w:t xml:space="preserve">a) arranging meetings using e-conferencing services where face-to-face meetings are not required by the </w:t>
      </w:r>
      <w:r>
        <w:rPr>
          <w:i/>
          <w:iCs/>
        </w:rPr>
        <w:t>Client</w:t>
      </w:r>
      <w:r>
        <w:t>;</w:t>
      </w:r>
    </w:p>
    <w:p w14:paraId="0CE2AAC3" w14:textId="77777777" w:rsidR="007960A8" w:rsidRDefault="00A26397">
      <w:pPr>
        <w:widowControl/>
        <w:spacing w:after="160" w:line="259" w:lineRule="auto"/>
        <w:ind w:left="720"/>
      </w:pPr>
      <w:r>
        <w:t>b) using logistics to rationalise journeys an</w:t>
      </w:r>
      <w:r>
        <w:t>d minimise miles travelled in the transportation of goods to Client premises;</w:t>
      </w:r>
    </w:p>
    <w:p w14:paraId="6EBDB967" w14:textId="77777777" w:rsidR="007960A8" w:rsidRDefault="00A26397">
      <w:pPr>
        <w:widowControl/>
        <w:spacing w:after="160" w:line="259" w:lineRule="auto"/>
        <w:ind w:left="720"/>
      </w:pPr>
      <w:r>
        <w:t xml:space="preserve">c) providing online and webinar-based training for </w:t>
      </w:r>
      <w:r>
        <w:rPr>
          <w:i/>
          <w:iCs/>
        </w:rPr>
        <w:t>Service Provider</w:t>
      </w:r>
      <w:r>
        <w:t xml:space="preserve"> staff, minimising the need for travel to attend courses; and</w:t>
      </w:r>
    </w:p>
    <w:p w14:paraId="7F7E97F4" w14:textId="77777777" w:rsidR="007960A8" w:rsidRDefault="00A26397">
      <w:pPr>
        <w:widowControl/>
        <w:spacing w:after="160" w:line="259" w:lineRule="auto"/>
        <w:ind w:left="720"/>
      </w:pPr>
      <w:r>
        <w:t xml:space="preserve">d) encouraging </w:t>
      </w:r>
      <w:r>
        <w:rPr>
          <w:i/>
          <w:iCs/>
        </w:rPr>
        <w:t>Service Provider</w:t>
      </w:r>
      <w:r>
        <w:t xml:space="preserve"> staff to use elec</w:t>
      </w:r>
      <w:r>
        <w:t>tric/hybrid vehicles or the rail service rather than petrol, diesel powered vehicles or short haul flights.</w:t>
      </w:r>
    </w:p>
    <w:p w14:paraId="36986F71" w14:textId="77777777" w:rsidR="007960A8" w:rsidRDefault="00A26397">
      <w:pPr>
        <w:widowControl/>
        <w:spacing w:after="160" w:line="259" w:lineRule="auto"/>
      </w:pPr>
      <w:r>
        <w:rPr>
          <w:b/>
          <w:bCs/>
        </w:rPr>
        <w:t>9. Construction works sector</w:t>
      </w:r>
    </w:p>
    <w:p w14:paraId="10F80903" w14:textId="77777777" w:rsidR="007960A8" w:rsidRDefault="00A26397">
      <w:pPr>
        <w:widowControl/>
        <w:spacing w:after="160" w:line="259" w:lineRule="auto"/>
      </w:pPr>
      <w:r>
        <w:t xml:space="preserve">9.1 </w:t>
      </w:r>
      <w:r>
        <w:tab/>
        <w:t xml:space="preserve">The </w:t>
      </w:r>
      <w:r>
        <w:rPr>
          <w:i/>
          <w:iCs/>
        </w:rPr>
        <w:t xml:space="preserve">Service Provider </w:t>
      </w:r>
      <w:r>
        <w:t>shall:</w:t>
      </w:r>
    </w:p>
    <w:p w14:paraId="167E6C18" w14:textId="77777777" w:rsidR="007960A8" w:rsidRDefault="00A26397">
      <w:pPr>
        <w:widowControl/>
        <w:spacing w:after="160" w:line="259" w:lineRule="auto"/>
        <w:ind w:left="720"/>
      </w:pPr>
      <w:r>
        <w:t>(i) consider and propose methods for designing out waste and designing for destruction</w:t>
      </w:r>
      <w:r>
        <w:t>;</w:t>
      </w:r>
    </w:p>
    <w:p w14:paraId="0B058A72" w14:textId="77777777" w:rsidR="007960A8" w:rsidRDefault="00A26397">
      <w:pPr>
        <w:widowControl/>
        <w:spacing w:after="160" w:line="259" w:lineRule="auto"/>
        <w:ind w:firstLine="720"/>
      </w:pPr>
      <w:r>
        <w:t>(ii) provide a ‘Site Waste Management Plan’; and</w:t>
      </w:r>
    </w:p>
    <w:p w14:paraId="6E9CF3F4" w14:textId="77777777" w:rsidR="007960A8" w:rsidRDefault="00A26397">
      <w:pPr>
        <w:widowControl/>
        <w:spacing w:after="160" w:line="259" w:lineRule="auto"/>
        <w:ind w:firstLine="720"/>
      </w:pPr>
      <w:r>
        <w:t>(iii) report on waste performance and, where specified, via an online tool.</w:t>
      </w:r>
    </w:p>
    <w:p w14:paraId="1647CEDB" w14:textId="77777777" w:rsidR="007960A8" w:rsidRDefault="00A26397">
      <w:pPr>
        <w:widowControl/>
        <w:spacing w:after="160" w:line="259" w:lineRule="auto"/>
        <w:ind w:left="720" w:hanging="720"/>
      </w:pPr>
      <w:r>
        <w:t xml:space="preserve">9.2 </w:t>
      </w:r>
      <w:r>
        <w:tab/>
        <w:t xml:space="preserve">The </w:t>
      </w:r>
      <w:r>
        <w:rPr>
          <w:i/>
          <w:iCs/>
        </w:rPr>
        <w:t xml:space="preserve">Service Provider </w:t>
      </w:r>
      <w:r>
        <w:t>must adhere to the specific requirements regarding the salvaging of materials, ownership of salvaged ma</w:t>
      </w:r>
      <w:r>
        <w:t>terials and storage/removal of salvaged materials. The specific requirements will be defined in each contract.</w:t>
      </w:r>
    </w:p>
    <w:p w14:paraId="5BD75ABC" w14:textId="77777777" w:rsidR="007960A8" w:rsidRDefault="007960A8">
      <w:pPr>
        <w:widowControl/>
        <w:spacing w:after="160" w:line="259" w:lineRule="auto"/>
        <w:rPr>
          <w:b/>
          <w:bCs/>
        </w:rPr>
      </w:pPr>
    </w:p>
    <w:p w14:paraId="6FC0BA75" w14:textId="77777777" w:rsidR="007960A8" w:rsidRDefault="00A26397">
      <w:pPr>
        <w:widowControl/>
        <w:spacing w:after="160" w:line="259" w:lineRule="auto"/>
        <w:rPr>
          <w:b/>
          <w:bCs/>
        </w:rPr>
      </w:pPr>
      <w:r>
        <w:rPr>
          <w:b/>
          <w:bCs/>
        </w:rPr>
        <w:t>Annex</w:t>
      </w:r>
    </w:p>
    <w:p w14:paraId="4FBE0461" w14:textId="77777777" w:rsidR="007960A8" w:rsidRDefault="00A26397">
      <w:pPr>
        <w:widowControl/>
        <w:spacing w:after="160" w:line="259" w:lineRule="auto"/>
      </w:pPr>
      <w:r>
        <w:t>Table 1: Carbon Reduction Plan Template</w:t>
      </w:r>
    </w:p>
    <w:p w14:paraId="47BACA0A" w14:textId="77777777" w:rsidR="007960A8" w:rsidRDefault="00A26397">
      <w:pPr>
        <w:widowControl/>
        <w:spacing w:after="160" w:line="259" w:lineRule="auto"/>
        <w:rPr>
          <w:b/>
          <w:bCs/>
        </w:rPr>
      </w:pPr>
      <w:r>
        <w:rPr>
          <w:b/>
          <w:bCs/>
        </w:rPr>
        <w:t xml:space="preserve">Carbon Reduction Plan template </w:t>
      </w:r>
    </w:p>
    <w:p w14:paraId="63E5C270" w14:textId="77777777" w:rsidR="007960A8" w:rsidRDefault="00A26397">
      <w:pPr>
        <w:widowControl/>
        <w:spacing w:after="160" w:line="259" w:lineRule="auto"/>
      </w:pPr>
      <w:r>
        <w:t xml:space="preserve">Service Provider name </w:t>
      </w:r>
    </w:p>
    <w:p w14:paraId="0061369B" w14:textId="77777777" w:rsidR="007960A8" w:rsidRDefault="00A26397">
      <w:pPr>
        <w:widowControl/>
        <w:spacing w:after="160" w:line="259" w:lineRule="auto"/>
      </w:pPr>
      <w:r>
        <w:t xml:space="preserve">Publication date </w:t>
      </w:r>
    </w:p>
    <w:p w14:paraId="2C788BB6" w14:textId="77777777" w:rsidR="007960A8" w:rsidRDefault="00A26397">
      <w:pPr>
        <w:widowControl/>
        <w:spacing w:after="160" w:line="259" w:lineRule="auto"/>
        <w:rPr>
          <w:b/>
          <w:bCs/>
        </w:rPr>
      </w:pPr>
      <w:r>
        <w:rPr>
          <w:b/>
          <w:bCs/>
        </w:rPr>
        <w:t xml:space="preserve">Commitment to achieving net zero </w:t>
      </w:r>
    </w:p>
    <w:p w14:paraId="27948FD3" w14:textId="77777777" w:rsidR="007960A8" w:rsidRDefault="00A26397">
      <w:pPr>
        <w:widowControl/>
        <w:spacing w:after="160" w:line="259" w:lineRule="auto"/>
      </w:pPr>
      <w:r>
        <w:t xml:space="preserve">[Service Provider name] is committed to achieving net zero emissions by 20XX. </w:t>
      </w:r>
    </w:p>
    <w:p w14:paraId="095E5731" w14:textId="77777777" w:rsidR="007960A8" w:rsidRDefault="00A26397">
      <w:pPr>
        <w:widowControl/>
        <w:spacing w:after="160" w:line="259" w:lineRule="auto"/>
        <w:rPr>
          <w:b/>
          <w:bCs/>
        </w:rPr>
      </w:pPr>
      <w:r>
        <w:rPr>
          <w:b/>
          <w:bCs/>
        </w:rPr>
        <w:t xml:space="preserve">Baseline emissions footprint </w:t>
      </w:r>
    </w:p>
    <w:p w14:paraId="0343957F" w14:textId="77777777" w:rsidR="007960A8" w:rsidRDefault="00A26397">
      <w:pPr>
        <w:widowControl/>
        <w:spacing w:after="160" w:line="259" w:lineRule="auto"/>
      </w:pPr>
      <w:r>
        <w:t>Baseline emissions are a record of the greenhouse gases that have been produced in the past and were produced pri</w:t>
      </w:r>
      <w:r>
        <w:t>or to the introduction of any strategies to reduce emissions. Baseline emissions are the reference point against which emissions reduction can be measured.</w:t>
      </w:r>
    </w:p>
    <w:tbl>
      <w:tblPr>
        <w:tblStyle w:val="a0"/>
        <w:tblW w:w="900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6"/>
      </w:tblGrid>
      <w:tr w:rsidR="007960A8" w14:paraId="4C10DE1D" w14:textId="77777777">
        <w:tc>
          <w:tcPr>
            <w:tcW w:w="9006" w:type="dxa"/>
            <w:tcBorders>
              <w:top w:val="single" w:sz="4" w:space="0" w:color="000000"/>
              <w:left w:val="single" w:sz="4" w:space="0" w:color="000000"/>
              <w:bottom w:val="single" w:sz="4" w:space="0" w:color="000000"/>
              <w:right w:val="single" w:sz="4" w:space="0" w:color="000000"/>
            </w:tcBorders>
          </w:tcPr>
          <w:p w14:paraId="52CAE06F" w14:textId="77777777" w:rsidR="007960A8" w:rsidRDefault="00A26397">
            <w:pPr>
              <w:widowControl/>
              <w:spacing w:after="160" w:line="259" w:lineRule="auto"/>
            </w:pPr>
            <w:r>
              <w:t>Baseline Year: 20XX</w:t>
            </w:r>
          </w:p>
        </w:tc>
      </w:tr>
      <w:tr w:rsidR="007960A8" w14:paraId="4D8BA54E" w14:textId="77777777">
        <w:tc>
          <w:tcPr>
            <w:tcW w:w="9006" w:type="dxa"/>
            <w:tcBorders>
              <w:top w:val="single" w:sz="4" w:space="0" w:color="000000"/>
              <w:left w:val="single" w:sz="4" w:space="0" w:color="000000"/>
              <w:bottom w:val="single" w:sz="4" w:space="0" w:color="000000"/>
              <w:right w:val="single" w:sz="4" w:space="0" w:color="000000"/>
            </w:tcBorders>
          </w:tcPr>
          <w:p w14:paraId="3E25DC92" w14:textId="77777777" w:rsidR="007960A8" w:rsidRDefault="00A26397">
            <w:pPr>
              <w:widowControl/>
              <w:spacing w:after="160" w:line="259" w:lineRule="auto"/>
            </w:pPr>
            <w:r>
              <w:t>Additional details relating to the baseline emissions calculations:</w:t>
            </w:r>
          </w:p>
        </w:tc>
      </w:tr>
      <w:tr w:rsidR="007960A8" w14:paraId="2DC700D5" w14:textId="77777777">
        <w:tc>
          <w:tcPr>
            <w:tcW w:w="9006" w:type="dxa"/>
            <w:tcBorders>
              <w:top w:val="single" w:sz="4" w:space="0" w:color="000000"/>
              <w:left w:val="single" w:sz="4" w:space="0" w:color="000000"/>
              <w:bottom w:val="single" w:sz="4" w:space="0" w:color="000000"/>
              <w:right w:val="single" w:sz="4" w:space="0" w:color="000000"/>
            </w:tcBorders>
          </w:tcPr>
          <w:p w14:paraId="01517A21" w14:textId="77777777" w:rsidR="007960A8" w:rsidRDefault="00A26397">
            <w:pPr>
              <w:widowControl/>
              <w:spacing w:after="160" w:line="259" w:lineRule="auto"/>
            </w:pPr>
            <w:r>
              <w:t>[Enter det</w:t>
            </w:r>
            <w:r>
              <w:t>ails]</w:t>
            </w:r>
          </w:p>
        </w:tc>
      </w:tr>
      <w:tr w:rsidR="007960A8" w14:paraId="78EA7423" w14:textId="77777777">
        <w:tc>
          <w:tcPr>
            <w:tcW w:w="9006" w:type="dxa"/>
            <w:tcBorders>
              <w:top w:val="single" w:sz="4" w:space="0" w:color="000000"/>
              <w:left w:val="single" w:sz="4" w:space="0" w:color="000000"/>
              <w:bottom w:val="single" w:sz="4" w:space="0" w:color="000000"/>
              <w:right w:val="single" w:sz="4" w:space="0" w:color="000000"/>
            </w:tcBorders>
          </w:tcPr>
          <w:p w14:paraId="4677B1BD" w14:textId="77777777" w:rsidR="007960A8" w:rsidRDefault="00A26397">
            <w:pPr>
              <w:widowControl/>
              <w:spacing w:after="160" w:line="259" w:lineRule="auto"/>
            </w:pPr>
            <w:r>
              <w:t>Baseline year emissions:</w:t>
            </w:r>
          </w:p>
        </w:tc>
      </w:tr>
      <w:tr w:rsidR="007960A8" w14:paraId="3B756F42" w14:textId="77777777">
        <w:tc>
          <w:tcPr>
            <w:tcW w:w="9006" w:type="dxa"/>
            <w:tcBorders>
              <w:top w:val="single" w:sz="4" w:space="0" w:color="000000"/>
              <w:left w:val="single" w:sz="4" w:space="0" w:color="000000"/>
              <w:bottom w:val="single" w:sz="4" w:space="0" w:color="000000"/>
              <w:right w:val="single" w:sz="4" w:space="0" w:color="000000"/>
            </w:tcBorders>
          </w:tcPr>
          <w:p w14:paraId="55766E61" w14:textId="77777777" w:rsidR="007960A8" w:rsidRDefault="00A26397">
            <w:pPr>
              <w:widowControl/>
              <w:spacing w:after="160" w:line="259" w:lineRule="auto"/>
            </w:pPr>
            <w:r>
              <w:t>Emissions                                                                                           Total (tCo2e)</w:t>
            </w:r>
          </w:p>
        </w:tc>
      </w:tr>
      <w:tr w:rsidR="007960A8" w14:paraId="0311B138" w14:textId="77777777">
        <w:tc>
          <w:tcPr>
            <w:tcW w:w="9006" w:type="dxa"/>
            <w:tcBorders>
              <w:top w:val="single" w:sz="4" w:space="0" w:color="000000"/>
              <w:left w:val="single" w:sz="4" w:space="0" w:color="000000"/>
              <w:bottom w:val="single" w:sz="4" w:space="0" w:color="000000"/>
              <w:right w:val="single" w:sz="4" w:space="0" w:color="000000"/>
            </w:tcBorders>
          </w:tcPr>
          <w:p w14:paraId="2339FFA9" w14:textId="77777777" w:rsidR="007960A8" w:rsidRDefault="00A26397">
            <w:pPr>
              <w:widowControl/>
              <w:spacing w:after="160" w:line="259" w:lineRule="auto"/>
            </w:pPr>
            <w:r>
              <w:t>Scope 1                                                                                                XX</w:t>
            </w:r>
          </w:p>
        </w:tc>
      </w:tr>
      <w:tr w:rsidR="007960A8" w14:paraId="18721941" w14:textId="77777777">
        <w:tc>
          <w:tcPr>
            <w:tcW w:w="9006" w:type="dxa"/>
            <w:tcBorders>
              <w:top w:val="single" w:sz="4" w:space="0" w:color="000000"/>
              <w:left w:val="single" w:sz="4" w:space="0" w:color="000000"/>
              <w:bottom w:val="single" w:sz="4" w:space="0" w:color="000000"/>
              <w:right w:val="single" w:sz="4" w:space="0" w:color="000000"/>
            </w:tcBorders>
          </w:tcPr>
          <w:p w14:paraId="58C85502" w14:textId="77777777" w:rsidR="007960A8" w:rsidRDefault="00A26397">
            <w:pPr>
              <w:widowControl/>
              <w:spacing w:after="160" w:line="259" w:lineRule="auto"/>
            </w:pPr>
            <w:r>
              <w:t>S</w:t>
            </w:r>
            <w:r>
              <w:t>cope 2                                                                                                XX</w:t>
            </w:r>
          </w:p>
        </w:tc>
      </w:tr>
      <w:tr w:rsidR="007960A8" w14:paraId="5D7DA137" w14:textId="77777777">
        <w:tc>
          <w:tcPr>
            <w:tcW w:w="9006" w:type="dxa"/>
            <w:tcBorders>
              <w:top w:val="single" w:sz="4" w:space="0" w:color="000000"/>
              <w:left w:val="single" w:sz="4" w:space="0" w:color="000000"/>
              <w:bottom w:val="single" w:sz="4" w:space="0" w:color="000000"/>
              <w:right w:val="single" w:sz="4" w:space="0" w:color="000000"/>
            </w:tcBorders>
          </w:tcPr>
          <w:p w14:paraId="6C3F8FD4" w14:textId="77777777" w:rsidR="007960A8" w:rsidRDefault="00A26397">
            <w:pPr>
              <w:widowControl/>
              <w:spacing w:after="160" w:line="259" w:lineRule="auto"/>
            </w:pPr>
            <w:r>
              <w:t>Scope 3 (including sources)                                                                 XX</w:t>
            </w:r>
          </w:p>
        </w:tc>
      </w:tr>
      <w:tr w:rsidR="007960A8" w14:paraId="59E28C68" w14:textId="77777777">
        <w:tc>
          <w:tcPr>
            <w:tcW w:w="9006" w:type="dxa"/>
            <w:tcBorders>
              <w:top w:val="single" w:sz="4" w:space="0" w:color="000000"/>
              <w:left w:val="single" w:sz="4" w:space="0" w:color="000000"/>
              <w:bottom w:val="single" w:sz="4" w:space="0" w:color="000000"/>
              <w:right w:val="single" w:sz="4" w:space="0" w:color="000000"/>
            </w:tcBorders>
          </w:tcPr>
          <w:p w14:paraId="379E95B8" w14:textId="77777777" w:rsidR="007960A8" w:rsidRDefault="00A26397">
            <w:pPr>
              <w:widowControl/>
              <w:spacing w:after="160" w:line="259" w:lineRule="auto"/>
            </w:pPr>
            <w:r>
              <w:t>Total emissions                                                                                     XX</w:t>
            </w:r>
          </w:p>
        </w:tc>
      </w:tr>
    </w:tbl>
    <w:p w14:paraId="63316671" w14:textId="77777777" w:rsidR="007960A8" w:rsidRDefault="007960A8">
      <w:pPr>
        <w:widowControl/>
        <w:spacing w:after="160" w:line="259" w:lineRule="auto"/>
      </w:pPr>
    </w:p>
    <w:p w14:paraId="7933F622" w14:textId="77777777" w:rsidR="007960A8" w:rsidRDefault="00A26397">
      <w:pPr>
        <w:widowControl/>
        <w:spacing w:after="160" w:line="259" w:lineRule="auto"/>
        <w:rPr>
          <w:b/>
          <w:bCs/>
        </w:rPr>
      </w:pPr>
      <w:r>
        <w:rPr>
          <w:b/>
          <w:bCs/>
        </w:rPr>
        <w:t>Current emissions reporting</w:t>
      </w:r>
    </w:p>
    <w:tbl>
      <w:tblPr>
        <w:tblStyle w:val="a1"/>
        <w:tblW w:w="900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6"/>
      </w:tblGrid>
      <w:tr w:rsidR="007960A8" w14:paraId="2DFD165F" w14:textId="77777777">
        <w:tc>
          <w:tcPr>
            <w:tcW w:w="9006" w:type="dxa"/>
            <w:tcBorders>
              <w:top w:val="single" w:sz="4" w:space="0" w:color="000000"/>
              <w:left w:val="single" w:sz="4" w:space="0" w:color="000000"/>
              <w:bottom w:val="single" w:sz="4" w:space="0" w:color="000000"/>
              <w:right w:val="single" w:sz="4" w:space="0" w:color="000000"/>
            </w:tcBorders>
          </w:tcPr>
          <w:p w14:paraId="59766492" w14:textId="77777777" w:rsidR="007960A8" w:rsidRDefault="00A26397">
            <w:pPr>
              <w:widowControl/>
              <w:spacing w:after="160" w:line="259" w:lineRule="auto"/>
            </w:pPr>
            <w:r>
              <w:t>Reporting Year: 20XX</w:t>
            </w:r>
          </w:p>
        </w:tc>
      </w:tr>
      <w:tr w:rsidR="007960A8" w14:paraId="57E1B599" w14:textId="77777777">
        <w:tc>
          <w:tcPr>
            <w:tcW w:w="9006" w:type="dxa"/>
            <w:tcBorders>
              <w:top w:val="single" w:sz="4" w:space="0" w:color="000000"/>
              <w:left w:val="single" w:sz="4" w:space="0" w:color="000000"/>
              <w:bottom w:val="single" w:sz="4" w:space="0" w:color="000000"/>
              <w:right w:val="single" w:sz="4" w:space="0" w:color="000000"/>
            </w:tcBorders>
          </w:tcPr>
          <w:p w14:paraId="6150127A" w14:textId="77777777" w:rsidR="007960A8" w:rsidRDefault="00A26397">
            <w:pPr>
              <w:widowControl/>
              <w:spacing w:after="160" w:line="259" w:lineRule="auto"/>
            </w:pPr>
            <w:r>
              <w:t>Additional details relating to the baseline emissions calculations:</w:t>
            </w:r>
          </w:p>
        </w:tc>
      </w:tr>
      <w:tr w:rsidR="007960A8" w14:paraId="785E1C49" w14:textId="77777777">
        <w:tc>
          <w:tcPr>
            <w:tcW w:w="9006" w:type="dxa"/>
            <w:tcBorders>
              <w:top w:val="single" w:sz="4" w:space="0" w:color="000000"/>
              <w:left w:val="single" w:sz="4" w:space="0" w:color="000000"/>
              <w:bottom w:val="single" w:sz="4" w:space="0" w:color="000000"/>
              <w:right w:val="single" w:sz="4" w:space="0" w:color="000000"/>
            </w:tcBorders>
          </w:tcPr>
          <w:p w14:paraId="0900A246" w14:textId="77777777" w:rsidR="007960A8" w:rsidRDefault="00A26397">
            <w:pPr>
              <w:widowControl/>
              <w:spacing w:after="160" w:line="259" w:lineRule="auto"/>
            </w:pPr>
            <w:r>
              <w:t>Emissions                                                                                           Total (tCo2e)</w:t>
            </w:r>
          </w:p>
        </w:tc>
      </w:tr>
      <w:tr w:rsidR="007960A8" w14:paraId="60A05BD0" w14:textId="77777777">
        <w:tc>
          <w:tcPr>
            <w:tcW w:w="9006" w:type="dxa"/>
            <w:tcBorders>
              <w:top w:val="single" w:sz="4" w:space="0" w:color="000000"/>
              <w:left w:val="single" w:sz="4" w:space="0" w:color="000000"/>
              <w:bottom w:val="single" w:sz="4" w:space="0" w:color="000000"/>
              <w:right w:val="single" w:sz="4" w:space="0" w:color="000000"/>
            </w:tcBorders>
          </w:tcPr>
          <w:p w14:paraId="4D7019F3" w14:textId="77777777" w:rsidR="007960A8" w:rsidRDefault="00A26397">
            <w:pPr>
              <w:widowControl/>
              <w:spacing w:after="160" w:line="259" w:lineRule="auto"/>
            </w:pPr>
            <w:r>
              <w:t>Scope 1                                                                                                XX</w:t>
            </w:r>
          </w:p>
        </w:tc>
      </w:tr>
      <w:tr w:rsidR="007960A8" w14:paraId="2ACE8F7E" w14:textId="77777777">
        <w:tc>
          <w:tcPr>
            <w:tcW w:w="9006" w:type="dxa"/>
            <w:tcBorders>
              <w:top w:val="single" w:sz="4" w:space="0" w:color="000000"/>
              <w:left w:val="single" w:sz="4" w:space="0" w:color="000000"/>
              <w:bottom w:val="single" w:sz="4" w:space="0" w:color="000000"/>
              <w:right w:val="single" w:sz="4" w:space="0" w:color="000000"/>
            </w:tcBorders>
          </w:tcPr>
          <w:p w14:paraId="02EF20EB" w14:textId="77777777" w:rsidR="007960A8" w:rsidRDefault="00A26397">
            <w:pPr>
              <w:widowControl/>
              <w:spacing w:after="160" w:line="259" w:lineRule="auto"/>
            </w:pPr>
            <w:r>
              <w:t>Scope 2                                                                                                XX</w:t>
            </w:r>
          </w:p>
        </w:tc>
      </w:tr>
      <w:tr w:rsidR="007960A8" w14:paraId="78768279" w14:textId="77777777">
        <w:tc>
          <w:tcPr>
            <w:tcW w:w="9006" w:type="dxa"/>
            <w:tcBorders>
              <w:top w:val="single" w:sz="4" w:space="0" w:color="000000"/>
              <w:left w:val="single" w:sz="4" w:space="0" w:color="000000"/>
              <w:bottom w:val="single" w:sz="4" w:space="0" w:color="000000"/>
              <w:right w:val="single" w:sz="4" w:space="0" w:color="000000"/>
            </w:tcBorders>
          </w:tcPr>
          <w:p w14:paraId="5163B07D" w14:textId="77777777" w:rsidR="007960A8" w:rsidRDefault="00A26397">
            <w:pPr>
              <w:widowControl/>
              <w:spacing w:after="160" w:line="259" w:lineRule="auto"/>
            </w:pPr>
            <w:r>
              <w:t xml:space="preserve">Scope 3 (including sources)               </w:t>
            </w:r>
            <w:r>
              <w:t xml:space="preserve">                                                  XX</w:t>
            </w:r>
          </w:p>
        </w:tc>
      </w:tr>
      <w:tr w:rsidR="007960A8" w14:paraId="25D61E3F" w14:textId="77777777">
        <w:tc>
          <w:tcPr>
            <w:tcW w:w="9006" w:type="dxa"/>
            <w:tcBorders>
              <w:top w:val="single" w:sz="4" w:space="0" w:color="000000"/>
              <w:left w:val="single" w:sz="4" w:space="0" w:color="000000"/>
              <w:bottom w:val="single" w:sz="4" w:space="0" w:color="000000"/>
              <w:right w:val="single" w:sz="4" w:space="0" w:color="000000"/>
            </w:tcBorders>
          </w:tcPr>
          <w:p w14:paraId="75785EB4" w14:textId="77777777" w:rsidR="007960A8" w:rsidRDefault="00A26397">
            <w:pPr>
              <w:widowControl/>
              <w:spacing w:after="160" w:line="259" w:lineRule="auto"/>
            </w:pPr>
            <w:r>
              <w:t>Total emissions                                                                                     XX</w:t>
            </w:r>
          </w:p>
        </w:tc>
      </w:tr>
    </w:tbl>
    <w:p w14:paraId="22531E4C" w14:textId="77777777" w:rsidR="007960A8" w:rsidRDefault="007960A8">
      <w:pPr>
        <w:widowControl/>
        <w:spacing w:after="160" w:line="259" w:lineRule="auto"/>
        <w:rPr>
          <w:b/>
          <w:bCs/>
        </w:rPr>
      </w:pPr>
    </w:p>
    <w:p w14:paraId="69BE010E" w14:textId="77777777" w:rsidR="007960A8" w:rsidRDefault="00A26397">
      <w:pPr>
        <w:widowControl/>
        <w:spacing w:after="160" w:line="259" w:lineRule="auto"/>
        <w:rPr>
          <w:b/>
          <w:bCs/>
        </w:rPr>
      </w:pPr>
      <w:r>
        <w:rPr>
          <w:b/>
          <w:bCs/>
        </w:rPr>
        <w:t xml:space="preserve">Emissions reduction targets </w:t>
      </w:r>
    </w:p>
    <w:p w14:paraId="393B5FCF" w14:textId="77777777" w:rsidR="007960A8" w:rsidRDefault="00A26397">
      <w:pPr>
        <w:widowControl/>
        <w:spacing w:after="160" w:line="259" w:lineRule="auto"/>
      </w:pPr>
      <w:r>
        <w:t>In order to continue our progress to achieving net zero, we have ado</w:t>
      </w:r>
      <w:r>
        <w:t>pted the following carbon reduction targets.</w:t>
      </w:r>
    </w:p>
    <w:p w14:paraId="35D76D5A" w14:textId="77777777" w:rsidR="007960A8" w:rsidRDefault="00A26397">
      <w:pPr>
        <w:widowControl/>
        <w:spacing w:after="160" w:line="259" w:lineRule="auto"/>
      </w:pPr>
      <w:r>
        <w:t>We project that carbon emissions will decrease over the next five years to XX tCO2e by 20XX. This is a reduction of XX%.</w:t>
      </w:r>
    </w:p>
    <w:p w14:paraId="248AF7C7" w14:textId="77777777" w:rsidR="007960A8" w:rsidRDefault="00A26397">
      <w:pPr>
        <w:widowControl/>
        <w:spacing w:after="160" w:line="259" w:lineRule="auto"/>
        <w:rPr>
          <w:b/>
          <w:bCs/>
        </w:rPr>
      </w:pPr>
      <w:r>
        <w:rPr>
          <w:b/>
          <w:bCs/>
        </w:rPr>
        <w:t>Carbon Reduction Projects</w:t>
      </w:r>
    </w:p>
    <w:p w14:paraId="02505E38" w14:textId="77777777" w:rsidR="007960A8" w:rsidRDefault="00A26397">
      <w:pPr>
        <w:widowControl/>
        <w:spacing w:after="160" w:line="259" w:lineRule="auto"/>
        <w:rPr>
          <w:b/>
          <w:bCs/>
        </w:rPr>
      </w:pPr>
      <w:r>
        <w:rPr>
          <w:b/>
          <w:bCs/>
        </w:rPr>
        <w:t>Completed carbon reduction initiatives</w:t>
      </w:r>
    </w:p>
    <w:p w14:paraId="603B4469" w14:textId="77777777" w:rsidR="007960A8" w:rsidRDefault="00A26397">
      <w:pPr>
        <w:widowControl/>
        <w:spacing w:after="160" w:line="259" w:lineRule="auto"/>
      </w:pPr>
      <w:r>
        <w:t>The following environment</w:t>
      </w:r>
      <w:r>
        <w:t>al management measures and projects have been completed or implemented since the 20XX baseline. The carbon emission reduction achieved by these schemes equate to XX tCO2e, a XX% reduction against the 20XX baseline and the measures will be in effect when pe</w:t>
      </w:r>
      <w:r>
        <w:t>rforming the contract.</w:t>
      </w:r>
    </w:p>
    <w:p w14:paraId="5CBC6795" w14:textId="77777777" w:rsidR="007960A8" w:rsidRDefault="00A26397">
      <w:pPr>
        <w:widowControl/>
        <w:spacing w:after="160" w:line="259" w:lineRule="auto"/>
      </w:pPr>
      <w:r>
        <w:t>[Enter details]</w:t>
      </w:r>
    </w:p>
    <w:p w14:paraId="42DE9E23" w14:textId="77777777" w:rsidR="007960A8" w:rsidRDefault="00A26397">
      <w:pPr>
        <w:widowControl/>
        <w:spacing w:after="160" w:line="259" w:lineRule="auto"/>
        <w:rPr>
          <w:b/>
          <w:bCs/>
        </w:rPr>
      </w:pPr>
      <w:r>
        <w:rPr>
          <w:b/>
          <w:bCs/>
        </w:rPr>
        <w:t>Future Carbon reduction initiatives</w:t>
      </w:r>
    </w:p>
    <w:p w14:paraId="71658AD7" w14:textId="77777777" w:rsidR="007960A8" w:rsidRDefault="00A26397">
      <w:pPr>
        <w:widowControl/>
        <w:spacing w:after="160" w:line="259" w:lineRule="auto"/>
      </w:pPr>
      <w:r>
        <w:t xml:space="preserve">In the future we hope to implement further measures such as: </w:t>
      </w:r>
    </w:p>
    <w:p w14:paraId="5F8C4A0C" w14:textId="77777777" w:rsidR="007960A8" w:rsidRDefault="00A26397">
      <w:pPr>
        <w:widowControl/>
        <w:spacing w:after="160" w:line="259" w:lineRule="auto"/>
        <w:rPr>
          <w:b/>
          <w:bCs/>
        </w:rPr>
      </w:pPr>
      <w:r>
        <w:t>[Enter details]</w:t>
      </w:r>
    </w:p>
    <w:p w14:paraId="24019696" w14:textId="77777777" w:rsidR="007960A8" w:rsidRDefault="00A26397">
      <w:pPr>
        <w:widowControl/>
        <w:spacing w:after="160" w:line="259" w:lineRule="auto"/>
        <w:rPr>
          <w:b/>
          <w:bCs/>
        </w:rPr>
      </w:pPr>
      <w:r>
        <w:rPr>
          <w:b/>
          <w:bCs/>
        </w:rPr>
        <w:t>Declaration and sign off</w:t>
      </w:r>
    </w:p>
    <w:p w14:paraId="6BFAC55E" w14:textId="77777777" w:rsidR="007960A8" w:rsidRDefault="00A26397">
      <w:pPr>
        <w:widowControl/>
        <w:spacing w:after="160" w:line="259" w:lineRule="auto"/>
      </w:pPr>
      <w:r>
        <w:t xml:space="preserve">This Carbon Reduction Plan has been completed in accordance with PPN 006 and associated guidance and reporting standard for Carbon Reduction Plans. </w:t>
      </w:r>
    </w:p>
    <w:p w14:paraId="0E728EED" w14:textId="77777777" w:rsidR="007960A8" w:rsidRDefault="00A26397">
      <w:pPr>
        <w:widowControl/>
        <w:spacing w:after="160" w:line="259" w:lineRule="auto"/>
      </w:pPr>
      <w:r>
        <w:t>Emissions have been reported and recorded in accordance with the published reporting standard for Carbon Re</w:t>
      </w:r>
      <w:r>
        <w:t xml:space="preserve">duction Plans and the GHG Reporting Protocol corporate standard and uses the appropriate government emission conversion factors for greenhouse gas company reporting. </w:t>
      </w:r>
    </w:p>
    <w:p w14:paraId="5BE1E39A" w14:textId="77777777" w:rsidR="007960A8" w:rsidRDefault="00A26397">
      <w:pPr>
        <w:widowControl/>
        <w:spacing w:after="160" w:line="259" w:lineRule="auto"/>
      </w:pPr>
      <w:r>
        <w:t>Scope 1 and Scope 2 emissions have been reported in accordance with SECR requirements (wh</w:t>
      </w:r>
      <w:r>
        <w:t>ere required), and the required subset of Scope 3 emissions have been reported in accordance with the published reporting standard for Carbon Reduction Plans and the Corporate Value Chain (Scope 3) Standard.</w:t>
      </w:r>
    </w:p>
    <w:p w14:paraId="03E56C0E" w14:textId="77777777" w:rsidR="007960A8" w:rsidRDefault="00A26397">
      <w:pPr>
        <w:widowControl/>
        <w:spacing w:after="160" w:line="259" w:lineRule="auto"/>
      </w:pPr>
      <w:r>
        <w:t>This Carbon Reduction Plan has been reviewed and</w:t>
      </w:r>
      <w:r>
        <w:t xml:space="preserve"> signed off by the board of directors (or equivalent management body).</w:t>
      </w:r>
    </w:p>
    <w:p w14:paraId="136F1826" w14:textId="77777777" w:rsidR="007960A8" w:rsidRDefault="00A26397">
      <w:pPr>
        <w:widowControl/>
        <w:spacing w:after="160" w:line="259" w:lineRule="auto"/>
        <w:rPr>
          <w:b/>
          <w:bCs/>
        </w:rPr>
      </w:pPr>
      <w:r>
        <w:rPr>
          <w:b/>
          <w:bCs/>
        </w:rPr>
        <w:t xml:space="preserve">Signed on behalf of the </w:t>
      </w:r>
      <w:r>
        <w:rPr>
          <w:b/>
          <w:bCs/>
          <w:i/>
          <w:iCs/>
        </w:rPr>
        <w:t>Service Provider</w:t>
      </w:r>
      <w:r>
        <w:rPr>
          <w:b/>
          <w:bCs/>
        </w:rPr>
        <w:t xml:space="preserve">: </w:t>
      </w:r>
    </w:p>
    <w:p w14:paraId="27FE3316" w14:textId="77777777" w:rsidR="007960A8" w:rsidRDefault="007960A8">
      <w:pPr>
        <w:widowControl/>
        <w:spacing w:after="160" w:line="259" w:lineRule="auto"/>
      </w:pPr>
    </w:p>
    <w:p w14:paraId="5DFA9F31" w14:textId="77777777" w:rsidR="007960A8" w:rsidRDefault="00A26397">
      <w:pPr>
        <w:widowControl/>
        <w:spacing w:after="160" w:line="259" w:lineRule="auto"/>
      </w:pPr>
      <w:r>
        <w:t xml:space="preserve">…………………………………………………………………. </w:t>
      </w:r>
    </w:p>
    <w:p w14:paraId="72BA1096" w14:textId="77777777" w:rsidR="007960A8" w:rsidRDefault="00A26397">
      <w:pPr>
        <w:widowControl/>
        <w:spacing w:after="160" w:line="259" w:lineRule="auto"/>
      </w:pPr>
      <w:r>
        <w:t>Date: ……………………….……….</w:t>
      </w:r>
    </w:p>
    <w:p w14:paraId="671B3902" w14:textId="77777777" w:rsidR="007960A8" w:rsidRDefault="00A26397">
      <w:pPr>
        <w:widowControl/>
        <w:spacing w:after="160" w:line="259" w:lineRule="auto"/>
      </w:pPr>
      <w:r>
        <w:t>Table 2: GHG Emissions Reduction Plan</w:t>
      </w:r>
    </w:p>
    <w:tbl>
      <w:tblPr>
        <w:tblStyle w:val="a2"/>
        <w:tblW w:w="900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2"/>
        <w:gridCol w:w="1495"/>
        <w:gridCol w:w="1504"/>
        <w:gridCol w:w="1505"/>
        <w:gridCol w:w="1505"/>
        <w:gridCol w:w="1505"/>
      </w:tblGrid>
      <w:tr w:rsidR="007960A8" w14:paraId="506E4C67" w14:textId="77777777">
        <w:tc>
          <w:tcPr>
            <w:tcW w:w="1492" w:type="dxa"/>
            <w:tcBorders>
              <w:top w:val="single" w:sz="4" w:space="0" w:color="000000"/>
              <w:left w:val="single" w:sz="4" w:space="0" w:color="000000"/>
              <w:bottom w:val="single" w:sz="4" w:space="0" w:color="000000"/>
              <w:right w:val="single" w:sz="4" w:space="0" w:color="000000"/>
            </w:tcBorders>
          </w:tcPr>
          <w:p w14:paraId="1A66FEEF" w14:textId="77777777" w:rsidR="007960A8" w:rsidRDefault="00A26397">
            <w:pPr>
              <w:widowControl/>
              <w:spacing w:after="160" w:line="259" w:lineRule="auto"/>
            </w:pPr>
            <w:r>
              <w:t>GHG Hotspot</w:t>
            </w:r>
          </w:p>
        </w:tc>
        <w:tc>
          <w:tcPr>
            <w:tcW w:w="1495" w:type="dxa"/>
            <w:tcBorders>
              <w:top w:val="single" w:sz="4" w:space="0" w:color="000000"/>
              <w:left w:val="single" w:sz="4" w:space="0" w:color="000000"/>
              <w:bottom w:val="single" w:sz="4" w:space="0" w:color="000000"/>
              <w:right w:val="single" w:sz="4" w:space="0" w:color="000000"/>
            </w:tcBorders>
          </w:tcPr>
          <w:p w14:paraId="7C4EDE4D" w14:textId="77777777" w:rsidR="007960A8" w:rsidRDefault="00A26397">
            <w:pPr>
              <w:widowControl/>
              <w:spacing w:after="160" w:line="259" w:lineRule="auto"/>
            </w:pPr>
            <w:r>
              <w:t>Contract Year</w:t>
            </w:r>
          </w:p>
        </w:tc>
        <w:tc>
          <w:tcPr>
            <w:tcW w:w="1504" w:type="dxa"/>
            <w:tcBorders>
              <w:top w:val="single" w:sz="4" w:space="0" w:color="000000"/>
              <w:left w:val="single" w:sz="4" w:space="0" w:color="000000"/>
              <w:bottom w:val="single" w:sz="4" w:space="0" w:color="000000"/>
              <w:right w:val="single" w:sz="4" w:space="0" w:color="000000"/>
            </w:tcBorders>
          </w:tcPr>
          <w:p w14:paraId="78B33B1D" w14:textId="77777777" w:rsidR="007960A8" w:rsidRDefault="00A26397">
            <w:pPr>
              <w:widowControl/>
              <w:spacing w:after="160" w:line="259" w:lineRule="auto"/>
            </w:pPr>
            <w:r>
              <w:t>Estimated Emissions</w:t>
            </w:r>
          </w:p>
        </w:tc>
        <w:tc>
          <w:tcPr>
            <w:tcW w:w="1505" w:type="dxa"/>
            <w:tcBorders>
              <w:top w:val="single" w:sz="4" w:space="0" w:color="000000"/>
              <w:left w:val="single" w:sz="4" w:space="0" w:color="000000"/>
              <w:bottom w:val="single" w:sz="4" w:space="0" w:color="000000"/>
              <w:right w:val="single" w:sz="4" w:space="0" w:color="000000"/>
            </w:tcBorders>
          </w:tcPr>
          <w:p w14:paraId="0EEFAD37" w14:textId="77777777" w:rsidR="007960A8" w:rsidRDefault="00A26397">
            <w:pPr>
              <w:widowControl/>
              <w:spacing w:after="160" w:line="259" w:lineRule="auto"/>
            </w:pPr>
            <w:r>
              <w:t>Actual E</w:t>
            </w:r>
            <w:r>
              <w:t>missions</w:t>
            </w:r>
          </w:p>
        </w:tc>
        <w:tc>
          <w:tcPr>
            <w:tcW w:w="1505" w:type="dxa"/>
            <w:tcBorders>
              <w:top w:val="single" w:sz="4" w:space="0" w:color="000000"/>
              <w:left w:val="single" w:sz="4" w:space="0" w:color="000000"/>
              <w:bottom w:val="single" w:sz="4" w:space="0" w:color="000000"/>
              <w:right w:val="single" w:sz="4" w:space="0" w:color="000000"/>
            </w:tcBorders>
          </w:tcPr>
          <w:p w14:paraId="1BD4DD31" w14:textId="77777777" w:rsidR="007960A8" w:rsidRDefault="00A26397">
            <w:pPr>
              <w:widowControl/>
              <w:spacing w:after="160" w:line="259" w:lineRule="auto"/>
            </w:pPr>
            <w:r>
              <w:t>Emissions Reduction Target (ERT) (%)</w:t>
            </w:r>
          </w:p>
        </w:tc>
        <w:tc>
          <w:tcPr>
            <w:tcW w:w="1505" w:type="dxa"/>
            <w:tcBorders>
              <w:top w:val="single" w:sz="4" w:space="0" w:color="000000"/>
              <w:left w:val="single" w:sz="4" w:space="0" w:color="000000"/>
              <w:bottom w:val="single" w:sz="4" w:space="0" w:color="000000"/>
              <w:right w:val="single" w:sz="4" w:space="0" w:color="000000"/>
            </w:tcBorders>
          </w:tcPr>
          <w:p w14:paraId="50365BD8" w14:textId="77777777" w:rsidR="007960A8" w:rsidRDefault="00A26397">
            <w:pPr>
              <w:widowControl/>
              <w:spacing w:after="160" w:line="259" w:lineRule="auto"/>
            </w:pPr>
            <w:r>
              <w:t>Actual Reduction (%)</w:t>
            </w:r>
          </w:p>
        </w:tc>
      </w:tr>
      <w:tr w:rsidR="007960A8" w14:paraId="39A756A8" w14:textId="77777777">
        <w:tc>
          <w:tcPr>
            <w:tcW w:w="1492" w:type="dxa"/>
            <w:tcBorders>
              <w:top w:val="single" w:sz="4" w:space="0" w:color="000000"/>
              <w:left w:val="single" w:sz="4" w:space="0" w:color="000000"/>
              <w:bottom w:val="single" w:sz="4" w:space="0" w:color="000000"/>
              <w:right w:val="single" w:sz="4" w:space="0" w:color="000000"/>
            </w:tcBorders>
          </w:tcPr>
          <w:p w14:paraId="3275EA94" w14:textId="77777777" w:rsidR="007960A8" w:rsidRDefault="007960A8">
            <w:pPr>
              <w:widowControl/>
              <w:spacing w:after="160" w:line="259" w:lineRule="auto"/>
            </w:pPr>
          </w:p>
        </w:tc>
        <w:tc>
          <w:tcPr>
            <w:tcW w:w="1495" w:type="dxa"/>
            <w:tcBorders>
              <w:top w:val="single" w:sz="4" w:space="0" w:color="000000"/>
              <w:left w:val="single" w:sz="4" w:space="0" w:color="000000"/>
              <w:bottom w:val="single" w:sz="4" w:space="0" w:color="000000"/>
              <w:right w:val="single" w:sz="4" w:space="0" w:color="000000"/>
            </w:tcBorders>
          </w:tcPr>
          <w:p w14:paraId="70B4FD77" w14:textId="77777777" w:rsidR="007960A8" w:rsidRDefault="007960A8">
            <w:pPr>
              <w:widowControl/>
              <w:spacing w:after="160" w:line="259" w:lineRule="auto"/>
            </w:pPr>
          </w:p>
        </w:tc>
        <w:tc>
          <w:tcPr>
            <w:tcW w:w="1504" w:type="dxa"/>
            <w:tcBorders>
              <w:top w:val="single" w:sz="4" w:space="0" w:color="000000"/>
              <w:left w:val="single" w:sz="4" w:space="0" w:color="000000"/>
              <w:bottom w:val="single" w:sz="4" w:space="0" w:color="000000"/>
              <w:right w:val="single" w:sz="4" w:space="0" w:color="000000"/>
            </w:tcBorders>
          </w:tcPr>
          <w:p w14:paraId="6A6CA5EE"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65268449"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11ADC2C8"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52163976" w14:textId="77777777" w:rsidR="007960A8" w:rsidRDefault="007960A8">
            <w:pPr>
              <w:widowControl/>
              <w:spacing w:after="160" w:line="259" w:lineRule="auto"/>
            </w:pPr>
          </w:p>
        </w:tc>
      </w:tr>
      <w:tr w:rsidR="007960A8" w14:paraId="2B9707A6" w14:textId="77777777">
        <w:tc>
          <w:tcPr>
            <w:tcW w:w="1492" w:type="dxa"/>
            <w:tcBorders>
              <w:top w:val="single" w:sz="4" w:space="0" w:color="000000"/>
              <w:left w:val="single" w:sz="4" w:space="0" w:color="000000"/>
              <w:bottom w:val="single" w:sz="4" w:space="0" w:color="000000"/>
              <w:right w:val="single" w:sz="4" w:space="0" w:color="000000"/>
            </w:tcBorders>
          </w:tcPr>
          <w:p w14:paraId="63B44F5C" w14:textId="77777777" w:rsidR="007960A8" w:rsidRDefault="007960A8">
            <w:pPr>
              <w:widowControl/>
              <w:spacing w:after="160" w:line="259" w:lineRule="auto"/>
            </w:pPr>
          </w:p>
        </w:tc>
        <w:tc>
          <w:tcPr>
            <w:tcW w:w="1495" w:type="dxa"/>
            <w:tcBorders>
              <w:top w:val="single" w:sz="4" w:space="0" w:color="000000"/>
              <w:left w:val="single" w:sz="4" w:space="0" w:color="000000"/>
              <w:bottom w:val="single" w:sz="4" w:space="0" w:color="000000"/>
              <w:right w:val="single" w:sz="4" w:space="0" w:color="000000"/>
            </w:tcBorders>
          </w:tcPr>
          <w:p w14:paraId="17555E95" w14:textId="77777777" w:rsidR="007960A8" w:rsidRDefault="007960A8">
            <w:pPr>
              <w:widowControl/>
              <w:spacing w:after="160" w:line="259" w:lineRule="auto"/>
            </w:pPr>
          </w:p>
        </w:tc>
        <w:tc>
          <w:tcPr>
            <w:tcW w:w="1504" w:type="dxa"/>
            <w:tcBorders>
              <w:top w:val="single" w:sz="4" w:space="0" w:color="000000"/>
              <w:left w:val="single" w:sz="4" w:space="0" w:color="000000"/>
              <w:bottom w:val="single" w:sz="4" w:space="0" w:color="000000"/>
              <w:right w:val="single" w:sz="4" w:space="0" w:color="000000"/>
            </w:tcBorders>
          </w:tcPr>
          <w:p w14:paraId="411A2BA8"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2409A858"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218C096B"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1452125C" w14:textId="77777777" w:rsidR="007960A8" w:rsidRDefault="007960A8">
            <w:pPr>
              <w:widowControl/>
              <w:spacing w:after="160" w:line="259" w:lineRule="auto"/>
            </w:pPr>
          </w:p>
        </w:tc>
      </w:tr>
      <w:tr w:rsidR="007960A8" w14:paraId="7E8275EF" w14:textId="77777777">
        <w:tc>
          <w:tcPr>
            <w:tcW w:w="1492" w:type="dxa"/>
            <w:tcBorders>
              <w:top w:val="single" w:sz="4" w:space="0" w:color="000000"/>
              <w:left w:val="single" w:sz="4" w:space="0" w:color="000000"/>
              <w:bottom w:val="single" w:sz="4" w:space="0" w:color="000000"/>
              <w:right w:val="single" w:sz="4" w:space="0" w:color="000000"/>
            </w:tcBorders>
          </w:tcPr>
          <w:p w14:paraId="5C0D35EF" w14:textId="77777777" w:rsidR="007960A8" w:rsidRDefault="007960A8">
            <w:pPr>
              <w:widowControl/>
              <w:spacing w:after="160" w:line="259" w:lineRule="auto"/>
            </w:pPr>
          </w:p>
        </w:tc>
        <w:tc>
          <w:tcPr>
            <w:tcW w:w="1495" w:type="dxa"/>
            <w:tcBorders>
              <w:top w:val="single" w:sz="4" w:space="0" w:color="000000"/>
              <w:left w:val="single" w:sz="4" w:space="0" w:color="000000"/>
              <w:bottom w:val="single" w:sz="4" w:space="0" w:color="000000"/>
              <w:right w:val="single" w:sz="4" w:space="0" w:color="000000"/>
            </w:tcBorders>
          </w:tcPr>
          <w:p w14:paraId="01DAE85F" w14:textId="77777777" w:rsidR="007960A8" w:rsidRDefault="007960A8">
            <w:pPr>
              <w:widowControl/>
              <w:spacing w:after="160" w:line="259" w:lineRule="auto"/>
            </w:pPr>
          </w:p>
        </w:tc>
        <w:tc>
          <w:tcPr>
            <w:tcW w:w="1504" w:type="dxa"/>
            <w:tcBorders>
              <w:top w:val="single" w:sz="4" w:space="0" w:color="000000"/>
              <w:left w:val="single" w:sz="4" w:space="0" w:color="000000"/>
              <w:bottom w:val="single" w:sz="4" w:space="0" w:color="000000"/>
              <w:right w:val="single" w:sz="4" w:space="0" w:color="000000"/>
            </w:tcBorders>
          </w:tcPr>
          <w:p w14:paraId="4611301F"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1C6FE42B"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0B90F401"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52ED8E8C" w14:textId="77777777" w:rsidR="007960A8" w:rsidRDefault="007960A8">
            <w:pPr>
              <w:widowControl/>
              <w:spacing w:after="160" w:line="259" w:lineRule="auto"/>
            </w:pPr>
          </w:p>
        </w:tc>
      </w:tr>
      <w:tr w:rsidR="007960A8" w14:paraId="5C6D28B4" w14:textId="77777777">
        <w:tc>
          <w:tcPr>
            <w:tcW w:w="1492" w:type="dxa"/>
            <w:tcBorders>
              <w:top w:val="single" w:sz="4" w:space="0" w:color="000000"/>
              <w:left w:val="single" w:sz="4" w:space="0" w:color="000000"/>
              <w:bottom w:val="single" w:sz="4" w:space="0" w:color="000000"/>
              <w:right w:val="single" w:sz="4" w:space="0" w:color="000000"/>
            </w:tcBorders>
          </w:tcPr>
          <w:p w14:paraId="6DF3534C" w14:textId="77777777" w:rsidR="007960A8" w:rsidRDefault="007960A8">
            <w:pPr>
              <w:widowControl/>
              <w:spacing w:after="160" w:line="259" w:lineRule="auto"/>
            </w:pPr>
          </w:p>
        </w:tc>
        <w:tc>
          <w:tcPr>
            <w:tcW w:w="1495" w:type="dxa"/>
            <w:tcBorders>
              <w:top w:val="single" w:sz="4" w:space="0" w:color="000000"/>
              <w:left w:val="single" w:sz="4" w:space="0" w:color="000000"/>
              <w:bottom w:val="single" w:sz="4" w:space="0" w:color="000000"/>
              <w:right w:val="single" w:sz="4" w:space="0" w:color="000000"/>
            </w:tcBorders>
          </w:tcPr>
          <w:p w14:paraId="2ACF8605" w14:textId="77777777" w:rsidR="007960A8" w:rsidRDefault="007960A8">
            <w:pPr>
              <w:widowControl/>
              <w:spacing w:after="160" w:line="259" w:lineRule="auto"/>
            </w:pPr>
          </w:p>
        </w:tc>
        <w:tc>
          <w:tcPr>
            <w:tcW w:w="1504" w:type="dxa"/>
            <w:tcBorders>
              <w:top w:val="single" w:sz="4" w:space="0" w:color="000000"/>
              <w:left w:val="single" w:sz="4" w:space="0" w:color="000000"/>
              <w:bottom w:val="single" w:sz="4" w:space="0" w:color="000000"/>
              <w:right w:val="single" w:sz="4" w:space="0" w:color="000000"/>
            </w:tcBorders>
          </w:tcPr>
          <w:p w14:paraId="76552795"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3BDC810E"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154FCEBB" w14:textId="77777777" w:rsidR="007960A8" w:rsidRDefault="007960A8">
            <w:pPr>
              <w:widowControl/>
              <w:spacing w:after="160" w:line="259" w:lineRule="auto"/>
            </w:pPr>
          </w:p>
        </w:tc>
        <w:tc>
          <w:tcPr>
            <w:tcW w:w="1505" w:type="dxa"/>
            <w:tcBorders>
              <w:top w:val="single" w:sz="4" w:space="0" w:color="000000"/>
              <w:left w:val="single" w:sz="4" w:space="0" w:color="000000"/>
              <w:bottom w:val="single" w:sz="4" w:space="0" w:color="000000"/>
              <w:right w:val="single" w:sz="4" w:space="0" w:color="000000"/>
            </w:tcBorders>
          </w:tcPr>
          <w:p w14:paraId="31BA8AD7" w14:textId="77777777" w:rsidR="007960A8" w:rsidRDefault="007960A8">
            <w:pPr>
              <w:widowControl/>
              <w:spacing w:after="160" w:line="259" w:lineRule="auto"/>
            </w:pPr>
          </w:p>
        </w:tc>
      </w:tr>
    </w:tbl>
    <w:p w14:paraId="62BF6FFC" w14:textId="77777777" w:rsidR="007960A8" w:rsidRDefault="007960A8">
      <w:pPr>
        <w:widowControl/>
        <w:spacing w:after="160" w:line="259" w:lineRule="auto"/>
      </w:pPr>
    </w:p>
    <w:p w14:paraId="6537F448" w14:textId="77777777" w:rsidR="007960A8" w:rsidRDefault="007960A8">
      <w:pPr>
        <w:widowControl/>
        <w:spacing w:after="160" w:line="259" w:lineRule="auto"/>
      </w:pPr>
    </w:p>
    <w:p w14:paraId="2EA350EA" w14:textId="77777777" w:rsidR="007960A8" w:rsidRDefault="007960A8">
      <w:pPr>
        <w:widowControl/>
        <w:spacing w:after="160" w:line="259" w:lineRule="auto"/>
        <w:rPr>
          <w:b/>
          <w:bCs/>
        </w:rPr>
      </w:pPr>
    </w:p>
    <w:p w14:paraId="4A63E3EB" w14:textId="77777777" w:rsidR="007960A8" w:rsidRDefault="00A26397">
      <w:pPr>
        <w:widowControl/>
        <w:spacing w:after="160" w:line="259" w:lineRule="auto"/>
        <w:rPr>
          <w:b/>
          <w:bCs/>
        </w:rPr>
      </w:pPr>
      <w:r>
        <w:br w:type="page"/>
      </w:r>
    </w:p>
    <w:p w14:paraId="752B9013" w14:textId="77777777" w:rsidR="007960A8" w:rsidRDefault="00A26397">
      <w:pPr>
        <w:widowControl/>
        <w:spacing w:after="160" w:line="259" w:lineRule="auto"/>
        <w:rPr>
          <w:b/>
          <w:bCs/>
        </w:rPr>
      </w:pPr>
      <w:r>
        <w:rPr>
          <w:b/>
          <w:bCs/>
        </w:rPr>
        <w:t>Schedule [</w:t>
      </w:r>
      <w:r>
        <w:t>Guidance: insert schedule ref here</w:t>
      </w:r>
      <w:r>
        <w:rPr>
          <w:b/>
          <w:bCs/>
        </w:rPr>
        <w:t xml:space="preserve">] </w:t>
      </w:r>
      <w:r>
        <w:rPr>
          <w:b/>
          <w:bCs/>
          <w:u w:val="single"/>
        </w:rPr>
        <w:t>Payment Spot Checks</w:t>
      </w:r>
    </w:p>
    <w:p w14:paraId="234323B6" w14:textId="77777777" w:rsidR="007960A8" w:rsidRDefault="00A26397">
      <w:pPr>
        <w:widowControl/>
        <w:spacing w:after="160" w:line="259" w:lineRule="auto"/>
      </w:pPr>
      <w:r>
        <w:rPr>
          <w:b/>
          <w:bCs/>
        </w:rPr>
        <w:t>1. Supply chain payment period compliance</w:t>
      </w:r>
    </w:p>
    <w:p w14:paraId="61BDCBDD" w14:textId="77777777" w:rsidR="007960A8" w:rsidRDefault="00A26397">
      <w:pPr>
        <w:widowControl/>
        <w:spacing w:after="160" w:line="259" w:lineRule="auto"/>
        <w:ind w:left="720" w:hanging="720"/>
      </w:pPr>
      <w:r>
        <w:t xml:space="preserve">1.1. </w:t>
      </w:r>
      <w:r>
        <w:tab/>
        <w:t xml:space="preserve">The </w:t>
      </w:r>
      <w:r>
        <w:rPr>
          <w:i/>
          <w:iCs/>
        </w:rPr>
        <w:t>Service Provider</w:t>
      </w:r>
      <w:r>
        <w:t xml:space="preserve"> must on demand provide the </w:t>
      </w:r>
      <w:r>
        <w:rPr>
          <w:i/>
          <w:iCs/>
        </w:rPr>
        <w:t xml:space="preserve">Client </w:t>
      </w:r>
      <w:r>
        <w:t xml:space="preserve">with all co-operation, assistance, documentation and other information that the </w:t>
      </w:r>
      <w:r>
        <w:rPr>
          <w:i/>
          <w:iCs/>
        </w:rPr>
        <w:t xml:space="preserve">Client </w:t>
      </w:r>
      <w:r>
        <w:t xml:space="preserve">may reasonably require to allow it to effectively investigate and assess the </w:t>
      </w:r>
      <w:r>
        <w:rPr>
          <w:i/>
          <w:iCs/>
        </w:rPr>
        <w:t>Service Provider’s</w:t>
      </w:r>
      <w:r>
        <w:t xml:space="preserve"> and/or any Subcontractor’s compliance </w:t>
      </w:r>
      <w:r>
        <w:t>with their respective obligations to pay undisputed invoices within a specified time period.</w:t>
      </w:r>
    </w:p>
    <w:p w14:paraId="4942D9D1" w14:textId="77777777" w:rsidR="007960A8" w:rsidRDefault="00A26397">
      <w:pPr>
        <w:widowControl/>
        <w:spacing w:after="160" w:line="259" w:lineRule="auto"/>
        <w:ind w:left="720" w:hanging="720"/>
      </w:pPr>
      <w:r>
        <w:t xml:space="preserve">1.2. </w:t>
      </w:r>
      <w:r>
        <w:tab/>
        <w:t xml:space="preserve">For Sub-contracts in the </w:t>
      </w:r>
      <w:r>
        <w:rPr>
          <w:i/>
          <w:iCs/>
        </w:rPr>
        <w:t>Service Provider’s</w:t>
      </w:r>
      <w:r>
        <w:t xml:space="preserve"> supply chain which are entered into wholly or substantially for the purpose of performing or contributing to the </w:t>
      </w:r>
      <w:r>
        <w:t>performance of the whole or any part of this Contract:</w:t>
      </w:r>
    </w:p>
    <w:p w14:paraId="24AAFC6C" w14:textId="77777777" w:rsidR="007960A8" w:rsidRDefault="00A26397">
      <w:pPr>
        <w:widowControl/>
        <w:spacing w:after="160" w:line="259" w:lineRule="auto"/>
        <w:ind w:left="1440"/>
      </w:pPr>
      <w:r>
        <w:t xml:space="preserve">i. after the Effective Date, the </w:t>
      </w:r>
      <w:r>
        <w:rPr>
          <w:i/>
          <w:iCs/>
        </w:rPr>
        <w:t>Service Provider</w:t>
      </w:r>
      <w:r>
        <w:t xml:space="preserve"> will ensure that they all contain provisions that, or</w:t>
      </w:r>
    </w:p>
    <w:p w14:paraId="4EA27860" w14:textId="77777777" w:rsidR="007960A8" w:rsidRDefault="00A26397">
      <w:pPr>
        <w:widowControl/>
        <w:spacing w:after="160" w:line="259" w:lineRule="auto"/>
        <w:ind w:left="1440"/>
      </w:pPr>
      <w:r>
        <w:t xml:space="preserve">ii. on or before the date of this contract, the </w:t>
      </w:r>
      <w:r>
        <w:rPr>
          <w:i/>
          <w:iCs/>
        </w:rPr>
        <w:t>Service Provider</w:t>
      </w:r>
      <w:r>
        <w:t xml:space="preserve"> will take all reasonable endeavours to ensure that they all contain provisions that:</w:t>
      </w:r>
    </w:p>
    <w:p w14:paraId="49F0DD1B" w14:textId="77777777" w:rsidR="007960A8" w:rsidRDefault="00A26397">
      <w:pPr>
        <w:widowControl/>
        <w:spacing w:after="160" w:line="259" w:lineRule="auto"/>
        <w:ind w:left="1440" w:hanging="720"/>
      </w:pPr>
      <w:r>
        <w:t xml:space="preserve">1.2.1. </w:t>
      </w:r>
      <w:r>
        <w:tab/>
        <w:t xml:space="preserve">require the Subcontractor on demand to provide the </w:t>
      </w:r>
      <w:r>
        <w:rPr>
          <w:i/>
          <w:iCs/>
        </w:rPr>
        <w:t xml:space="preserve">Client </w:t>
      </w:r>
      <w:r>
        <w:t xml:space="preserve">with all co-operation, assistance, documentation and other information that the </w:t>
      </w:r>
      <w:r>
        <w:rPr>
          <w:i/>
          <w:iCs/>
        </w:rPr>
        <w:t xml:space="preserve">Client </w:t>
      </w:r>
      <w:r>
        <w:t>may reasonably re</w:t>
      </w:r>
      <w:r>
        <w:t>quire to allow it to effectively investigate and assess compliance with the Subcontractor’s obligations to pay undisputed invoices within a specified time period;</w:t>
      </w:r>
    </w:p>
    <w:p w14:paraId="385F33AB" w14:textId="77777777" w:rsidR="007960A8" w:rsidRDefault="00A26397">
      <w:pPr>
        <w:widowControl/>
        <w:spacing w:after="160" w:line="259" w:lineRule="auto"/>
        <w:ind w:left="1440" w:hanging="720"/>
      </w:pPr>
      <w:r>
        <w:t xml:space="preserve">1.2.2. </w:t>
      </w:r>
      <w:r>
        <w:tab/>
        <w:t xml:space="preserve">expressly provide the </w:t>
      </w:r>
      <w:r>
        <w:rPr>
          <w:i/>
          <w:iCs/>
        </w:rPr>
        <w:t xml:space="preserve">Client </w:t>
      </w:r>
      <w:r>
        <w:t>with the right to enforce the provisions in clause 1.2.1</w:t>
      </w:r>
      <w:r>
        <w:t xml:space="preserve"> above directly by reference to the Contracts (Rights of Third Parties) Act 1999; and</w:t>
      </w:r>
    </w:p>
    <w:p w14:paraId="374DFF50" w14:textId="77777777" w:rsidR="007960A8" w:rsidRDefault="00A26397">
      <w:pPr>
        <w:widowControl/>
        <w:spacing w:after="160" w:line="259" w:lineRule="auto"/>
        <w:ind w:left="1440" w:hanging="720"/>
      </w:pPr>
      <w:r>
        <w:t xml:space="preserve">1.2.3. </w:t>
      </w:r>
      <w:r>
        <w:tab/>
        <w:t>require the Subcontractor to include terms equivalent to those in this clause 1.2 in any contracts it enters into wholly or substantially for the purpose of perfo</w:t>
      </w:r>
      <w:r>
        <w:t>rming or contributing to the performance of the whole or any part of this Contract, such that each Subcontractor is obliged to include equivalent terms in any of its own relevant Sub-contracts. In these Sub-contracts’ clauses, references to the “</w:t>
      </w:r>
      <w:r>
        <w:rPr>
          <w:i/>
          <w:iCs/>
        </w:rPr>
        <w:t>Service Pr</w:t>
      </w:r>
      <w:r>
        <w:rPr>
          <w:i/>
          <w:iCs/>
        </w:rPr>
        <w:t>ovider</w:t>
      </w:r>
      <w:r>
        <w:t>” and “Subcontractor” are to be replaced with references to the respective Subcontractors who are parties to the relevant contract.</w:t>
      </w:r>
    </w:p>
    <w:p w14:paraId="464871E2" w14:textId="77777777" w:rsidR="007960A8" w:rsidRDefault="007960A8">
      <w:pPr>
        <w:widowControl/>
        <w:spacing w:after="160" w:line="259" w:lineRule="auto"/>
        <w:rPr>
          <w:b/>
          <w:bCs/>
        </w:rPr>
      </w:pPr>
    </w:p>
    <w:p w14:paraId="6445D26D" w14:textId="77777777" w:rsidR="007960A8" w:rsidRDefault="007960A8">
      <w:pPr>
        <w:widowControl/>
        <w:spacing w:after="160" w:line="259" w:lineRule="auto"/>
      </w:pPr>
    </w:p>
    <w:p w14:paraId="65A68BF1" w14:textId="77777777" w:rsidR="007960A8" w:rsidRDefault="00A26397">
      <w:pPr>
        <w:widowControl/>
        <w:spacing w:after="160" w:line="259" w:lineRule="auto"/>
        <w:rPr>
          <w:b/>
          <w:bCs/>
        </w:rPr>
      </w:pPr>
      <w:r>
        <w:br w:type="page"/>
      </w:r>
    </w:p>
    <w:p w14:paraId="41538F6B" w14:textId="77777777" w:rsidR="007960A8" w:rsidRDefault="00A26397">
      <w:pPr>
        <w:widowControl/>
        <w:spacing w:after="160" w:line="259" w:lineRule="auto"/>
        <w:rPr>
          <w:b/>
          <w:bCs/>
        </w:rPr>
      </w:pPr>
      <w:bookmarkStart w:id="14" w:name="_heading=h.y3owwy5flx01" w:colFirst="0" w:colLast="0"/>
      <w:bookmarkEnd w:id="14"/>
      <w:r>
        <w:rPr>
          <w:b/>
          <w:bCs/>
        </w:rPr>
        <w:t>Schedule [</w:t>
      </w:r>
      <w:r>
        <w:t>Guidance: insert schedule ref here</w:t>
      </w:r>
      <w:r>
        <w:rPr>
          <w:b/>
          <w:bCs/>
        </w:rPr>
        <w:t xml:space="preserve">] </w:t>
      </w:r>
      <w:r>
        <w:rPr>
          <w:b/>
          <w:bCs/>
          <w:u w:val="single"/>
        </w:rPr>
        <w:t>Procuring steel</w:t>
      </w:r>
    </w:p>
    <w:p w14:paraId="3DB1C0CE" w14:textId="77777777" w:rsidR="007960A8" w:rsidRDefault="00A26397">
      <w:pPr>
        <w:widowControl/>
        <w:spacing w:after="160" w:line="259" w:lineRule="auto"/>
        <w:rPr>
          <w:b/>
          <w:bCs/>
        </w:rPr>
      </w:pPr>
      <w:r>
        <w:rPr>
          <w:b/>
          <w:bCs/>
        </w:rPr>
        <w:t xml:space="preserve">1. STEEL PRODUCT AND ORIGIN DATA REQUIREMENT </w:t>
      </w:r>
    </w:p>
    <w:p w14:paraId="673E7CDE" w14:textId="77777777" w:rsidR="007960A8" w:rsidRDefault="00A26397">
      <w:pPr>
        <w:widowControl/>
        <w:spacing w:after="160" w:line="259" w:lineRule="auto"/>
        <w:ind w:left="720" w:hanging="720"/>
      </w:pPr>
      <w:r>
        <w:t xml:space="preserve">1.1. </w:t>
      </w:r>
      <w:r>
        <w:tab/>
      </w:r>
      <w:r>
        <w:t xml:space="preserve">Where in performance of the Contract the </w:t>
      </w:r>
      <w:r>
        <w:rPr>
          <w:i/>
          <w:iCs/>
        </w:rPr>
        <w:t>Service Provider</w:t>
      </w:r>
      <w:r>
        <w:t xml:space="preserve"> is required to procure steel products, the </w:t>
      </w:r>
      <w:r>
        <w:rPr>
          <w:i/>
          <w:iCs/>
        </w:rPr>
        <w:t xml:space="preserve">Client </w:t>
      </w:r>
      <w:r>
        <w:t xml:space="preserve">shall record the following information and provide it to the </w:t>
      </w:r>
      <w:r>
        <w:rPr>
          <w:i/>
          <w:iCs/>
        </w:rPr>
        <w:t>Client</w:t>
      </w:r>
      <w:r>
        <w:t xml:space="preserve">, using the </w:t>
      </w:r>
      <w:r>
        <w:rPr>
          <w:i/>
          <w:iCs/>
        </w:rPr>
        <w:t>Client’s</w:t>
      </w:r>
      <w:r>
        <w:t xml:space="preserve"> template, no later than ten weeks after the end of the finan</w:t>
      </w:r>
      <w:r>
        <w:t>cial year in which the Contract was placed, and after each subsequent financial year during the term of the Contract:</w:t>
      </w:r>
    </w:p>
    <w:p w14:paraId="63494F47" w14:textId="77777777" w:rsidR="007960A8" w:rsidRDefault="00A26397">
      <w:pPr>
        <w:widowControl/>
        <w:spacing w:after="160" w:line="259" w:lineRule="auto"/>
        <w:ind w:left="720"/>
      </w:pPr>
      <w:r>
        <w:t>(a) the steel product type data, which constitutes the description of the steel procured under one of the categories below (e.g. Flat Roll</w:t>
      </w:r>
      <w:r>
        <w:t>ed Steel Products, Steel Plate etc).</w:t>
      </w:r>
    </w:p>
    <w:p w14:paraId="0E732F96" w14:textId="77777777" w:rsidR="007960A8" w:rsidRDefault="00A26397">
      <w:pPr>
        <w:widowControl/>
        <w:spacing w:after="160" w:line="259" w:lineRule="auto"/>
        <w:ind w:left="1440"/>
      </w:pPr>
      <w:r>
        <w:t xml:space="preserve">(i) Flat Rolled Steel Product: Products commonly referred to as hot and cold rolled coil, sheet, and strip, including those clad, plated, and galvanised. This will include products such as coated steel building panels, </w:t>
      </w:r>
      <w:r>
        <w:t>tinmill steel, or corrugated sheeting.</w:t>
      </w:r>
    </w:p>
    <w:p w14:paraId="73F54A55" w14:textId="77777777" w:rsidR="007960A8" w:rsidRDefault="00A26397">
      <w:pPr>
        <w:widowControl/>
        <w:spacing w:after="160" w:line="259" w:lineRule="auto"/>
        <w:ind w:left="1440"/>
      </w:pPr>
      <w:r>
        <w:t>(ii) Steel Plate: Products often referred to as heavy or quarto plate, and typically of flat rolled steels exceeding 10mm in thickness.</w:t>
      </w:r>
    </w:p>
    <w:p w14:paraId="24318B9A" w14:textId="77777777" w:rsidR="007960A8" w:rsidRDefault="00A26397">
      <w:pPr>
        <w:widowControl/>
        <w:spacing w:after="160" w:line="259" w:lineRule="auto"/>
        <w:ind w:left="1440"/>
      </w:pPr>
      <w:r>
        <w:t>(iii) Sections and Shapes: Products commonly referred to as beams, columns, beari</w:t>
      </w:r>
      <w:r>
        <w:t>ng piles, flange channels, bulb flats, and angles.</w:t>
      </w:r>
    </w:p>
    <w:p w14:paraId="1BC55C01" w14:textId="77777777" w:rsidR="007960A8" w:rsidRDefault="00A26397">
      <w:pPr>
        <w:widowControl/>
        <w:spacing w:after="160" w:line="259" w:lineRule="auto"/>
        <w:ind w:left="1440"/>
      </w:pPr>
      <w:r>
        <w:t>(iv) Reinforcing Bar: Products commonly referred to as rebar, whether in rod, coils, or products suitable for mesh.</w:t>
      </w:r>
    </w:p>
    <w:p w14:paraId="7D6749A8" w14:textId="77777777" w:rsidR="007960A8" w:rsidRDefault="00A26397">
      <w:pPr>
        <w:widowControl/>
        <w:spacing w:after="160" w:line="259" w:lineRule="auto"/>
        <w:ind w:left="1440"/>
      </w:pPr>
      <w:r>
        <w:t xml:space="preserve">(v) Other Bars and Rods: Wide range of other steel mill products commonly referred to as </w:t>
      </w:r>
      <w:r>
        <w:t>wire rod, merchant bar, bright bar, black bar.</w:t>
      </w:r>
    </w:p>
    <w:p w14:paraId="7E81B42E" w14:textId="77777777" w:rsidR="007960A8" w:rsidRDefault="00A26397">
      <w:pPr>
        <w:widowControl/>
        <w:spacing w:after="160" w:line="259" w:lineRule="auto"/>
        <w:ind w:left="1440"/>
      </w:pPr>
      <w:r>
        <w:t>(vi) Tubes/Pipes/Hollow Sections: Steel products commonly referred to as hollow sections/profiles, welded tube, seamless tube, pipes, hollow sections.</w:t>
      </w:r>
    </w:p>
    <w:p w14:paraId="50EA362E" w14:textId="77777777" w:rsidR="007960A8" w:rsidRDefault="00A26397">
      <w:pPr>
        <w:widowControl/>
        <w:spacing w:after="160" w:line="259" w:lineRule="auto"/>
        <w:ind w:left="1440"/>
      </w:pPr>
      <w:r>
        <w:t>(vii) Wire: steel products commonly referred to as wire or</w:t>
      </w:r>
      <w:r>
        <w:t xml:space="preserve"> strand, produced though the drawing of rod to produce wire of varying diameters. This would include construction products such as pre-stressed wire, and those coated and plated.</w:t>
      </w:r>
    </w:p>
    <w:p w14:paraId="442D6B16" w14:textId="77777777" w:rsidR="007960A8" w:rsidRDefault="00A26397">
      <w:pPr>
        <w:widowControl/>
        <w:spacing w:after="160" w:line="259" w:lineRule="auto"/>
        <w:ind w:left="1440"/>
      </w:pPr>
      <w:r>
        <w:t>(viii) Rail: Railway or tramway track construction material of iron or steel,</w:t>
      </w:r>
      <w:r>
        <w:t xml:space="preserve"> including grooved rail. (Note: This would not include products such as switch blades, point rods, sleepers, rail clips, crossing frogs).</w:t>
      </w:r>
    </w:p>
    <w:p w14:paraId="1D7205CF" w14:textId="77777777" w:rsidR="007960A8" w:rsidRDefault="00A26397">
      <w:pPr>
        <w:widowControl/>
        <w:spacing w:after="160" w:line="259" w:lineRule="auto"/>
        <w:ind w:left="1440"/>
      </w:pPr>
      <w:r>
        <w:t>(ix) Sheet Piling: Sheet piling made from assembled elements; welded angles, shapes, and sections;</w:t>
      </w:r>
    </w:p>
    <w:p w14:paraId="3A558F5F" w14:textId="77777777" w:rsidR="007960A8" w:rsidRDefault="00A26397">
      <w:pPr>
        <w:widowControl/>
        <w:spacing w:after="160" w:line="259" w:lineRule="auto"/>
        <w:ind w:firstLine="720"/>
      </w:pPr>
      <w:r>
        <w:t>(b) the steel quantity data, which constitutes the amount of steel in tonnes;</w:t>
      </w:r>
    </w:p>
    <w:p w14:paraId="7F69F9B0" w14:textId="77777777" w:rsidR="007960A8" w:rsidRDefault="00A26397">
      <w:pPr>
        <w:widowControl/>
        <w:spacing w:after="160" w:line="259" w:lineRule="auto"/>
        <w:ind w:left="720"/>
      </w:pPr>
      <w:r>
        <w:t>(c) the steel origin data, which constitutes the country in which the steel was</w:t>
      </w:r>
      <w:r>
        <w:t xml:space="preserve"> produced as set out in the Inspection Certificate (EN10204 Type 3.1) attached to the steel procured, and whether this is also where the steel was melted and poured according to the Certificate; and</w:t>
      </w:r>
    </w:p>
    <w:p w14:paraId="1F9CCE66" w14:textId="77777777" w:rsidR="007960A8" w:rsidRDefault="00A26397">
      <w:pPr>
        <w:widowControl/>
        <w:spacing w:after="160" w:line="259" w:lineRule="auto"/>
        <w:ind w:left="720" w:hanging="720"/>
      </w:pPr>
      <w:r>
        <w:t xml:space="preserve">1.2. </w:t>
      </w:r>
      <w:r>
        <w:tab/>
        <w:t>The above information shall include information rel</w:t>
      </w:r>
      <w:r>
        <w:t xml:space="preserve">ating to steel products procured indirectly and the </w:t>
      </w:r>
      <w:r>
        <w:rPr>
          <w:i/>
          <w:iCs/>
        </w:rPr>
        <w:t>Service Provider</w:t>
      </w:r>
      <w:r>
        <w:t xml:space="preserve"> shall ensure that it makes all necessary arrangements with its Subcontractor(s) to facilitate compliance.</w:t>
      </w:r>
    </w:p>
    <w:p w14:paraId="5DA6E376" w14:textId="77777777" w:rsidR="007960A8" w:rsidRDefault="00A26397">
      <w:pPr>
        <w:widowControl/>
        <w:spacing w:after="160" w:line="259" w:lineRule="auto"/>
        <w:rPr>
          <w:b/>
          <w:bCs/>
        </w:rPr>
      </w:pPr>
      <w:r>
        <w:rPr>
          <w:b/>
          <w:bCs/>
        </w:rPr>
        <w:t xml:space="preserve">2. CONSULTATION OF UK STEEL’S DIGITAL CATALOGUE </w:t>
      </w:r>
    </w:p>
    <w:p w14:paraId="66711FD9" w14:textId="77777777" w:rsidR="007960A8" w:rsidRDefault="00A26397">
      <w:pPr>
        <w:widowControl/>
        <w:spacing w:after="160" w:line="259" w:lineRule="auto"/>
        <w:ind w:left="720" w:hanging="720"/>
      </w:pPr>
      <w:r>
        <w:t xml:space="preserve">2.1. </w:t>
      </w:r>
      <w:r>
        <w:tab/>
        <w:t>Where in performance of th</w:t>
      </w:r>
      <w:r>
        <w:t xml:space="preserve">e Contract the </w:t>
      </w:r>
      <w:r>
        <w:rPr>
          <w:i/>
          <w:iCs/>
        </w:rPr>
        <w:t>Service Provider</w:t>
      </w:r>
      <w:r>
        <w:t xml:space="preserve"> is required to procure steel products, the </w:t>
      </w:r>
      <w:r>
        <w:rPr>
          <w:i/>
          <w:iCs/>
        </w:rPr>
        <w:t xml:space="preserve">Service Provider </w:t>
      </w:r>
      <w:r>
        <w:t>shall first consult UK Steel’s Digital Catalogue.</w:t>
      </w:r>
    </w:p>
    <w:p w14:paraId="1CDFBCF3" w14:textId="77777777" w:rsidR="007960A8" w:rsidRDefault="00A26397">
      <w:pPr>
        <w:widowControl/>
        <w:spacing w:after="160" w:line="259" w:lineRule="auto"/>
        <w:ind w:left="720" w:hanging="720"/>
      </w:pPr>
      <w:r>
        <w:t xml:space="preserve">2.2. </w:t>
      </w:r>
      <w:r>
        <w:tab/>
        <w:t xml:space="preserve">Where the </w:t>
      </w:r>
      <w:r>
        <w:rPr>
          <w:i/>
          <w:iCs/>
        </w:rPr>
        <w:t>Service Provider</w:t>
      </w:r>
      <w:r>
        <w:t xml:space="preserve"> is procuring steel products indirectly, it shall ensure that its Subcontractor(s)</w:t>
      </w:r>
      <w:r>
        <w:t xml:space="preserve"> comply with clause 2.1.</w:t>
      </w:r>
    </w:p>
    <w:p w14:paraId="4E606615" w14:textId="77777777" w:rsidR="007960A8" w:rsidRDefault="00A26397">
      <w:pPr>
        <w:widowControl/>
        <w:spacing w:after="160" w:line="259" w:lineRule="auto"/>
        <w:rPr>
          <w:b/>
          <w:bCs/>
        </w:rPr>
      </w:pPr>
      <w:r>
        <w:br w:type="page"/>
      </w:r>
    </w:p>
    <w:p w14:paraId="6339091F" w14:textId="77777777" w:rsidR="007960A8" w:rsidRDefault="00A26397">
      <w:pPr>
        <w:widowControl/>
        <w:spacing w:after="160" w:line="259" w:lineRule="auto"/>
        <w:rPr>
          <w:b/>
          <w:bCs/>
        </w:rPr>
      </w:pPr>
      <w:r>
        <w:rPr>
          <w:b/>
          <w:bCs/>
        </w:rPr>
        <w:t>Schedule [</w:t>
      </w:r>
      <w:r>
        <w:t>Guidance: insert schedule ref here</w:t>
      </w:r>
      <w:r>
        <w:rPr>
          <w:b/>
          <w:bCs/>
        </w:rPr>
        <w:t xml:space="preserve">] </w:t>
      </w:r>
      <w:r>
        <w:rPr>
          <w:b/>
          <w:bCs/>
          <w:u w:val="single"/>
        </w:rPr>
        <w:t>Procurement Act 2023</w:t>
      </w:r>
    </w:p>
    <w:p w14:paraId="1E1FCDC5" w14:textId="77777777" w:rsidR="007960A8" w:rsidRDefault="00A26397">
      <w:pPr>
        <w:widowControl/>
        <w:spacing w:after="160" w:line="259" w:lineRule="auto"/>
        <w:rPr>
          <w:b/>
          <w:bCs/>
        </w:rPr>
      </w:pPr>
      <w:bookmarkStart w:id="15" w:name="_heading=h.f94mj0al76no" w:colFirst="0" w:colLast="0"/>
      <w:bookmarkEnd w:id="15"/>
      <w:r>
        <w:rPr>
          <w:b/>
          <w:bCs/>
        </w:rPr>
        <w:t>1. Definitions</w:t>
      </w:r>
    </w:p>
    <w:p w14:paraId="4525BA6F" w14:textId="77777777" w:rsidR="007960A8" w:rsidRDefault="00A26397">
      <w:pPr>
        <w:widowControl/>
        <w:spacing w:after="160" w:line="259" w:lineRule="auto"/>
        <w:rPr>
          <w:b/>
          <w:bCs/>
        </w:rPr>
      </w:pPr>
      <w:r>
        <w:t xml:space="preserve">1.1 </w:t>
      </w:r>
      <w:r>
        <w:tab/>
      </w:r>
      <w:r>
        <w:t xml:space="preserve">In this Schedule, the following words shall have the following meanings: </w:t>
      </w:r>
      <w:r>
        <w:rPr>
          <w:b/>
          <w:bCs/>
        </w:rPr>
        <w:t xml:space="preserve"> </w:t>
      </w:r>
    </w:p>
    <w:p w14:paraId="536E132F" w14:textId="77777777" w:rsidR="007960A8" w:rsidRDefault="00A26397">
      <w:pPr>
        <w:widowControl/>
        <w:spacing w:after="160" w:line="259" w:lineRule="auto"/>
        <w:ind w:left="3600" w:hanging="3600"/>
      </w:pPr>
      <w:r>
        <w:rPr>
          <w:b/>
          <w:bCs/>
        </w:rPr>
        <w:t>Comparable Supply:</w:t>
      </w:r>
      <w:r>
        <w:rPr>
          <w:b/>
          <w:bCs/>
        </w:rPr>
        <w:tab/>
      </w:r>
      <w:r>
        <w:t xml:space="preserve">the supply of </w:t>
      </w:r>
      <w:r>
        <w:rPr>
          <w:i/>
          <w:iCs/>
        </w:rPr>
        <w:t>services</w:t>
      </w:r>
      <w:r>
        <w:t xml:space="preserve"> to another client of the </w:t>
      </w:r>
      <w:r>
        <w:rPr>
          <w:i/>
          <w:iCs/>
        </w:rPr>
        <w:t>Service Provider</w:t>
      </w:r>
      <w:r>
        <w:t xml:space="preserve"> that are the same or similar to the </w:t>
      </w:r>
      <w:r>
        <w:rPr>
          <w:i/>
          <w:iCs/>
        </w:rPr>
        <w:t>services;</w:t>
      </w:r>
    </w:p>
    <w:p w14:paraId="40E2CA44" w14:textId="77777777" w:rsidR="007960A8" w:rsidRDefault="00A26397">
      <w:pPr>
        <w:widowControl/>
        <w:spacing w:after="160" w:line="259" w:lineRule="auto"/>
        <w:ind w:left="3600" w:hanging="3600"/>
      </w:pPr>
      <w:r>
        <w:rPr>
          <w:b/>
          <w:bCs/>
        </w:rPr>
        <w:t>Change in Law:</w:t>
      </w:r>
      <w:r>
        <w:rPr>
          <w:b/>
          <w:bCs/>
        </w:rPr>
        <w:tab/>
      </w:r>
      <w:r>
        <w:t>any change in Law which impacts on t</w:t>
      </w:r>
      <w:r>
        <w:t xml:space="preserve">he supply of the </w:t>
      </w:r>
      <w:r>
        <w:rPr>
          <w:i/>
          <w:iCs/>
        </w:rPr>
        <w:t>services</w:t>
      </w:r>
      <w:r>
        <w:t xml:space="preserve"> and performance of the Contract which comes into force after the Contract Date.</w:t>
      </w:r>
    </w:p>
    <w:p w14:paraId="57766486" w14:textId="77777777" w:rsidR="007960A8" w:rsidRDefault="00A26397">
      <w:pPr>
        <w:widowControl/>
        <w:spacing w:after="160" w:line="259" w:lineRule="auto"/>
        <w:ind w:left="3600" w:hanging="3600"/>
        <w:rPr>
          <w:b/>
          <w:bCs/>
        </w:rPr>
      </w:pPr>
      <w:r>
        <w:rPr>
          <w:b/>
          <w:bCs/>
        </w:rPr>
        <w:t>Dispute Resolution Procedure:</w:t>
      </w:r>
      <w:r>
        <w:rPr>
          <w:b/>
          <w:bCs/>
        </w:rPr>
        <w:tab/>
      </w:r>
      <w:r>
        <w:t>the dispute resolution procedure set out in the contract (if any) or as agreed between the parties;</w:t>
      </w:r>
    </w:p>
    <w:p w14:paraId="73FB5001" w14:textId="77777777" w:rsidR="007960A8" w:rsidRDefault="00A26397">
      <w:pPr>
        <w:widowControl/>
        <w:spacing w:after="160" w:line="259" w:lineRule="auto"/>
        <w:ind w:left="3600" w:hanging="3600"/>
      </w:pPr>
      <w:r>
        <w:rPr>
          <w:b/>
          <w:bCs/>
        </w:rPr>
        <w:t>Electronic Invoice S</w:t>
      </w:r>
      <w:r>
        <w:rPr>
          <w:b/>
          <w:bCs/>
        </w:rPr>
        <w:t xml:space="preserve">tandard: </w:t>
      </w:r>
      <w:r>
        <w:rPr>
          <w:b/>
          <w:bCs/>
        </w:rPr>
        <w:tab/>
      </w:r>
      <w:r>
        <w:t>the protocols and formats for the creation, exchange and management of electronic invoices adhering to EN 16931 and any replacement or subsequent standards adopted by the United Kingdom;</w:t>
      </w:r>
    </w:p>
    <w:p w14:paraId="0B3922B7" w14:textId="77777777" w:rsidR="007960A8" w:rsidRDefault="00A26397">
      <w:pPr>
        <w:widowControl/>
        <w:spacing w:after="160" w:line="259" w:lineRule="auto"/>
        <w:ind w:left="3600" w:hanging="3600"/>
        <w:rPr>
          <w:b/>
          <w:bCs/>
        </w:rPr>
      </w:pPr>
      <w:r>
        <w:rPr>
          <w:b/>
          <w:bCs/>
        </w:rPr>
        <w:t>General Change in Law:</w:t>
      </w:r>
      <w:r>
        <w:rPr>
          <w:b/>
          <w:bCs/>
        </w:rPr>
        <w:tab/>
      </w:r>
      <w:r>
        <w:t xml:space="preserve">a Change in Law where the change is </w:t>
      </w:r>
      <w:r>
        <w:t xml:space="preserve">of a general legislative nature (including taxation or duties of any sort affecting the </w:t>
      </w:r>
      <w:r>
        <w:rPr>
          <w:i/>
          <w:iCs/>
        </w:rPr>
        <w:t>Service Provider</w:t>
      </w:r>
      <w:r>
        <w:t>) or which affects or relates to a Comparable Supply;</w:t>
      </w:r>
    </w:p>
    <w:p w14:paraId="29F56CC5" w14:textId="77777777" w:rsidR="007960A8" w:rsidRDefault="00A26397">
      <w:pPr>
        <w:widowControl/>
        <w:spacing w:after="160" w:line="259" w:lineRule="auto"/>
        <w:ind w:left="3600" w:hanging="3600"/>
      </w:pPr>
      <w:r>
        <w:rPr>
          <w:b/>
          <w:bCs/>
        </w:rPr>
        <w:t>Impact Assessment:</w:t>
      </w:r>
      <w:r>
        <w:rPr>
          <w:b/>
          <w:bCs/>
        </w:rPr>
        <w:tab/>
      </w:r>
      <w:r>
        <w:t xml:space="preserve">an assessment of the impact of a requested change to the </w:t>
      </w:r>
      <w:r>
        <w:rPr>
          <w:i/>
          <w:iCs/>
        </w:rPr>
        <w:t>services</w:t>
      </w:r>
      <w:r>
        <w:t xml:space="preserve"> or Prices com</w:t>
      </w:r>
      <w:r>
        <w:t>pleted in good faith including:</w:t>
      </w:r>
    </w:p>
    <w:p w14:paraId="475A9470" w14:textId="77777777" w:rsidR="007960A8" w:rsidRDefault="00A26397">
      <w:pPr>
        <w:widowControl/>
        <w:numPr>
          <w:ilvl w:val="0"/>
          <w:numId w:val="92"/>
        </w:numPr>
        <w:pBdr>
          <w:top w:val="nil"/>
          <w:left w:val="nil"/>
          <w:bottom w:val="nil"/>
          <w:right w:val="nil"/>
          <w:between w:val="nil"/>
        </w:pBdr>
        <w:spacing w:after="160" w:line="259" w:lineRule="auto"/>
        <w:rPr>
          <w:color w:val="000000"/>
        </w:rPr>
      </w:pPr>
      <w:r>
        <w:rPr>
          <w:color w:val="000000"/>
        </w:rPr>
        <w:t xml:space="preserve">details of the impact of the proposed changes on the </w:t>
      </w:r>
      <w:r>
        <w:rPr>
          <w:i/>
          <w:iCs/>
          <w:color w:val="000000"/>
        </w:rPr>
        <w:t>services</w:t>
      </w:r>
      <w:r>
        <w:rPr>
          <w:color w:val="000000"/>
        </w:rPr>
        <w:t xml:space="preserve"> and the </w:t>
      </w:r>
      <w:r>
        <w:rPr>
          <w:i/>
          <w:iCs/>
          <w:color w:val="000000"/>
        </w:rPr>
        <w:t>Service Provider’s</w:t>
      </w:r>
      <w:r>
        <w:rPr>
          <w:color w:val="000000"/>
        </w:rPr>
        <w:t xml:space="preserve"> ability to meet its other obligations under this Contract;</w:t>
      </w:r>
    </w:p>
    <w:p w14:paraId="78FD627A" w14:textId="77777777" w:rsidR="007960A8" w:rsidRDefault="00A26397">
      <w:pPr>
        <w:widowControl/>
        <w:numPr>
          <w:ilvl w:val="0"/>
          <w:numId w:val="92"/>
        </w:numPr>
        <w:pBdr>
          <w:top w:val="nil"/>
          <w:left w:val="nil"/>
          <w:bottom w:val="nil"/>
          <w:right w:val="nil"/>
          <w:between w:val="nil"/>
        </w:pBdr>
        <w:spacing w:after="160" w:line="259" w:lineRule="auto"/>
        <w:rPr>
          <w:color w:val="000000"/>
        </w:rPr>
      </w:pPr>
      <w:r>
        <w:rPr>
          <w:color w:val="000000"/>
        </w:rPr>
        <w:t>details of the cost of implementing the changes;</w:t>
      </w:r>
    </w:p>
    <w:p w14:paraId="2BB7E1B3" w14:textId="77777777" w:rsidR="007960A8" w:rsidRDefault="00A26397">
      <w:pPr>
        <w:widowControl/>
        <w:numPr>
          <w:ilvl w:val="0"/>
          <w:numId w:val="92"/>
        </w:numPr>
        <w:pBdr>
          <w:top w:val="nil"/>
          <w:left w:val="nil"/>
          <w:bottom w:val="nil"/>
          <w:right w:val="nil"/>
          <w:between w:val="nil"/>
        </w:pBdr>
        <w:spacing w:after="160" w:line="259" w:lineRule="auto"/>
        <w:rPr>
          <w:color w:val="000000"/>
        </w:rPr>
      </w:pPr>
      <w:r>
        <w:rPr>
          <w:color w:val="000000"/>
        </w:rPr>
        <w:t xml:space="preserve">details of the ongoing costs required by the proposed changes including any increase or decrease in the Prices, any alteration in the resources and/or expenditure required by either party and any alteration </w:t>
      </w:r>
      <w:r>
        <w:rPr>
          <w:color w:val="000000"/>
        </w:rPr>
        <w:t>to the working practices of either party;</w:t>
      </w:r>
    </w:p>
    <w:p w14:paraId="485A61C6" w14:textId="77777777" w:rsidR="007960A8" w:rsidRDefault="00A26397">
      <w:pPr>
        <w:widowControl/>
        <w:numPr>
          <w:ilvl w:val="0"/>
          <w:numId w:val="92"/>
        </w:numPr>
        <w:pBdr>
          <w:top w:val="nil"/>
          <w:left w:val="nil"/>
          <w:bottom w:val="nil"/>
          <w:right w:val="nil"/>
          <w:between w:val="nil"/>
        </w:pBdr>
        <w:spacing w:after="160" w:line="259" w:lineRule="auto"/>
        <w:rPr>
          <w:color w:val="000000"/>
        </w:rPr>
      </w:pPr>
      <w:r>
        <w:rPr>
          <w:color w:val="000000"/>
        </w:rPr>
        <w:t>a timetable or the implementation, together with any proposals for the testing of the changes;</w:t>
      </w:r>
    </w:p>
    <w:p w14:paraId="4E65C949" w14:textId="77777777" w:rsidR="007960A8" w:rsidRDefault="00A26397">
      <w:pPr>
        <w:widowControl/>
        <w:numPr>
          <w:ilvl w:val="0"/>
          <w:numId w:val="92"/>
        </w:numPr>
        <w:pBdr>
          <w:top w:val="nil"/>
          <w:left w:val="nil"/>
          <w:bottom w:val="nil"/>
          <w:right w:val="nil"/>
          <w:between w:val="nil"/>
        </w:pBdr>
        <w:spacing w:after="160" w:line="259" w:lineRule="auto"/>
      </w:pPr>
      <w:r>
        <w:rPr>
          <w:color w:val="000000"/>
        </w:rPr>
        <w:t xml:space="preserve">such other information as the </w:t>
      </w:r>
      <w:r>
        <w:rPr>
          <w:i/>
          <w:iCs/>
          <w:color w:val="000000"/>
        </w:rPr>
        <w:t>Client</w:t>
      </w:r>
      <w:r>
        <w:rPr>
          <w:color w:val="000000"/>
        </w:rPr>
        <w:t xml:space="preserve"> may reasonably require in response to the request for the changes.</w:t>
      </w:r>
    </w:p>
    <w:p w14:paraId="31E7E5FD" w14:textId="77777777" w:rsidR="007960A8" w:rsidRDefault="00A26397">
      <w:pPr>
        <w:widowControl/>
        <w:spacing w:after="160" w:line="259" w:lineRule="auto"/>
        <w:ind w:left="3600" w:hanging="3600"/>
      </w:pPr>
      <w:r>
        <w:rPr>
          <w:b/>
          <w:bCs/>
        </w:rPr>
        <w:t>Law:</w:t>
      </w:r>
      <w:r>
        <w:rPr>
          <w:b/>
          <w:bCs/>
        </w:rPr>
        <w:tab/>
      </w:r>
      <w:r>
        <w:t>any law, s</w:t>
      </w:r>
      <w:r>
        <w:t xml:space="preserve">ubordinate legislation within the meaning of Section 21(1) of the Interpretation Act 1978, bye law, right within the European Union (Withdrawal) Act 2020, regulation, order, regulatory policy, mandatory guidance or code of practice, judgment of a relevant </w:t>
      </w:r>
      <w:r>
        <w:t xml:space="preserve">court of law, or directives or requirements of any regulatory body with which the </w:t>
      </w:r>
      <w:r>
        <w:rPr>
          <w:i/>
          <w:iCs/>
        </w:rPr>
        <w:t>Service Provider</w:t>
      </w:r>
      <w:r>
        <w:t xml:space="preserve"> is bound to comply;</w:t>
      </w:r>
    </w:p>
    <w:p w14:paraId="286EE70A" w14:textId="77777777" w:rsidR="007960A8" w:rsidRDefault="00A26397">
      <w:pPr>
        <w:widowControl/>
        <w:spacing w:after="160" w:line="259" w:lineRule="auto"/>
        <w:ind w:left="3600" w:hanging="3600"/>
      </w:pPr>
      <w:r>
        <w:rPr>
          <w:b/>
          <w:bCs/>
        </w:rPr>
        <w:t>Procurement Act 2023:</w:t>
      </w:r>
      <w:r>
        <w:rPr>
          <w:b/>
          <w:bCs/>
        </w:rPr>
        <w:tab/>
      </w:r>
      <w:r>
        <w:t>The Procurement Act 2023 and any associated regulations or regulations made under it;</w:t>
      </w:r>
    </w:p>
    <w:p w14:paraId="41A23317" w14:textId="77777777" w:rsidR="007960A8" w:rsidRDefault="00A26397">
      <w:pPr>
        <w:widowControl/>
        <w:spacing w:after="160" w:line="259" w:lineRule="auto"/>
        <w:ind w:left="3600" w:hanging="3600"/>
      </w:pPr>
      <w:r>
        <w:rPr>
          <w:b/>
          <w:bCs/>
        </w:rPr>
        <w:t>Specific Change in Law:</w:t>
      </w:r>
      <w:r>
        <w:rPr>
          <w:b/>
          <w:bCs/>
        </w:rPr>
        <w:tab/>
      </w:r>
      <w:r>
        <w:t xml:space="preserve">A Change in Law that relates specifically to the business of the </w:t>
      </w:r>
      <w:r>
        <w:rPr>
          <w:i/>
          <w:iCs/>
        </w:rPr>
        <w:t>Service Provider</w:t>
      </w:r>
      <w:r>
        <w:t xml:space="preserve"> and which would not affect a Comparable Supply where the effect of that Specific Change in Law on the </w:t>
      </w:r>
      <w:r>
        <w:rPr>
          <w:i/>
          <w:iCs/>
        </w:rPr>
        <w:t>services</w:t>
      </w:r>
      <w:r>
        <w:t xml:space="preserve"> is not reasonably foreseeable at the Contract Date;</w:t>
      </w:r>
    </w:p>
    <w:p w14:paraId="068EC5A3" w14:textId="77777777" w:rsidR="007960A8" w:rsidRDefault="00A26397">
      <w:pPr>
        <w:widowControl/>
        <w:spacing w:after="160" w:line="259" w:lineRule="auto"/>
        <w:ind w:left="3600" w:hanging="3600"/>
      </w:pPr>
      <w:r>
        <w:rPr>
          <w:b/>
          <w:bCs/>
        </w:rPr>
        <w:t>Termination</w:t>
      </w:r>
      <w:r>
        <w:rPr>
          <w:b/>
          <w:bCs/>
        </w:rPr>
        <w:t xml:space="preserve"> Notice:</w:t>
      </w:r>
      <w:r>
        <w:rPr>
          <w:b/>
          <w:bCs/>
        </w:rPr>
        <w:tab/>
      </w:r>
      <w:r>
        <w:t>a written notice of termination given by one Party to the other, notifying the Party receiving the notice of the intention of the Party giving the notice to terminate the Contract on a specified date and setting out the grounds for termination;</w:t>
      </w:r>
    </w:p>
    <w:p w14:paraId="2E40AE3F" w14:textId="77777777" w:rsidR="007960A8" w:rsidRDefault="00A26397">
      <w:pPr>
        <w:widowControl/>
        <w:spacing w:after="160" w:line="259" w:lineRule="auto"/>
        <w:rPr>
          <w:b/>
          <w:bCs/>
        </w:rPr>
      </w:pPr>
      <w:r>
        <w:rPr>
          <w:b/>
          <w:bCs/>
        </w:rPr>
        <w:t>2.</w:t>
      </w:r>
      <w:r>
        <w:rPr>
          <w:b/>
          <w:bCs/>
        </w:rPr>
        <w:tab/>
        <w:t xml:space="preserve"> Invoicing</w:t>
      </w:r>
    </w:p>
    <w:p w14:paraId="02696AED" w14:textId="77777777" w:rsidR="007960A8" w:rsidRDefault="00A26397">
      <w:pPr>
        <w:widowControl/>
        <w:spacing w:after="160" w:line="259" w:lineRule="auto"/>
        <w:ind w:left="720" w:hanging="720"/>
      </w:pPr>
      <w:r>
        <w:t xml:space="preserve">2.1. </w:t>
      </w:r>
      <w:r>
        <w:tab/>
        <w:t xml:space="preserve">The application submitted by the </w:t>
      </w:r>
      <w:r>
        <w:rPr>
          <w:i/>
          <w:iCs/>
        </w:rPr>
        <w:t>Service Provider</w:t>
      </w:r>
      <w:r>
        <w:t xml:space="preserve"> in accordance with clause 50.2 shall comply with the Electronic Invoice Standard and contains the minimum required information set out in Section 68(9) of the Procurement Act 2023.  The </w:t>
      </w:r>
      <w:r>
        <w:rPr>
          <w:i/>
          <w:iCs/>
        </w:rPr>
        <w:t>Se</w:t>
      </w:r>
      <w:r>
        <w:rPr>
          <w:i/>
          <w:iCs/>
        </w:rPr>
        <w:t>rvice Provider</w:t>
      </w:r>
      <w:r>
        <w:t xml:space="preserve"> shall update this invoice upon receipt of any notification that the </w:t>
      </w:r>
      <w:r>
        <w:rPr>
          <w:i/>
          <w:iCs/>
        </w:rPr>
        <w:t xml:space="preserve">Client </w:t>
      </w:r>
      <w:r>
        <w:t xml:space="preserve">considers that it does not accept the </w:t>
      </w:r>
      <w:r>
        <w:rPr>
          <w:i/>
          <w:iCs/>
        </w:rPr>
        <w:t>Service Provider’s</w:t>
      </w:r>
      <w:r>
        <w:t xml:space="preserve"> assessment of the amount due in accordance with 50.4.</w:t>
      </w:r>
    </w:p>
    <w:p w14:paraId="2137B6E1" w14:textId="77777777" w:rsidR="007960A8" w:rsidRDefault="00A26397">
      <w:pPr>
        <w:widowControl/>
        <w:spacing w:after="160" w:line="259" w:lineRule="auto"/>
        <w:ind w:left="720" w:hanging="720"/>
      </w:pPr>
      <w:r>
        <w:t>2.2</w:t>
      </w:r>
      <w:r>
        <w:tab/>
        <w:t xml:space="preserve">Where any invoice does not conform to the </w:t>
      </w:r>
      <w:r>
        <w:rPr>
          <w:i/>
          <w:iCs/>
        </w:rPr>
        <w:t>Client’s</w:t>
      </w:r>
      <w:r>
        <w:t xml:space="preserve"> </w:t>
      </w:r>
      <w:r>
        <w:t xml:space="preserve">requirements set out in this clause 2, the </w:t>
      </w:r>
      <w:r>
        <w:rPr>
          <w:i/>
          <w:iCs/>
        </w:rPr>
        <w:t xml:space="preserve">Client </w:t>
      </w:r>
      <w:r>
        <w:t xml:space="preserve">shall notify the </w:t>
      </w:r>
      <w:r>
        <w:rPr>
          <w:i/>
          <w:iCs/>
        </w:rPr>
        <w:t>Service Provider</w:t>
      </w:r>
      <w:r>
        <w:t xml:space="preserve"> without undue delay and the </w:t>
      </w:r>
      <w:r>
        <w:rPr>
          <w:i/>
          <w:iCs/>
        </w:rPr>
        <w:t>Service Provider</w:t>
      </w:r>
      <w:r>
        <w:t xml:space="preserve"> shall promptly issue a replacement invoice which shall comply with such requirements.</w:t>
      </w:r>
    </w:p>
    <w:p w14:paraId="716F92BB" w14:textId="77777777" w:rsidR="007960A8" w:rsidRDefault="00A26397">
      <w:pPr>
        <w:widowControl/>
        <w:spacing w:after="160" w:line="259" w:lineRule="auto"/>
        <w:rPr>
          <w:b/>
          <w:bCs/>
        </w:rPr>
      </w:pPr>
      <w:r>
        <w:rPr>
          <w:b/>
          <w:bCs/>
        </w:rPr>
        <w:t xml:space="preserve">3. </w:t>
      </w:r>
      <w:r>
        <w:rPr>
          <w:b/>
          <w:bCs/>
        </w:rPr>
        <w:tab/>
        <w:t>Supply Chain Transparency</w:t>
      </w:r>
    </w:p>
    <w:p w14:paraId="605CFB3B" w14:textId="77777777" w:rsidR="007960A8" w:rsidRDefault="00A26397">
      <w:pPr>
        <w:widowControl/>
        <w:spacing w:after="160" w:line="259" w:lineRule="auto"/>
        <w:ind w:left="720" w:hanging="720"/>
      </w:pPr>
      <w:r>
        <w:t xml:space="preserve">3.1 </w:t>
      </w:r>
      <w:r>
        <w:tab/>
        <w:t xml:space="preserve">The </w:t>
      </w:r>
      <w:r>
        <w:rPr>
          <w:i/>
          <w:iCs/>
        </w:rPr>
        <w:t>Se</w:t>
      </w:r>
      <w:r>
        <w:rPr>
          <w:i/>
          <w:iCs/>
        </w:rPr>
        <w:t>rvice Provider</w:t>
      </w:r>
      <w:r>
        <w:t xml:space="preserve"> must ensure that it does not at any time enter into a sub-contract in relation to the Contract with:</w:t>
      </w:r>
    </w:p>
    <w:p w14:paraId="6A1EE477" w14:textId="77777777" w:rsidR="007960A8" w:rsidRDefault="00A26397">
      <w:pPr>
        <w:widowControl/>
        <w:spacing w:after="160" w:line="259" w:lineRule="auto"/>
        <w:ind w:left="720" w:hanging="720"/>
      </w:pPr>
      <w:r>
        <w:t xml:space="preserve">(a) </w:t>
      </w:r>
      <w:r>
        <w:tab/>
        <w:t xml:space="preserve">any Subcontractor that is on the debarment list on the basis of a mandatory exclusion ground within the meaning of the Procurement Act </w:t>
      </w:r>
      <w:r>
        <w:t>2023;</w:t>
      </w:r>
    </w:p>
    <w:p w14:paraId="3E2FA7DC" w14:textId="77777777" w:rsidR="007960A8" w:rsidRDefault="00A26397">
      <w:pPr>
        <w:widowControl/>
        <w:spacing w:after="160" w:line="259" w:lineRule="auto"/>
        <w:ind w:left="720" w:hanging="720"/>
      </w:pPr>
      <w:r>
        <w:t xml:space="preserve">(b) </w:t>
      </w:r>
      <w:r>
        <w:tab/>
        <w:t xml:space="preserve">any Subcontractor that is on the debarment list on the basis of a discretionary exclusion ground within the meaning of the Procurement Act 2023, unless the </w:t>
      </w:r>
      <w:r>
        <w:rPr>
          <w:i/>
          <w:iCs/>
        </w:rPr>
        <w:t>Service Provider</w:t>
      </w:r>
      <w:r>
        <w:t xml:space="preserve"> has obtained the </w:t>
      </w:r>
      <w:r>
        <w:rPr>
          <w:i/>
          <w:iCs/>
        </w:rPr>
        <w:t>Client’s</w:t>
      </w:r>
      <w:r>
        <w:t xml:space="preserve"> prior written consent to the appointment of th</w:t>
      </w:r>
      <w:r>
        <w:t>e relevant proposed Subcontractor.</w:t>
      </w:r>
    </w:p>
    <w:p w14:paraId="45477BB6" w14:textId="77777777" w:rsidR="007960A8" w:rsidRDefault="00A26397">
      <w:pPr>
        <w:widowControl/>
        <w:spacing w:after="160" w:line="259" w:lineRule="auto"/>
        <w:ind w:left="720" w:hanging="720"/>
      </w:pPr>
      <w:r>
        <w:t>3.2</w:t>
      </w:r>
      <w:r>
        <w:tab/>
        <w:t xml:space="preserve">If a Subcontractor is to be appointed under the Contract, then the </w:t>
      </w:r>
      <w:r>
        <w:rPr>
          <w:i/>
          <w:iCs/>
        </w:rPr>
        <w:t xml:space="preserve">Client </w:t>
      </w:r>
      <w:r>
        <w:t xml:space="preserve">may, in accordance with Section 72 of the Procurement Act 2023, require the </w:t>
      </w:r>
      <w:r>
        <w:rPr>
          <w:i/>
          <w:iCs/>
        </w:rPr>
        <w:t>Service Provider</w:t>
      </w:r>
      <w:r>
        <w:t xml:space="preserve"> to enter into a legally binding sub-contract with </w:t>
      </w:r>
      <w:r>
        <w:t xml:space="preserve">the proposed Subcontractor within such reasonable period as may be specified by the </w:t>
      </w:r>
      <w:r>
        <w:rPr>
          <w:i/>
          <w:iCs/>
        </w:rPr>
        <w:t>Client</w:t>
      </w:r>
      <w:r>
        <w:t>.</w:t>
      </w:r>
    </w:p>
    <w:p w14:paraId="6261D852" w14:textId="77777777" w:rsidR="007960A8" w:rsidRDefault="00A26397">
      <w:pPr>
        <w:widowControl/>
        <w:spacing w:after="160" w:line="259" w:lineRule="auto"/>
        <w:ind w:left="720" w:hanging="720"/>
      </w:pPr>
      <w:r>
        <w:t>3.3</w:t>
      </w:r>
      <w:r>
        <w:tab/>
        <w:t xml:space="preserve">If a </w:t>
      </w:r>
      <w:r>
        <w:rPr>
          <w:i/>
          <w:iCs/>
        </w:rPr>
        <w:t>Service Provider</w:t>
      </w:r>
      <w:r>
        <w:t xml:space="preserve"> does not enter into a legally binding sub-contract in accordance with clause 3.2 the </w:t>
      </w:r>
      <w:r>
        <w:rPr>
          <w:i/>
          <w:iCs/>
        </w:rPr>
        <w:t xml:space="preserve">Client </w:t>
      </w:r>
      <w:r>
        <w:t>may:</w:t>
      </w:r>
    </w:p>
    <w:p w14:paraId="5EB4AE82" w14:textId="77777777" w:rsidR="007960A8" w:rsidRDefault="00A26397">
      <w:pPr>
        <w:widowControl/>
        <w:spacing w:after="160" w:line="259" w:lineRule="auto"/>
        <w:ind w:left="1440" w:hanging="720"/>
      </w:pPr>
      <w:r>
        <w:t xml:space="preserve">(a) </w:t>
      </w:r>
      <w:r>
        <w:tab/>
      </w:r>
      <w:r>
        <w:t>terminate the Contract and the termination which shall take effect as termination under reason R11 if the NEC4 Facilities Management Contract is being used or 90.3 Reason 2 if the NEC4 Facilities Management Short Contract is being used; or</w:t>
      </w:r>
    </w:p>
    <w:p w14:paraId="5497A092" w14:textId="77777777" w:rsidR="007960A8" w:rsidRDefault="00A26397">
      <w:pPr>
        <w:widowControl/>
        <w:spacing w:after="160" w:line="259" w:lineRule="auto"/>
        <w:ind w:left="1440" w:hanging="720"/>
      </w:pPr>
      <w:r>
        <w:t xml:space="preserve">(b) </w:t>
      </w:r>
      <w:r>
        <w:tab/>
        <w:t>require the</w:t>
      </w:r>
      <w:r>
        <w:t xml:space="preserve"> </w:t>
      </w:r>
      <w:r>
        <w:rPr>
          <w:i/>
          <w:iCs/>
        </w:rPr>
        <w:t>Service Provider</w:t>
      </w:r>
      <w:r>
        <w:t xml:space="preserve"> to enter into a legally binding sub-contract with an alternate Subcontractor.</w:t>
      </w:r>
    </w:p>
    <w:p w14:paraId="57F7D7BB" w14:textId="77777777" w:rsidR="007960A8" w:rsidRDefault="00A26397">
      <w:pPr>
        <w:widowControl/>
        <w:spacing w:after="160" w:line="259" w:lineRule="auto"/>
        <w:ind w:left="720" w:hanging="720"/>
      </w:pPr>
      <w:r>
        <w:t>3.4</w:t>
      </w:r>
      <w:r>
        <w:tab/>
        <w:t xml:space="preserve">Where such sub-contracts are entered into before the date of the Contract, the </w:t>
      </w:r>
      <w:r>
        <w:rPr>
          <w:i/>
          <w:iCs/>
        </w:rPr>
        <w:t>Service Provider</w:t>
      </w:r>
      <w:r>
        <w:t xml:space="preserve"> shall take all reasonable endeavours to ensure that they all</w:t>
      </w:r>
      <w:r>
        <w:t xml:space="preserve"> contain provisions that:</w:t>
      </w:r>
    </w:p>
    <w:p w14:paraId="5A1C00D7" w14:textId="77777777" w:rsidR="007960A8" w:rsidRDefault="00A26397">
      <w:pPr>
        <w:widowControl/>
        <w:spacing w:after="160" w:line="259" w:lineRule="auto"/>
      </w:pPr>
      <w:r>
        <w:tab/>
      </w:r>
      <w:r>
        <w:tab/>
        <w:t>(a) require that all Subcontractors are paid:</w:t>
      </w:r>
    </w:p>
    <w:p w14:paraId="7F59251F" w14:textId="77777777" w:rsidR="007960A8" w:rsidRDefault="00A26397">
      <w:pPr>
        <w:widowControl/>
        <w:spacing w:after="160" w:line="259" w:lineRule="auto"/>
        <w:ind w:left="1440"/>
      </w:pPr>
      <w:r>
        <w:t xml:space="preserve">(i) before the end of the period of thirty (30) days beginning with the day on which an invoice or payment application is received by the </w:t>
      </w:r>
      <w:r>
        <w:rPr>
          <w:i/>
          <w:iCs/>
        </w:rPr>
        <w:t>Service Provider</w:t>
      </w:r>
      <w:r>
        <w:t xml:space="preserve"> or other party in respect o</w:t>
      </w:r>
      <w:r>
        <w:t>f the sum; or</w:t>
      </w:r>
    </w:p>
    <w:p w14:paraId="19F2217B" w14:textId="77777777" w:rsidR="007960A8" w:rsidRDefault="00A26397">
      <w:pPr>
        <w:widowControl/>
        <w:spacing w:after="160" w:line="259" w:lineRule="auto"/>
        <w:ind w:left="720" w:firstLine="720"/>
      </w:pPr>
      <w:r>
        <w:t>(ii) if later, the date by which the payment falls due in accordance with the invoice;</w:t>
      </w:r>
    </w:p>
    <w:p w14:paraId="78FB320A" w14:textId="77777777" w:rsidR="007960A8" w:rsidRDefault="00A26397">
      <w:pPr>
        <w:widowControl/>
        <w:spacing w:after="160" w:line="259" w:lineRule="auto"/>
        <w:ind w:left="1440"/>
      </w:pPr>
      <w:r>
        <w:t>subject to the invoice being validated by the party making payment as a valid and undisputed invoice;</w:t>
      </w:r>
    </w:p>
    <w:p w14:paraId="57BB98FA" w14:textId="77777777" w:rsidR="007960A8" w:rsidRDefault="00A26397">
      <w:pPr>
        <w:widowControl/>
        <w:spacing w:after="160" w:line="259" w:lineRule="auto"/>
        <w:ind w:left="1440"/>
      </w:pPr>
      <w:r>
        <w:t>(b) require the party employing the Subcontractor und</w:t>
      </w:r>
      <w:r>
        <w:t>er the sub-contract to consider and verify invoices under that contract in a timely fashion and notify the Subcontractor without undue delay if it considers the invoice or payment application invalid or it disputes the invoice or payment application.</w:t>
      </w:r>
    </w:p>
    <w:p w14:paraId="52E885A9" w14:textId="77777777" w:rsidR="007960A8" w:rsidRDefault="00A26397">
      <w:pPr>
        <w:widowControl/>
        <w:spacing w:after="160" w:line="259" w:lineRule="auto"/>
        <w:ind w:left="720" w:hanging="720"/>
      </w:pPr>
      <w:r>
        <w:t xml:space="preserve">3.5 </w:t>
      </w:r>
      <w:r>
        <w:tab/>
      </w:r>
      <w:r>
        <w:t xml:space="preserve">If the </w:t>
      </w:r>
      <w:r>
        <w:rPr>
          <w:i/>
          <w:iCs/>
        </w:rPr>
        <w:t xml:space="preserve">Client </w:t>
      </w:r>
      <w:r>
        <w:t xml:space="preserve">asks the </w:t>
      </w:r>
      <w:r>
        <w:rPr>
          <w:i/>
          <w:iCs/>
        </w:rPr>
        <w:t>Service Provider</w:t>
      </w:r>
      <w:r>
        <w:t xml:space="preserve"> for details about Subcontractors, the </w:t>
      </w:r>
      <w:r>
        <w:rPr>
          <w:i/>
          <w:iCs/>
        </w:rPr>
        <w:t>Service Provider</w:t>
      </w:r>
      <w:r>
        <w:t xml:space="preserve"> must provide details of Subcontractors at all levels of the supply chain including:</w:t>
      </w:r>
    </w:p>
    <w:p w14:paraId="3D5C923D" w14:textId="77777777" w:rsidR="007960A8" w:rsidRDefault="00A26397">
      <w:pPr>
        <w:widowControl/>
        <w:spacing w:after="160" w:line="259" w:lineRule="auto"/>
      </w:pPr>
      <w:r>
        <w:tab/>
      </w:r>
      <w:r>
        <w:tab/>
        <w:t>(a) their name;</w:t>
      </w:r>
    </w:p>
    <w:p w14:paraId="236312F1" w14:textId="77777777" w:rsidR="007960A8" w:rsidRDefault="00A26397">
      <w:pPr>
        <w:widowControl/>
        <w:spacing w:after="160" w:line="259" w:lineRule="auto"/>
      </w:pPr>
      <w:r>
        <w:tab/>
      </w:r>
      <w:r>
        <w:tab/>
        <w:t>(b) the scope of their appointment;</w:t>
      </w:r>
    </w:p>
    <w:p w14:paraId="2ADA66CB" w14:textId="77777777" w:rsidR="007960A8" w:rsidRDefault="00A26397">
      <w:pPr>
        <w:widowControl/>
        <w:spacing w:after="160" w:line="259" w:lineRule="auto"/>
      </w:pPr>
      <w:r>
        <w:tab/>
      </w:r>
      <w:r>
        <w:tab/>
      </w:r>
      <w:r>
        <w:t>(c) the duration of their appointment;</w:t>
      </w:r>
    </w:p>
    <w:p w14:paraId="17A638EA" w14:textId="77777777" w:rsidR="007960A8" w:rsidRDefault="00A26397">
      <w:pPr>
        <w:widowControl/>
        <w:spacing w:after="160" w:line="259" w:lineRule="auto"/>
      </w:pPr>
      <w:r>
        <w:tab/>
      </w:r>
      <w:r>
        <w:tab/>
        <w:t xml:space="preserve">(d) a copy of the sub-contract; and </w:t>
      </w:r>
    </w:p>
    <w:p w14:paraId="5EE22134" w14:textId="77777777" w:rsidR="007960A8" w:rsidRDefault="00A26397">
      <w:pPr>
        <w:widowControl/>
        <w:spacing w:after="160" w:line="259" w:lineRule="auto"/>
        <w:ind w:left="1440"/>
      </w:pPr>
      <w:r>
        <w:t xml:space="preserve">(e) whether the </w:t>
      </w:r>
      <w:r>
        <w:rPr>
          <w:i/>
          <w:iCs/>
        </w:rPr>
        <w:t>Service Provider</w:t>
      </w:r>
      <w:r>
        <w:t xml:space="preserve"> considers that an exclusion ground within the meaning of the Procurement Act 2023 does or may apply to the Subcontractor.</w:t>
      </w:r>
    </w:p>
    <w:p w14:paraId="2420AA93" w14:textId="77777777" w:rsidR="007960A8" w:rsidRDefault="00A26397">
      <w:pPr>
        <w:widowControl/>
        <w:spacing w:after="160" w:line="259" w:lineRule="auto"/>
        <w:rPr>
          <w:b/>
          <w:bCs/>
        </w:rPr>
      </w:pPr>
      <w:r>
        <w:rPr>
          <w:b/>
          <w:bCs/>
        </w:rPr>
        <w:t>4. Additional Terminati</w:t>
      </w:r>
      <w:r>
        <w:rPr>
          <w:b/>
          <w:bCs/>
        </w:rPr>
        <w:t>on Rights</w:t>
      </w:r>
    </w:p>
    <w:p w14:paraId="143C8559" w14:textId="77777777" w:rsidR="007960A8" w:rsidRDefault="00A26397">
      <w:pPr>
        <w:widowControl/>
        <w:spacing w:after="160" w:line="259" w:lineRule="auto"/>
        <w:ind w:left="720" w:hanging="720"/>
      </w:pPr>
      <w:r>
        <w:t xml:space="preserve">4.1 </w:t>
      </w:r>
      <w:r>
        <w:tab/>
        <w:t xml:space="preserve">If any of the following events happen, the </w:t>
      </w:r>
      <w:r>
        <w:rPr>
          <w:i/>
          <w:iCs/>
        </w:rPr>
        <w:t xml:space="preserve">Client </w:t>
      </w:r>
      <w:r>
        <w:t xml:space="preserve">has the right to immediately terminate the Contract by issuing a Termination Notice to the </w:t>
      </w:r>
      <w:r>
        <w:rPr>
          <w:i/>
          <w:iCs/>
        </w:rPr>
        <w:t>Service Provider</w:t>
      </w:r>
      <w:r>
        <w:t xml:space="preserve"> which shall take effect as termination under reason R11 if the NEC4 Facilities Mana</w:t>
      </w:r>
      <w:r>
        <w:t>gement Contract is being used or 90.3 Reason 2 if the NEC4 Facilities Management Short Contract is being used:</w:t>
      </w:r>
    </w:p>
    <w:p w14:paraId="70D466CB" w14:textId="77777777" w:rsidR="007960A8" w:rsidRDefault="00A26397">
      <w:pPr>
        <w:widowControl/>
        <w:spacing w:after="160" w:line="259" w:lineRule="auto"/>
        <w:ind w:left="720"/>
      </w:pPr>
      <w:r>
        <w:t>(a) in accordance with Section 78, and/or Section 79 (where applicable) of the Procurement Act 2023, and provided that the requirements of Sectio</w:t>
      </w:r>
      <w:r>
        <w:t>n 78(7) of the Procurement Act 2023 have been met, where:</w:t>
      </w:r>
    </w:p>
    <w:p w14:paraId="1F78742E" w14:textId="77777777" w:rsidR="007960A8" w:rsidRDefault="00A26397">
      <w:pPr>
        <w:widowControl/>
        <w:spacing w:after="160" w:line="259" w:lineRule="auto"/>
        <w:ind w:left="720"/>
      </w:pPr>
      <w:r>
        <w:t xml:space="preserve">(i) the </w:t>
      </w:r>
      <w:r>
        <w:rPr>
          <w:i/>
          <w:iCs/>
        </w:rPr>
        <w:t xml:space="preserve">Client </w:t>
      </w:r>
      <w:r>
        <w:t>considers that the Contract was awarded or modified in material breach of the Procurement Act 2023;</w:t>
      </w:r>
    </w:p>
    <w:p w14:paraId="6B0DDB0E" w14:textId="77777777" w:rsidR="007960A8" w:rsidRDefault="00A26397">
      <w:pPr>
        <w:widowControl/>
        <w:spacing w:after="160" w:line="259" w:lineRule="auto"/>
        <w:ind w:left="720"/>
      </w:pPr>
      <w:r>
        <w:t xml:space="preserve">(ii) the </w:t>
      </w:r>
      <w:r>
        <w:rPr>
          <w:i/>
          <w:iCs/>
        </w:rPr>
        <w:t>Service Provider</w:t>
      </w:r>
      <w:r>
        <w:t xml:space="preserve"> has, since the award of the Contract become an excluded s</w:t>
      </w:r>
      <w:r>
        <w:t>upplier or excludable supplier (including by reference to an associated person) as set out in Section 57 of the Procurement Act 2023 and provided that the conditions in Section 78(8) (where applicable) of the Procurement Act 2023 have been met; and/or</w:t>
      </w:r>
    </w:p>
    <w:p w14:paraId="0D9999D5" w14:textId="77777777" w:rsidR="007960A8" w:rsidRDefault="00A26397">
      <w:pPr>
        <w:widowControl/>
        <w:numPr>
          <w:ilvl w:val="0"/>
          <w:numId w:val="65"/>
        </w:numPr>
        <w:spacing w:after="160" w:line="259" w:lineRule="auto"/>
      </w:pPr>
      <w:r>
        <w:t>any Subcontractor has, since the award of the Contract become an excluded supplier or excludable supplier as set out in Section 57 of the Procurement Act 2023 and provided that the conditions of Sections 78(3) to 78(8) of the Procurement Act have been met.</w:t>
      </w:r>
    </w:p>
    <w:p w14:paraId="58AF29AA" w14:textId="77777777" w:rsidR="007960A8" w:rsidRDefault="00A26397">
      <w:pPr>
        <w:widowControl/>
        <w:spacing w:after="160" w:line="259" w:lineRule="auto"/>
        <w:ind w:left="720"/>
      </w:pPr>
      <w:r>
        <w:t xml:space="preserve">(b) the </w:t>
      </w:r>
      <w:r>
        <w:rPr>
          <w:i/>
          <w:iCs/>
        </w:rPr>
        <w:t>Service Provider</w:t>
      </w:r>
      <w:r>
        <w:t xml:space="preserve"> fails to enter into a legally binding sub-contract with any Subcontractor in accordance with Section 72 of the Procurement Act 2023; and/or</w:t>
      </w:r>
    </w:p>
    <w:p w14:paraId="52DE3BD1" w14:textId="77777777" w:rsidR="007960A8" w:rsidRDefault="00A26397">
      <w:pPr>
        <w:widowControl/>
        <w:spacing w:after="160" w:line="259" w:lineRule="auto"/>
        <w:ind w:left="720"/>
      </w:pPr>
      <w:r>
        <w:t>(c) where any Subcontractor has, since the award of the Contract, become an excluded suppl</w:t>
      </w:r>
      <w:r>
        <w:t xml:space="preserve">ier or excludable supplier as defined in Section 57 of the Procurement Act 2023, provided that prior to exercising its right of termination under clause 4.1 of this schedule the </w:t>
      </w:r>
      <w:r>
        <w:rPr>
          <w:i/>
          <w:iCs/>
        </w:rPr>
        <w:t>Client</w:t>
      </w:r>
      <w:r>
        <w:t>:</w:t>
      </w:r>
    </w:p>
    <w:p w14:paraId="32A9B1B2" w14:textId="77777777" w:rsidR="007960A8" w:rsidRDefault="00A26397">
      <w:pPr>
        <w:widowControl/>
        <w:spacing w:after="160" w:line="259" w:lineRule="auto"/>
        <w:ind w:left="1440"/>
      </w:pPr>
      <w:r>
        <w:t xml:space="preserve">(i) has notified the </w:t>
      </w:r>
      <w:r>
        <w:rPr>
          <w:i/>
          <w:iCs/>
        </w:rPr>
        <w:t>Service Provider</w:t>
      </w:r>
      <w:r>
        <w:t xml:space="preserve"> of its intention to terminate un</w:t>
      </w:r>
      <w:r>
        <w:t xml:space="preserve">der this clause, and why the </w:t>
      </w:r>
      <w:r>
        <w:rPr>
          <w:i/>
          <w:iCs/>
        </w:rPr>
        <w:t xml:space="preserve">Client </w:t>
      </w:r>
      <w:r>
        <w:t>has decided to terminate the Contract;</w:t>
      </w:r>
    </w:p>
    <w:p w14:paraId="3312BB4D" w14:textId="77777777" w:rsidR="007960A8" w:rsidRDefault="00A26397">
      <w:pPr>
        <w:widowControl/>
        <w:spacing w:after="160" w:line="259" w:lineRule="auto"/>
        <w:ind w:left="1440"/>
      </w:pPr>
      <w:r>
        <w:t xml:space="preserve">(ii) has given the </w:t>
      </w:r>
      <w:r>
        <w:rPr>
          <w:i/>
          <w:iCs/>
        </w:rPr>
        <w:t>Service Provider</w:t>
      </w:r>
      <w:r>
        <w:t xml:space="preserve"> reasonable opportunity to make representations about whether this clause applies and the </w:t>
      </w:r>
      <w:r>
        <w:rPr>
          <w:i/>
          <w:iCs/>
        </w:rPr>
        <w:t xml:space="preserve">Client’s </w:t>
      </w:r>
      <w:r>
        <w:t>decision to terminate; and</w:t>
      </w:r>
    </w:p>
    <w:p w14:paraId="70A8574E" w14:textId="77777777" w:rsidR="007960A8" w:rsidRDefault="00A26397">
      <w:pPr>
        <w:widowControl/>
        <w:spacing w:after="160" w:line="259" w:lineRule="auto"/>
        <w:ind w:left="1440"/>
      </w:pPr>
      <w:r>
        <w:t xml:space="preserve">(iii) has given the </w:t>
      </w:r>
      <w:r>
        <w:rPr>
          <w:i/>
          <w:iCs/>
        </w:rPr>
        <w:t>Service Provider</w:t>
      </w:r>
      <w:r>
        <w:t xml:space="preserve"> a reasonable opportunity to end its sub-contract with the excluded or excludable supplier, and if necessary, find an alternative Subcontractor.</w:t>
      </w:r>
    </w:p>
    <w:p w14:paraId="052A3F7B" w14:textId="77777777" w:rsidR="007960A8" w:rsidRDefault="00A26397">
      <w:pPr>
        <w:widowControl/>
        <w:spacing w:after="160" w:line="259" w:lineRule="auto"/>
        <w:rPr>
          <w:b/>
          <w:bCs/>
        </w:rPr>
      </w:pPr>
      <w:r>
        <w:rPr>
          <w:b/>
          <w:bCs/>
        </w:rPr>
        <w:t>5. Indemnity</w:t>
      </w:r>
    </w:p>
    <w:p w14:paraId="40D1F3C7" w14:textId="77777777" w:rsidR="007960A8" w:rsidRDefault="00A26397">
      <w:pPr>
        <w:widowControl/>
        <w:spacing w:after="160" w:line="259" w:lineRule="auto"/>
        <w:ind w:left="720" w:hanging="720"/>
      </w:pPr>
      <w:r>
        <w:t xml:space="preserve">5.1 </w:t>
      </w:r>
      <w:r>
        <w:tab/>
        <w:t xml:space="preserve">to the extent that it arises as a result of an act or omission by the </w:t>
      </w:r>
      <w:r>
        <w:rPr>
          <w:i/>
          <w:iCs/>
        </w:rPr>
        <w:t>Service</w:t>
      </w:r>
      <w:r>
        <w:rPr>
          <w:i/>
          <w:iCs/>
        </w:rPr>
        <w:t xml:space="preserve"> Provider</w:t>
      </w:r>
      <w:r>
        <w:t xml:space="preserve"> or the </w:t>
      </w:r>
      <w:r>
        <w:rPr>
          <w:i/>
          <w:iCs/>
        </w:rPr>
        <w:t>Service Provider</w:t>
      </w:r>
      <w:r>
        <w:t xml:space="preserve">’s employees, the </w:t>
      </w:r>
      <w:r>
        <w:rPr>
          <w:i/>
          <w:iCs/>
        </w:rPr>
        <w:t>Service Provider</w:t>
      </w:r>
      <w:r>
        <w:t xml:space="preserve"> indemnifies the </w:t>
      </w:r>
      <w:r>
        <w:rPr>
          <w:i/>
          <w:iCs/>
        </w:rPr>
        <w:t xml:space="preserve">Client </w:t>
      </w:r>
      <w:r>
        <w:t xml:space="preserve">against any fine or penalty incurred by the </w:t>
      </w:r>
      <w:r>
        <w:rPr>
          <w:i/>
          <w:iCs/>
        </w:rPr>
        <w:t xml:space="preserve">Client </w:t>
      </w:r>
      <w:r>
        <w:t xml:space="preserve">pursuant to law and any costs incurred by the </w:t>
      </w:r>
      <w:r>
        <w:rPr>
          <w:i/>
          <w:iCs/>
        </w:rPr>
        <w:t xml:space="preserve">Client </w:t>
      </w:r>
      <w:r>
        <w:t>in defending any proceedings which result in such fine or pen</w:t>
      </w:r>
      <w:r>
        <w:t>alty.</w:t>
      </w:r>
    </w:p>
    <w:p w14:paraId="5181E592" w14:textId="77777777" w:rsidR="007960A8" w:rsidRDefault="00A26397">
      <w:pPr>
        <w:widowControl/>
        <w:spacing w:after="160" w:line="259" w:lineRule="auto"/>
        <w:rPr>
          <w:b/>
          <w:bCs/>
        </w:rPr>
      </w:pPr>
      <w:r>
        <w:rPr>
          <w:b/>
          <w:bCs/>
        </w:rPr>
        <w:t>6. Change in Law</w:t>
      </w:r>
    </w:p>
    <w:p w14:paraId="7F50E86E" w14:textId="77777777" w:rsidR="007960A8" w:rsidRDefault="00A26397">
      <w:pPr>
        <w:widowControl/>
        <w:spacing w:after="160" w:line="259" w:lineRule="auto"/>
        <w:ind w:left="720" w:hanging="720"/>
      </w:pPr>
      <w:r>
        <w:t>6.1</w:t>
      </w:r>
      <w:r>
        <w:tab/>
        <w:t xml:space="preserve">Notwithstanding any other provision of this Contract, where there is a General Change in Law the </w:t>
      </w:r>
      <w:r>
        <w:rPr>
          <w:i/>
          <w:iCs/>
        </w:rPr>
        <w:t>Service Provider</w:t>
      </w:r>
      <w:r>
        <w:t xml:space="preserve"> shall not be entitled to any Compensation Event pursuant to clause 60.1. </w:t>
      </w:r>
    </w:p>
    <w:p w14:paraId="5DF1AE5C" w14:textId="77777777" w:rsidR="007960A8" w:rsidRDefault="00A26397">
      <w:pPr>
        <w:widowControl/>
        <w:spacing w:after="160" w:line="259" w:lineRule="auto"/>
        <w:ind w:left="720" w:hanging="720"/>
      </w:pPr>
      <w:r>
        <w:t>6.2</w:t>
      </w:r>
      <w:r>
        <w:tab/>
        <w:t>Notwithstanding any other provision o</w:t>
      </w:r>
      <w:r>
        <w:t>f this Contract, where there is a Specific Change in Law or one is likely to happen during the s</w:t>
      </w:r>
      <w:r>
        <w:rPr>
          <w:i/>
          <w:iCs/>
        </w:rPr>
        <w:t>ervice period</w:t>
      </w:r>
      <w:r>
        <w:t xml:space="preserve">, the </w:t>
      </w:r>
      <w:r>
        <w:rPr>
          <w:i/>
          <w:iCs/>
        </w:rPr>
        <w:t>Service Provider</w:t>
      </w:r>
      <w:r>
        <w:t xml:space="preserve"> must give the </w:t>
      </w:r>
      <w:r>
        <w:rPr>
          <w:i/>
          <w:iCs/>
        </w:rPr>
        <w:t>Client</w:t>
      </w:r>
      <w:r>
        <w:t xml:space="preserve"> notice of the likely impact of any Specific Changes in Law as soon as reasonably practical. The notice </w:t>
      </w:r>
      <w:r>
        <w:t xml:space="preserve">must identify whether the </w:t>
      </w:r>
      <w:r>
        <w:rPr>
          <w:i/>
          <w:iCs/>
        </w:rPr>
        <w:t>Service Provider</w:t>
      </w:r>
      <w:r>
        <w:t xml:space="preserve"> is requesting a change to the </w:t>
      </w:r>
      <w:r>
        <w:rPr>
          <w:i/>
          <w:iCs/>
        </w:rPr>
        <w:t>services</w:t>
      </w:r>
      <w:r>
        <w:t xml:space="preserve"> or the Prices as a result of the Specific Change in Law and provide evidence:</w:t>
      </w:r>
    </w:p>
    <w:p w14:paraId="1BBAD691" w14:textId="77777777" w:rsidR="007960A8" w:rsidRDefault="00A26397">
      <w:pPr>
        <w:widowControl/>
        <w:spacing w:after="160" w:line="259" w:lineRule="auto"/>
        <w:ind w:firstLine="720"/>
      </w:pPr>
      <w:r>
        <w:t xml:space="preserve">6.2.1 of how it has affected the </w:t>
      </w:r>
      <w:r>
        <w:rPr>
          <w:i/>
          <w:iCs/>
        </w:rPr>
        <w:t>Service Provider’s</w:t>
      </w:r>
      <w:r>
        <w:t xml:space="preserve"> costs; and</w:t>
      </w:r>
    </w:p>
    <w:p w14:paraId="69C635AA" w14:textId="77777777" w:rsidR="007960A8" w:rsidRDefault="00A26397">
      <w:pPr>
        <w:widowControl/>
        <w:spacing w:after="160" w:line="259" w:lineRule="auto"/>
        <w:ind w:left="720"/>
      </w:pPr>
      <w:r>
        <w:t xml:space="preserve">6.2.2 that the </w:t>
      </w:r>
      <w:r>
        <w:rPr>
          <w:i/>
          <w:iCs/>
        </w:rPr>
        <w:t>Service Provider</w:t>
      </w:r>
      <w:r>
        <w:t xml:space="preserve"> has kept its costs (including subcontractor costs) as low as possible.</w:t>
      </w:r>
    </w:p>
    <w:p w14:paraId="7405B56A" w14:textId="77777777" w:rsidR="007960A8" w:rsidRDefault="00A26397">
      <w:pPr>
        <w:widowControl/>
        <w:spacing w:after="160" w:line="259" w:lineRule="auto"/>
        <w:ind w:left="720" w:hanging="720"/>
      </w:pPr>
      <w:r>
        <w:t xml:space="preserve">6.3 </w:t>
      </w:r>
      <w:r>
        <w:tab/>
        <w:t xml:space="preserve">Where any change is requested to the </w:t>
      </w:r>
      <w:r>
        <w:rPr>
          <w:i/>
          <w:iCs/>
        </w:rPr>
        <w:t>services</w:t>
      </w:r>
      <w:r>
        <w:t xml:space="preserve"> or the Prices as a result of a Specific Change in Law:</w:t>
      </w:r>
    </w:p>
    <w:p w14:paraId="1A0D8A9D" w14:textId="77777777" w:rsidR="007960A8" w:rsidRDefault="00A26397">
      <w:pPr>
        <w:widowControl/>
        <w:spacing w:after="160" w:line="259" w:lineRule="auto"/>
        <w:ind w:firstLine="720"/>
      </w:pPr>
      <w:r>
        <w:t xml:space="preserve">6.3.1 the </w:t>
      </w:r>
      <w:r>
        <w:rPr>
          <w:i/>
          <w:iCs/>
        </w:rPr>
        <w:t>Service Provider</w:t>
      </w:r>
      <w:r>
        <w:t xml:space="preserve"> must provide an Impact Assessment;</w:t>
      </w:r>
    </w:p>
    <w:p w14:paraId="148B5A1E" w14:textId="77777777" w:rsidR="007960A8" w:rsidRDefault="00A26397">
      <w:pPr>
        <w:widowControl/>
        <w:spacing w:after="160" w:line="259" w:lineRule="auto"/>
        <w:ind w:left="720"/>
      </w:pPr>
      <w:r>
        <w:t>6.3.2</w:t>
      </w:r>
      <w:r>
        <w:tab/>
        <w:t>if the par</w:t>
      </w:r>
      <w:r>
        <w:t xml:space="preserve">ties do not agree to change the </w:t>
      </w:r>
      <w:r>
        <w:rPr>
          <w:i/>
          <w:iCs/>
        </w:rPr>
        <w:t>services</w:t>
      </w:r>
      <w:r>
        <w:t xml:space="preserve"> or the Prices, the parties may follow the Dispute Resolution Procedure.</w:t>
      </w:r>
    </w:p>
    <w:p w14:paraId="410CE366" w14:textId="77777777" w:rsidR="007960A8" w:rsidRDefault="00A26397">
      <w:pPr>
        <w:widowControl/>
        <w:spacing w:after="160" w:line="259" w:lineRule="auto"/>
        <w:ind w:firstLine="720"/>
      </w:pPr>
      <w:r>
        <w:t xml:space="preserve">6.3.3 the </w:t>
      </w:r>
      <w:r>
        <w:rPr>
          <w:i/>
          <w:iCs/>
        </w:rPr>
        <w:t>Client</w:t>
      </w:r>
      <w:r>
        <w:t xml:space="preserve"> is not obliged to comply with the </w:t>
      </w:r>
      <w:r>
        <w:rPr>
          <w:i/>
          <w:iCs/>
        </w:rPr>
        <w:t>Service Provider’s</w:t>
      </w:r>
      <w:r>
        <w:t xml:space="preserve"> request </w:t>
      </w:r>
    </w:p>
    <w:p w14:paraId="267CAA3B" w14:textId="77777777" w:rsidR="007960A8" w:rsidRDefault="00A26397">
      <w:pPr>
        <w:widowControl/>
        <w:numPr>
          <w:ilvl w:val="0"/>
          <w:numId w:val="67"/>
        </w:numPr>
        <w:spacing w:after="160" w:line="259" w:lineRule="auto"/>
        <w:rPr>
          <w:b/>
          <w:bCs/>
        </w:rPr>
      </w:pPr>
      <w:r>
        <w:rPr>
          <w:b/>
          <w:bCs/>
        </w:rPr>
        <w:t>Exclusions</w:t>
      </w:r>
    </w:p>
    <w:p w14:paraId="179B5BAC" w14:textId="77777777" w:rsidR="007960A8" w:rsidRDefault="00A26397">
      <w:pPr>
        <w:widowControl/>
        <w:numPr>
          <w:ilvl w:val="1"/>
          <w:numId w:val="67"/>
        </w:numPr>
        <w:spacing w:after="160" w:line="259" w:lineRule="auto"/>
        <w:ind w:left="709" w:hanging="709"/>
      </w:pPr>
      <w:r>
        <w:t xml:space="preserve">The </w:t>
      </w:r>
      <w:r>
        <w:rPr>
          <w:i/>
          <w:iCs/>
        </w:rPr>
        <w:t>Service Provider</w:t>
      </w:r>
      <w:r>
        <w:t xml:space="preserve"> shall notify the </w:t>
      </w:r>
      <w:r>
        <w:rPr>
          <w:i/>
          <w:iCs/>
        </w:rPr>
        <w:t xml:space="preserve">Client </w:t>
      </w:r>
      <w:r>
        <w:t>as soon as reasonably practicable if:</w:t>
      </w:r>
    </w:p>
    <w:p w14:paraId="3E189ED7" w14:textId="77777777" w:rsidR="007960A8" w:rsidRDefault="00A26397">
      <w:pPr>
        <w:widowControl/>
        <w:numPr>
          <w:ilvl w:val="2"/>
          <w:numId w:val="67"/>
        </w:numPr>
        <w:spacing w:after="160" w:line="259" w:lineRule="auto"/>
        <w:ind w:left="709" w:hanging="709"/>
      </w:pPr>
      <w:r>
        <w:t xml:space="preserve">The </w:t>
      </w:r>
      <w:r>
        <w:rPr>
          <w:i/>
          <w:iCs/>
        </w:rPr>
        <w:t>Service Provider</w:t>
      </w:r>
      <w:r>
        <w:t xml:space="preserve"> considers that an exclusion ground within the Procurement Act 2023 applies to the </w:t>
      </w:r>
      <w:r>
        <w:rPr>
          <w:i/>
          <w:iCs/>
        </w:rPr>
        <w:t>Service Provider</w:t>
      </w:r>
      <w:r>
        <w:t xml:space="preserve">, including where the </w:t>
      </w:r>
      <w:r>
        <w:rPr>
          <w:i/>
          <w:iCs/>
        </w:rPr>
        <w:t>Service Provider</w:t>
      </w:r>
      <w:r>
        <w:t xml:space="preserve"> is put on the debarment list or bec</w:t>
      </w:r>
      <w:r>
        <w:t>omes an excluded or excludable supplier by virtue of any associated persons or Subcontractors where information relating to such was provided under Section 28 of the Procurement Act 2023; and</w:t>
      </w:r>
    </w:p>
    <w:p w14:paraId="51927146" w14:textId="77777777" w:rsidR="007960A8" w:rsidRDefault="00A26397">
      <w:pPr>
        <w:widowControl/>
        <w:numPr>
          <w:ilvl w:val="2"/>
          <w:numId w:val="67"/>
        </w:numPr>
        <w:spacing w:after="160" w:line="259" w:lineRule="auto"/>
        <w:ind w:left="709" w:hanging="709"/>
      </w:pPr>
      <w:r>
        <w:t xml:space="preserve">There are any changes to the </w:t>
      </w:r>
      <w:r>
        <w:rPr>
          <w:i/>
          <w:iCs/>
        </w:rPr>
        <w:t>Service Provider’s</w:t>
      </w:r>
      <w:r>
        <w:t xml:space="preserve"> associated perso</w:t>
      </w:r>
      <w:r>
        <w:t>ns within the meaning of the Procurement Act 2023.</w:t>
      </w:r>
    </w:p>
    <w:p w14:paraId="7A107C18" w14:textId="77777777" w:rsidR="007960A8" w:rsidRDefault="00A26397">
      <w:pPr>
        <w:widowControl/>
        <w:numPr>
          <w:ilvl w:val="1"/>
          <w:numId w:val="67"/>
        </w:numPr>
        <w:spacing w:after="160" w:line="259" w:lineRule="auto"/>
        <w:ind w:left="709" w:hanging="709"/>
      </w:pPr>
      <w:r>
        <w:t xml:space="preserve">If the </w:t>
      </w:r>
      <w:r>
        <w:rPr>
          <w:i/>
          <w:iCs/>
        </w:rPr>
        <w:t>Service Provider</w:t>
      </w:r>
      <w:r>
        <w:t xml:space="preserve"> notifies the </w:t>
      </w:r>
      <w:r>
        <w:rPr>
          <w:i/>
          <w:iCs/>
        </w:rPr>
        <w:t xml:space="preserve">Client </w:t>
      </w:r>
      <w:r>
        <w:t xml:space="preserve">in accordance with clause 7.1.1 of this schedule, then the </w:t>
      </w:r>
      <w:r>
        <w:rPr>
          <w:i/>
          <w:iCs/>
        </w:rPr>
        <w:t>Service Provider</w:t>
      </w:r>
      <w:r>
        <w:t xml:space="preserve"> must promptly provide any information the </w:t>
      </w:r>
      <w:r>
        <w:rPr>
          <w:i/>
          <w:iCs/>
        </w:rPr>
        <w:t xml:space="preserve">Client </w:t>
      </w:r>
      <w:r>
        <w:t>reasonably requests in relation to t</w:t>
      </w:r>
      <w:r>
        <w:t>he notification, including information to support an assessment of whether the circumstances giving rise to the exclusion ground are continuing or likely to occur again.</w:t>
      </w:r>
    </w:p>
    <w:p w14:paraId="6575939C" w14:textId="77777777" w:rsidR="007960A8" w:rsidRDefault="00A26397">
      <w:pPr>
        <w:widowControl/>
        <w:numPr>
          <w:ilvl w:val="1"/>
          <w:numId w:val="67"/>
        </w:numPr>
        <w:spacing w:after="160" w:line="259" w:lineRule="auto"/>
        <w:ind w:left="709" w:hanging="709"/>
      </w:pPr>
      <w:r>
        <w:t xml:space="preserve">If the </w:t>
      </w:r>
      <w:r>
        <w:rPr>
          <w:i/>
          <w:iCs/>
        </w:rPr>
        <w:t>Service Provider</w:t>
      </w:r>
      <w:r>
        <w:t xml:space="preserve"> notifies the </w:t>
      </w:r>
      <w:r>
        <w:rPr>
          <w:i/>
          <w:iCs/>
        </w:rPr>
        <w:t xml:space="preserve">Client </w:t>
      </w:r>
      <w:r>
        <w:t>in accordance with clause 7.1.2 of this sc</w:t>
      </w:r>
      <w:r>
        <w:t xml:space="preserve">hedule, then the </w:t>
      </w:r>
      <w:r>
        <w:rPr>
          <w:i/>
          <w:iCs/>
        </w:rPr>
        <w:t xml:space="preserve">Client </w:t>
      </w:r>
      <w:r>
        <w:t xml:space="preserve">must promptly provide any reasonable information requested by the </w:t>
      </w:r>
      <w:r>
        <w:rPr>
          <w:i/>
          <w:iCs/>
        </w:rPr>
        <w:t xml:space="preserve">Client </w:t>
      </w:r>
      <w:r>
        <w:t xml:space="preserve">in relation to the change to the </w:t>
      </w:r>
      <w:r>
        <w:rPr>
          <w:i/>
          <w:iCs/>
        </w:rPr>
        <w:t>Service Provider’s</w:t>
      </w:r>
      <w:r>
        <w:t xml:space="preserve"> associated persons, including any information set out in the Procurement Regulations 2024.</w:t>
      </w:r>
    </w:p>
    <w:p w14:paraId="6AACC147" w14:textId="77777777" w:rsidR="007960A8" w:rsidRDefault="00A26397">
      <w:pPr>
        <w:widowControl/>
        <w:numPr>
          <w:ilvl w:val="1"/>
          <w:numId w:val="67"/>
        </w:numPr>
        <w:spacing w:after="160" w:line="259" w:lineRule="auto"/>
        <w:ind w:left="709" w:hanging="709"/>
      </w:pPr>
      <w:r>
        <w:t xml:space="preserve">The </w:t>
      </w:r>
      <w:r>
        <w:rPr>
          <w:i/>
          <w:iCs/>
        </w:rPr>
        <w:t xml:space="preserve">Client </w:t>
      </w:r>
      <w:r>
        <w:t>may t</w:t>
      </w:r>
      <w:r>
        <w:t>erminate the Contract if:</w:t>
      </w:r>
    </w:p>
    <w:p w14:paraId="007FB96F" w14:textId="77777777" w:rsidR="007960A8" w:rsidRDefault="00A26397">
      <w:pPr>
        <w:widowControl/>
        <w:numPr>
          <w:ilvl w:val="2"/>
          <w:numId w:val="67"/>
        </w:numPr>
        <w:spacing w:after="160" w:line="259" w:lineRule="auto"/>
        <w:ind w:left="709" w:hanging="709"/>
      </w:pPr>
      <w:r>
        <w:t xml:space="preserve">The </w:t>
      </w:r>
      <w:r>
        <w:rPr>
          <w:i/>
          <w:iCs/>
        </w:rPr>
        <w:t>Service Provider</w:t>
      </w:r>
      <w:r>
        <w:t xml:space="preserve"> has failed to provide notification under clause 7.1.1 of this schedule as soon as reasonably practicable after the </w:t>
      </w:r>
      <w:r>
        <w:rPr>
          <w:i/>
          <w:iCs/>
        </w:rPr>
        <w:t>Service Provider</w:t>
      </w:r>
      <w:r>
        <w:t xml:space="preserve"> became aware that an exclusion ground with the Procurement Act 2023 does or m</w:t>
      </w:r>
      <w:r>
        <w:t xml:space="preserve">ay apply to the </w:t>
      </w:r>
      <w:r>
        <w:rPr>
          <w:i/>
          <w:iCs/>
        </w:rPr>
        <w:t>Service Provider</w:t>
      </w:r>
      <w:r>
        <w:t>;</w:t>
      </w:r>
    </w:p>
    <w:p w14:paraId="3EF9755F" w14:textId="77777777" w:rsidR="007960A8" w:rsidRDefault="00A26397">
      <w:pPr>
        <w:widowControl/>
        <w:numPr>
          <w:ilvl w:val="2"/>
          <w:numId w:val="67"/>
        </w:numPr>
        <w:spacing w:after="160" w:line="259" w:lineRule="auto"/>
        <w:ind w:left="709" w:hanging="709"/>
      </w:pPr>
      <w:r>
        <w:t xml:space="preserve">The </w:t>
      </w:r>
      <w:r>
        <w:rPr>
          <w:i/>
          <w:iCs/>
        </w:rPr>
        <w:t>Service Provider</w:t>
      </w:r>
      <w:r>
        <w:t xml:space="preserve"> has failed to provide notification under clause 7.1.2 of this schedule as soon as reasonably practicable after the </w:t>
      </w:r>
      <w:r>
        <w:rPr>
          <w:i/>
          <w:iCs/>
        </w:rPr>
        <w:t>Service Provider</w:t>
      </w:r>
      <w:r>
        <w:t xml:space="preserve"> becoming aware of any changes to the </w:t>
      </w:r>
      <w:r>
        <w:rPr>
          <w:i/>
          <w:iCs/>
        </w:rPr>
        <w:t>Service Provider’s</w:t>
      </w:r>
      <w:r>
        <w:t xml:space="preserve"> associated pe</w:t>
      </w:r>
      <w:r>
        <w:t xml:space="preserve">rsons within the meaning of the Procurement Act 2023; or </w:t>
      </w:r>
    </w:p>
    <w:p w14:paraId="03189123" w14:textId="77777777" w:rsidR="007960A8" w:rsidRDefault="00A26397">
      <w:pPr>
        <w:widowControl/>
        <w:numPr>
          <w:ilvl w:val="2"/>
          <w:numId w:val="67"/>
        </w:numPr>
        <w:spacing w:after="160" w:line="259" w:lineRule="auto"/>
        <w:ind w:left="709" w:hanging="709"/>
      </w:pPr>
      <w:r>
        <w:t xml:space="preserve">Any notification or information provided by the </w:t>
      </w:r>
      <w:r>
        <w:rPr>
          <w:i/>
          <w:iCs/>
        </w:rPr>
        <w:t>Service Provider</w:t>
      </w:r>
      <w:r>
        <w:t xml:space="preserve"> under clauses 7.1, 7.2 and/or 7.3 of this schedule is incomplete, inaccurate or misleading,</w:t>
      </w:r>
    </w:p>
    <w:p w14:paraId="60849F90" w14:textId="77777777" w:rsidR="007960A8" w:rsidRDefault="00A26397">
      <w:pPr>
        <w:widowControl/>
        <w:spacing w:after="160" w:line="259" w:lineRule="auto"/>
        <w:ind w:left="709"/>
      </w:pPr>
      <w:r>
        <w:t>and the termination which shall take effe</w:t>
      </w:r>
      <w:r>
        <w:t>ct as termination under reason R11 if the NEC4 Facilities Management Contract is being used or 90.3 Reason 2 if the NEC4 Facilities Management Short Contract is being used.</w:t>
      </w:r>
    </w:p>
    <w:p w14:paraId="5AEA4BD4" w14:textId="77777777" w:rsidR="007960A8" w:rsidRDefault="00A26397">
      <w:pPr>
        <w:widowControl/>
        <w:numPr>
          <w:ilvl w:val="0"/>
          <w:numId w:val="67"/>
        </w:numPr>
        <w:spacing w:after="160" w:line="259" w:lineRule="auto"/>
        <w:ind w:left="709" w:hanging="709"/>
        <w:rPr>
          <w:b/>
          <w:bCs/>
        </w:rPr>
      </w:pPr>
      <w:r>
        <w:rPr>
          <w:b/>
          <w:bCs/>
        </w:rPr>
        <w:t>Conflict of Interest</w:t>
      </w:r>
    </w:p>
    <w:p w14:paraId="696BDFCD" w14:textId="77777777" w:rsidR="007960A8" w:rsidRDefault="00A26397">
      <w:pPr>
        <w:widowControl/>
        <w:numPr>
          <w:ilvl w:val="1"/>
          <w:numId w:val="67"/>
        </w:numPr>
        <w:spacing w:after="160" w:line="259" w:lineRule="auto"/>
        <w:ind w:left="709" w:hanging="709"/>
      </w:pPr>
      <w:r>
        <w:t xml:space="preserve">The </w:t>
      </w:r>
      <w:r>
        <w:rPr>
          <w:i/>
          <w:iCs/>
        </w:rPr>
        <w:t>Service Provider</w:t>
      </w:r>
      <w:r>
        <w:t xml:space="preserve"> must take action to ensure that neither the </w:t>
      </w:r>
      <w:r>
        <w:rPr>
          <w:i/>
          <w:iCs/>
        </w:rPr>
        <w:t>Service Provider</w:t>
      </w:r>
      <w:r>
        <w:t xml:space="preserve"> nor the </w:t>
      </w:r>
      <w:r>
        <w:rPr>
          <w:i/>
          <w:iCs/>
        </w:rPr>
        <w:t>Service Provider’s</w:t>
      </w:r>
      <w:r>
        <w:t xml:space="preserve"> employees are placed in a position of an actual or potential conflict of interest.</w:t>
      </w:r>
    </w:p>
    <w:p w14:paraId="6A75A8DE" w14:textId="77777777" w:rsidR="007960A8" w:rsidRDefault="00A26397">
      <w:pPr>
        <w:widowControl/>
        <w:numPr>
          <w:ilvl w:val="1"/>
          <w:numId w:val="67"/>
        </w:numPr>
        <w:spacing w:after="160" w:line="259" w:lineRule="auto"/>
        <w:ind w:left="709" w:hanging="709"/>
      </w:pPr>
      <w:r>
        <w:t xml:space="preserve">The </w:t>
      </w:r>
      <w:r>
        <w:rPr>
          <w:i/>
          <w:iCs/>
        </w:rPr>
        <w:t>Service Provider</w:t>
      </w:r>
      <w:r>
        <w:t xml:space="preserve"> must promptly notify and provide details to the </w:t>
      </w:r>
      <w:r>
        <w:rPr>
          <w:i/>
          <w:iCs/>
        </w:rPr>
        <w:t xml:space="preserve">Client </w:t>
      </w:r>
      <w:r>
        <w:t>if an ac</w:t>
      </w:r>
      <w:r>
        <w:t>tual or potential (or perceived) conflict of interest happens or is expected to happen.</w:t>
      </w:r>
    </w:p>
    <w:p w14:paraId="3EDC2DFB" w14:textId="77777777" w:rsidR="007960A8" w:rsidRDefault="00A26397">
      <w:pPr>
        <w:widowControl/>
        <w:numPr>
          <w:ilvl w:val="1"/>
          <w:numId w:val="67"/>
        </w:numPr>
        <w:spacing w:after="160" w:line="259" w:lineRule="auto"/>
        <w:ind w:left="709" w:hanging="709"/>
      </w:pPr>
      <w:r>
        <w:t xml:space="preserve">The </w:t>
      </w:r>
      <w:r>
        <w:rPr>
          <w:i/>
          <w:iCs/>
        </w:rPr>
        <w:t xml:space="preserve">Client </w:t>
      </w:r>
      <w:r>
        <w:t>will consider whether there are any reasonable steps that can be put in place to mitigate an actual, potential or perceived conflict of interest.  If, in the</w:t>
      </w:r>
      <w:r>
        <w:t xml:space="preserve"> reasonable opinion of the </w:t>
      </w:r>
      <w:r>
        <w:rPr>
          <w:i/>
          <w:iCs/>
        </w:rPr>
        <w:t>Client</w:t>
      </w:r>
      <w:r>
        <w:t xml:space="preserve">, such steps do not or will not resolve an actual or potential conflict of interest, the </w:t>
      </w:r>
      <w:r>
        <w:rPr>
          <w:i/>
          <w:iCs/>
        </w:rPr>
        <w:t xml:space="preserve">Client </w:t>
      </w:r>
      <w:r>
        <w:t xml:space="preserve">may terminate its contract immediately by giving notice in writing to the </w:t>
      </w:r>
      <w:r>
        <w:rPr>
          <w:i/>
          <w:iCs/>
        </w:rPr>
        <w:t>Service Provider</w:t>
      </w:r>
      <w:r>
        <w:t xml:space="preserve"> where there is or may be an actual o</w:t>
      </w:r>
      <w:r>
        <w:t>r potential conflict of interest and the termination which shall take effect as termination under reason R11 if the NEC4 Facilities Management Contract is being used or 90.3 Reason 2 if the NEC4 Facilities Management Short Contract is being used.</w:t>
      </w:r>
    </w:p>
    <w:p w14:paraId="1FDCCE27" w14:textId="77777777" w:rsidR="007960A8" w:rsidRDefault="00A26397">
      <w:pPr>
        <w:widowControl/>
        <w:numPr>
          <w:ilvl w:val="1"/>
          <w:numId w:val="67"/>
        </w:numPr>
        <w:spacing w:after="160" w:line="259" w:lineRule="auto"/>
        <w:ind w:left="709" w:hanging="709"/>
      </w:pPr>
      <w:r>
        <w:t>Where the</w:t>
      </w:r>
      <w:r>
        <w:t xml:space="preserve"> </w:t>
      </w:r>
      <w:r>
        <w:rPr>
          <w:i/>
          <w:iCs/>
        </w:rPr>
        <w:t>Service Provider</w:t>
      </w:r>
      <w:r>
        <w:t xml:space="preserve"> has failed to notify the </w:t>
      </w:r>
      <w:r>
        <w:rPr>
          <w:i/>
          <w:iCs/>
        </w:rPr>
        <w:t xml:space="preserve">Client </w:t>
      </w:r>
      <w:r>
        <w:t xml:space="preserve">about an actual or potential conflict of interest and the </w:t>
      </w:r>
      <w:r>
        <w:rPr>
          <w:i/>
          <w:iCs/>
        </w:rPr>
        <w:t>Service Provider</w:t>
      </w:r>
      <w:r>
        <w:t xml:space="preserve"> terminates under clause 8.3 of this schedule, and the termination which shall take effect as termination under reason R11 if the NE</w:t>
      </w:r>
      <w:r>
        <w:t>C4 Facilities Management Contract is being used or 90.3 Reason 2 if the NEC4 Facilities Management Short Contract is being used.</w:t>
      </w:r>
    </w:p>
    <w:p w14:paraId="74DD6B15" w14:textId="77777777" w:rsidR="007960A8" w:rsidRDefault="00A26397">
      <w:pPr>
        <w:widowControl/>
        <w:spacing w:after="160" w:line="259" w:lineRule="auto"/>
      </w:pPr>
      <w:r>
        <w:br w:type="page"/>
      </w:r>
    </w:p>
    <w:p w14:paraId="6D61F851" w14:textId="77777777" w:rsidR="007960A8" w:rsidRDefault="00A26397">
      <w:pPr>
        <w:widowControl/>
        <w:spacing w:after="160" w:line="259" w:lineRule="auto"/>
        <w:rPr>
          <w:b/>
          <w:bCs/>
        </w:rPr>
      </w:pPr>
      <w:r>
        <w:rPr>
          <w:b/>
          <w:bCs/>
        </w:rPr>
        <w:t>Schedule [</w:t>
      </w:r>
      <w:r>
        <w:t>Guidance: insert schedule ref here</w:t>
      </w:r>
      <w:r>
        <w:rPr>
          <w:b/>
          <w:bCs/>
        </w:rPr>
        <w:t xml:space="preserve">] </w:t>
      </w:r>
      <w:r>
        <w:rPr>
          <w:b/>
          <w:bCs/>
          <w:u w:val="single"/>
        </w:rPr>
        <w:t>Staff Transfer</w:t>
      </w:r>
    </w:p>
    <w:p w14:paraId="628026A5" w14:textId="77777777" w:rsidR="007960A8" w:rsidRDefault="00A26397">
      <w:pPr>
        <w:spacing w:before="120" w:after="120"/>
        <w:rPr>
          <w:b/>
          <w:bCs/>
          <w:highlight w:val="yellow"/>
        </w:rPr>
      </w:pPr>
      <w:bookmarkStart w:id="16" w:name="_heading=h.gjdgxs" w:colFirst="0" w:colLast="0"/>
      <w:bookmarkEnd w:id="16"/>
      <w:r>
        <w:rPr>
          <w:i/>
          <w:iCs/>
          <w:highlight w:val="yellow"/>
        </w:rPr>
        <w:t>[</w:t>
      </w:r>
      <w:r>
        <w:rPr>
          <w:b/>
          <w:bCs/>
          <w:highlight w:val="yellow"/>
        </w:rPr>
        <w:t xml:space="preserve">Guidance: The Client </w:t>
      </w:r>
      <w:r>
        <w:rPr>
          <w:b/>
          <w:bCs/>
          <w:i/>
          <w:iCs/>
          <w:highlight w:val="yellow"/>
        </w:rPr>
        <w:t>will need to ensure that appropriate provi</w:t>
      </w:r>
      <w:r>
        <w:rPr>
          <w:b/>
          <w:bCs/>
          <w:i/>
          <w:iCs/>
          <w:highlight w:val="yellow"/>
        </w:rPr>
        <w:t>sions are included to deal with staff transfer on both entry and exit. In addition, and irrespective of whether TUPE does apply on entry, if there are employees eligible for New Fair Deal pension protection, then the appropriate pensions provisions will al</w:t>
      </w:r>
      <w:r>
        <w:rPr>
          <w:b/>
          <w:bCs/>
          <w:i/>
          <w:iCs/>
          <w:highlight w:val="yellow"/>
        </w:rPr>
        <w:t>so need to be selected.</w:t>
      </w:r>
    </w:p>
    <w:p w14:paraId="69578572" w14:textId="77777777" w:rsidR="007960A8" w:rsidRDefault="00A26397">
      <w:pPr>
        <w:spacing w:before="120" w:after="120"/>
        <w:rPr>
          <w:b/>
          <w:bCs/>
          <w:i/>
          <w:iCs/>
          <w:highlight w:val="yellow"/>
        </w:rPr>
      </w:pPr>
      <w:r>
        <w:rPr>
          <w:b/>
          <w:bCs/>
          <w:i/>
          <w:iCs/>
          <w:highlight w:val="yellow"/>
        </w:rPr>
        <w:t>If there is a staff transfer from the Client on entry (1st generation) then Part A shall apply.</w:t>
      </w:r>
    </w:p>
    <w:p w14:paraId="5DA749C4" w14:textId="77777777" w:rsidR="007960A8" w:rsidRDefault="00A26397">
      <w:pPr>
        <w:spacing w:before="120" w:after="120"/>
        <w:rPr>
          <w:b/>
          <w:bCs/>
          <w:i/>
          <w:iCs/>
          <w:highlight w:val="yellow"/>
        </w:rPr>
      </w:pPr>
      <w:r>
        <w:rPr>
          <w:b/>
          <w:bCs/>
          <w:i/>
          <w:iCs/>
          <w:highlight w:val="yellow"/>
        </w:rPr>
        <w:t>If there is a staff transfer from former/incumbent Service Provider on entry (2nd generation), Part B shall apply. Part B contains an obligation on the Client to procure indemnities from a Former Service Provider in so far as it is reasonably able to do. L</w:t>
      </w:r>
      <w:r>
        <w:rPr>
          <w:b/>
          <w:bCs/>
          <w:i/>
          <w:iCs/>
          <w:highlight w:val="yellow"/>
        </w:rPr>
        <w:t>egal advice is recommended if using Part B.</w:t>
      </w:r>
    </w:p>
    <w:p w14:paraId="75C5DEDC" w14:textId="77777777" w:rsidR="007960A8" w:rsidRDefault="00A26397">
      <w:pPr>
        <w:spacing w:before="120" w:after="120"/>
        <w:rPr>
          <w:b/>
          <w:bCs/>
          <w:i/>
          <w:iCs/>
          <w:highlight w:val="yellow"/>
        </w:rPr>
      </w:pPr>
      <w:r>
        <w:rPr>
          <w:b/>
          <w:bCs/>
          <w:i/>
          <w:iCs/>
          <w:highlight w:val="yellow"/>
        </w:rPr>
        <w:t xml:space="preserve">If there is both a 1st and 2nd generation staff transfer on entry, then both Part A and Part B shall apply. </w:t>
      </w:r>
    </w:p>
    <w:p w14:paraId="43038506" w14:textId="77777777" w:rsidR="007960A8" w:rsidRDefault="00A26397">
      <w:pPr>
        <w:spacing w:before="120" w:after="120"/>
        <w:rPr>
          <w:b/>
          <w:bCs/>
          <w:i/>
          <w:iCs/>
          <w:highlight w:val="yellow"/>
        </w:rPr>
      </w:pPr>
      <w:r>
        <w:rPr>
          <w:b/>
          <w:bCs/>
          <w:i/>
          <w:iCs/>
          <w:highlight w:val="yellow"/>
        </w:rPr>
        <w:t>If the Parties agree that TUPE is not expected to apply at the Starting Date, on either a 1</w:t>
      </w:r>
      <w:r>
        <w:rPr>
          <w:b/>
          <w:bCs/>
          <w:i/>
          <w:iCs/>
          <w:highlight w:val="yellow"/>
          <w:vertAlign w:val="superscript"/>
        </w:rPr>
        <w:t>st</w:t>
      </w:r>
      <w:r>
        <w:rPr>
          <w:b/>
          <w:bCs/>
          <w:i/>
          <w:iCs/>
          <w:highlight w:val="yellow"/>
        </w:rPr>
        <w:t xml:space="preserve"> or 2</w:t>
      </w:r>
      <w:r>
        <w:rPr>
          <w:b/>
          <w:bCs/>
          <w:i/>
          <w:iCs/>
          <w:highlight w:val="yellow"/>
          <w:vertAlign w:val="superscript"/>
        </w:rPr>
        <w:t>nd</w:t>
      </w:r>
      <w:r>
        <w:rPr>
          <w:b/>
          <w:bCs/>
          <w:i/>
          <w:iCs/>
          <w:highlight w:val="yellow"/>
        </w:rPr>
        <w:t xml:space="preserve"> ge</w:t>
      </w:r>
      <w:r>
        <w:rPr>
          <w:b/>
          <w:bCs/>
          <w:i/>
          <w:iCs/>
          <w:highlight w:val="yellow"/>
        </w:rPr>
        <w:t xml:space="preserve">neration transfer, Part C shall apply. In Part C, the Client is stating that it believes TUPE will not apply and is both (i) giving indemnities and (ii) agreeing to procure indemnities from the Former Service Provider, should this prove incorrect and TUPE </w:t>
      </w:r>
      <w:r>
        <w:rPr>
          <w:b/>
          <w:bCs/>
          <w:i/>
          <w:iCs/>
          <w:highlight w:val="yellow"/>
        </w:rPr>
        <w:t>does apply. Legal Advice should be sought before the Client gives such indemnities/uses Part C.</w:t>
      </w:r>
    </w:p>
    <w:p w14:paraId="79130E9E" w14:textId="77777777" w:rsidR="007960A8" w:rsidRDefault="00A26397">
      <w:pPr>
        <w:spacing w:before="120" w:after="120"/>
        <w:rPr>
          <w:b/>
          <w:bCs/>
          <w:i/>
          <w:iCs/>
          <w:highlight w:val="yellow"/>
        </w:rPr>
      </w:pPr>
      <w:r>
        <w:rPr>
          <w:b/>
          <w:bCs/>
          <w:i/>
          <w:iCs/>
          <w:highlight w:val="yellow"/>
        </w:rPr>
        <w:t>Part D (Pensions) may also apply should staff transfer or claim to have transferred.</w:t>
      </w:r>
    </w:p>
    <w:p w14:paraId="6B24C2A0" w14:textId="77777777" w:rsidR="007960A8" w:rsidRDefault="00A26397">
      <w:pPr>
        <w:spacing w:before="120" w:after="120"/>
        <w:rPr>
          <w:b/>
          <w:bCs/>
          <w:i/>
          <w:iCs/>
          <w:highlight w:val="yellow"/>
        </w:rPr>
      </w:pPr>
      <w:r>
        <w:rPr>
          <w:b/>
          <w:bCs/>
          <w:i/>
          <w:iCs/>
          <w:highlight w:val="yellow"/>
        </w:rPr>
        <w:t>Part D will apply where Part A applies, is likely to apply where Part B app</w:t>
      </w:r>
      <w:r>
        <w:rPr>
          <w:b/>
          <w:bCs/>
          <w:i/>
          <w:iCs/>
          <w:highlight w:val="yellow"/>
        </w:rPr>
        <w:t xml:space="preserve">lies, and may apply where Part C applies. </w:t>
      </w:r>
      <w:r>
        <w:rPr>
          <w:b/>
          <w:bCs/>
          <w:i/>
          <w:iCs/>
          <w:highlight w:val="yellow"/>
        </w:rPr>
        <w:t>Please note that Part D may also apply where there is not a TUPE transfer, for example, where the incumbent provider is successful and becomes the new Service Provider. Clients will need to select which Annexes sha</w:t>
      </w:r>
      <w:r>
        <w:rPr>
          <w:b/>
          <w:bCs/>
          <w:i/>
          <w:iCs/>
          <w:highlight w:val="yellow"/>
        </w:rPr>
        <w:t>ll apply (either D1 (CSPS), D2 (NHSPS), D3 (LGPS) or D4 (Other schemes)).</w:t>
      </w:r>
    </w:p>
    <w:p w14:paraId="7C4B5E72" w14:textId="77777777" w:rsidR="007960A8" w:rsidRDefault="00A26397">
      <w:pPr>
        <w:spacing w:before="120" w:after="120"/>
        <w:rPr>
          <w:b/>
          <w:bCs/>
          <w:i/>
          <w:iCs/>
          <w:highlight w:val="yellow"/>
        </w:rPr>
      </w:pPr>
      <w:r>
        <w:rPr>
          <w:b/>
          <w:bCs/>
          <w:i/>
          <w:iCs/>
          <w:highlight w:val="yellow"/>
        </w:rPr>
        <w:t>Please note that the Client is giving indemnities in Parts A and C, and is agreeing to procure indemnities in Parts B, C and E. Legal advice is required, therefore, to ensure that th</w:t>
      </w:r>
      <w:r>
        <w:rPr>
          <w:b/>
          <w:bCs/>
          <w:i/>
          <w:iCs/>
          <w:highlight w:val="yellow"/>
        </w:rPr>
        <w:t xml:space="preserve">e Client understands the scope of its liability under these indemnities. </w:t>
      </w:r>
    </w:p>
    <w:p w14:paraId="72733206" w14:textId="77777777" w:rsidR="007960A8" w:rsidRDefault="00A26397">
      <w:pPr>
        <w:spacing w:before="120" w:after="120"/>
        <w:rPr>
          <w:b/>
          <w:bCs/>
          <w:i/>
          <w:iCs/>
          <w:highlight w:val="yellow"/>
        </w:rPr>
      </w:pPr>
      <w:r>
        <w:rPr>
          <w:b/>
          <w:bCs/>
          <w:i/>
          <w:iCs/>
          <w:highlight w:val="yellow"/>
        </w:rPr>
        <w:t>Please note Part C can be amended so that the indemnities are only given in respect of Client employees; again, legal advice should be taken.</w:t>
      </w:r>
    </w:p>
    <w:p w14:paraId="4852FEB3" w14:textId="77777777" w:rsidR="007960A8" w:rsidRDefault="00A26397">
      <w:pPr>
        <w:spacing w:before="120" w:after="120"/>
        <w:rPr>
          <w:b/>
          <w:bCs/>
          <w:i/>
          <w:iCs/>
          <w:highlight w:val="yellow"/>
        </w:rPr>
      </w:pPr>
      <w:r>
        <w:rPr>
          <w:b/>
          <w:bCs/>
          <w:i/>
          <w:iCs/>
          <w:highlight w:val="yellow"/>
        </w:rPr>
        <w:t>Please note that Part E contains exit provisions and indemnities including, at Part E</w:t>
      </w:r>
      <w:r>
        <w:rPr>
          <w:i/>
          <w:iCs/>
          <w:highlight w:val="yellow"/>
        </w:rPr>
        <w:t>.</w:t>
      </w:r>
      <w:r>
        <w:rPr>
          <w:b/>
          <w:bCs/>
          <w:i/>
          <w:iCs/>
          <w:highlight w:val="yellow"/>
        </w:rPr>
        <w:t xml:space="preserve"> paragraph 2.11, the obligat</w:t>
      </w:r>
      <w:r>
        <w:rPr>
          <w:b/>
          <w:bCs/>
          <w:i/>
          <w:iCs/>
          <w:highlight w:val="yellow"/>
        </w:rPr>
        <w:t>ion on the Client to procure indemnities from a replacement Service Provider in favour of the Service Provider. If the Client is co-commissioning these Services or commissioning on behalf of another, consideration should be given as to whether the Client w</w:t>
      </w:r>
      <w:r>
        <w:rPr>
          <w:b/>
          <w:bCs/>
          <w:i/>
          <w:iCs/>
          <w:highlight w:val="yellow"/>
        </w:rPr>
        <w:t xml:space="preserve">ill be able to procure such indemnities or whether the obligation should be to use "reasonable endeavours" to procure. </w:t>
      </w:r>
    </w:p>
    <w:p w14:paraId="3301EFDF" w14:textId="77777777" w:rsidR="007960A8" w:rsidRDefault="00A26397">
      <w:pPr>
        <w:spacing w:before="120" w:after="120"/>
        <w:rPr>
          <w:b/>
          <w:bCs/>
          <w:i/>
          <w:iCs/>
          <w:highlight w:val="yellow"/>
        </w:rPr>
      </w:pPr>
      <w:r>
        <w:rPr>
          <w:b/>
          <w:bCs/>
          <w:i/>
          <w:iCs/>
          <w:highlight w:val="yellow"/>
        </w:rPr>
        <w:t xml:space="preserve">Part E (dealing with staff transfer on exit) is required for every contract for services, irrespective of whether TUPE or New Fair Deal </w:t>
      </w:r>
      <w:r>
        <w:rPr>
          <w:b/>
          <w:bCs/>
          <w:i/>
          <w:iCs/>
          <w:highlight w:val="yellow"/>
        </w:rPr>
        <w:t>applies at the start of the contract. Part E</w:t>
      </w:r>
      <w:r>
        <w:rPr>
          <w:i/>
          <w:iCs/>
          <w:highlight w:val="yellow"/>
        </w:rPr>
        <w:t>.</w:t>
      </w:r>
      <w:r>
        <w:rPr>
          <w:b/>
          <w:bCs/>
          <w:i/>
          <w:iCs/>
          <w:highlight w:val="yellow"/>
        </w:rPr>
        <w:t xml:space="preserve"> is required to give employment protection on termination and/or expiry of the contract.</w:t>
      </w:r>
    </w:p>
    <w:p w14:paraId="6C5C057E" w14:textId="77777777" w:rsidR="007960A8" w:rsidRDefault="007960A8">
      <w:pPr>
        <w:spacing w:before="120" w:after="120"/>
        <w:rPr>
          <w:b/>
          <w:bCs/>
          <w:i/>
          <w:iCs/>
          <w:highlight w:val="yellow"/>
        </w:rPr>
      </w:pPr>
    </w:p>
    <w:p w14:paraId="214B978E" w14:textId="77777777" w:rsidR="007960A8" w:rsidRDefault="00A26397">
      <w:pPr>
        <w:keepNext/>
        <w:widowControl/>
        <w:numPr>
          <w:ilvl w:val="0"/>
          <w:numId w:val="81"/>
        </w:numPr>
        <w:pBdr>
          <w:top w:val="nil"/>
          <w:left w:val="nil"/>
          <w:bottom w:val="nil"/>
          <w:right w:val="nil"/>
          <w:between w:val="nil"/>
        </w:pBdr>
        <w:spacing w:before="120" w:after="120"/>
        <w:ind w:left="426" w:hanging="426"/>
        <w:rPr>
          <w:b/>
          <w:bCs/>
          <w:color w:val="000000"/>
        </w:rPr>
      </w:pPr>
      <w:r>
        <w:rPr>
          <w:b/>
          <w:bCs/>
          <w:color w:val="000000"/>
        </w:rPr>
        <w:t>Definitions</w:t>
      </w:r>
    </w:p>
    <w:p w14:paraId="6C01E1E6" w14:textId="77777777" w:rsidR="007960A8" w:rsidRDefault="00A26397">
      <w:pPr>
        <w:keepNext/>
        <w:widowControl/>
        <w:numPr>
          <w:ilvl w:val="1"/>
          <w:numId w:val="81"/>
        </w:numPr>
        <w:pBdr>
          <w:top w:val="nil"/>
          <w:left w:val="nil"/>
          <w:bottom w:val="nil"/>
          <w:right w:val="nil"/>
          <w:between w:val="nil"/>
        </w:pBdr>
        <w:spacing w:before="120" w:after="120"/>
        <w:ind w:left="1134" w:hanging="708"/>
        <w:rPr>
          <w:color w:val="000000"/>
        </w:rPr>
      </w:pPr>
      <w:r>
        <w:rPr>
          <w:color w:val="000000"/>
        </w:rPr>
        <w:t>In this Schedule, the following words have the following meanings:</w:t>
      </w:r>
    </w:p>
    <w:tbl>
      <w:tblPr>
        <w:tblStyle w:val="a3"/>
        <w:tblW w:w="8485" w:type="dxa"/>
        <w:tblInd w:w="426" w:type="dxa"/>
        <w:tblLayout w:type="fixed"/>
        <w:tblLook w:val="0400" w:firstRow="0" w:lastRow="0" w:firstColumn="0" w:lastColumn="0" w:noHBand="0" w:noVBand="1"/>
      </w:tblPr>
      <w:tblGrid>
        <w:gridCol w:w="2835"/>
        <w:gridCol w:w="5650"/>
      </w:tblGrid>
      <w:tr w:rsidR="007960A8" w14:paraId="19BC69F4" w14:textId="77777777">
        <w:tc>
          <w:tcPr>
            <w:tcW w:w="2835" w:type="dxa"/>
          </w:tcPr>
          <w:p w14:paraId="1F44210E" w14:textId="77777777" w:rsidR="007960A8" w:rsidRDefault="00A26397">
            <w:pPr>
              <w:pBdr>
                <w:top w:val="nil"/>
                <w:left w:val="nil"/>
                <w:bottom w:val="nil"/>
                <w:right w:val="nil"/>
                <w:between w:val="nil"/>
              </w:pBdr>
              <w:spacing w:before="120" w:after="120"/>
              <w:ind w:left="706"/>
              <w:rPr>
                <w:b/>
                <w:bCs/>
                <w:color w:val="000000"/>
              </w:rPr>
            </w:pPr>
            <w:r>
              <w:rPr>
                <w:b/>
                <w:bCs/>
                <w:color w:val="000000"/>
              </w:rPr>
              <w:t xml:space="preserve">“Admission Agreement” </w:t>
            </w:r>
          </w:p>
        </w:tc>
        <w:tc>
          <w:tcPr>
            <w:tcW w:w="5650" w:type="dxa"/>
          </w:tcPr>
          <w:p w14:paraId="13B4CA2A" w14:textId="77777777" w:rsidR="007960A8" w:rsidRDefault="00A26397">
            <w:pPr>
              <w:spacing w:before="120" w:after="120"/>
              <w:ind w:left="170"/>
            </w:pPr>
            <w:r>
              <w:t>either or both of the CSPS Admission Agreement (as defined in Annex D1: CSPS) or the LGPS Admission Agreement) as defined in Annex D3: LGPS), as the context requires;</w:t>
            </w:r>
          </w:p>
        </w:tc>
      </w:tr>
      <w:tr w:rsidR="007960A8" w14:paraId="230C8837" w14:textId="77777777">
        <w:tc>
          <w:tcPr>
            <w:tcW w:w="2835" w:type="dxa"/>
          </w:tcPr>
          <w:p w14:paraId="6C396E0F" w14:textId="77777777" w:rsidR="007960A8" w:rsidRDefault="00A26397">
            <w:pPr>
              <w:pBdr>
                <w:top w:val="nil"/>
                <w:left w:val="nil"/>
                <w:bottom w:val="nil"/>
                <w:right w:val="nil"/>
                <w:between w:val="nil"/>
              </w:pBdr>
              <w:spacing w:before="120" w:after="120"/>
              <w:ind w:left="706"/>
              <w:rPr>
                <w:b/>
                <w:bCs/>
                <w:color w:val="000000"/>
              </w:rPr>
            </w:pPr>
            <w:r>
              <w:rPr>
                <w:b/>
                <w:bCs/>
                <w:color w:val="000000"/>
              </w:rPr>
              <w:t>“Acquired Rights Directive”</w:t>
            </w:r>
          </w:p>
        </w:tc>
        <w:tc>
          <w:tcPr>
            <w:tcW w:w="5650" w:type="dxa"/>
          </w:tcPr>
          <w:p w14:paraId="72402D08" w14:textId="77777777" w:rsidR="007960A8" w:rsidRDefault="00A26397">
            <w:pPr>
              <w:spacing w:before="120" w:after="120"/>
              <w:ind w:left="170"/>
            </w:pPr>
            <w:r>
              <w:t>European Council Directive 77/187/EEC</w:t>
            </w:r>
          </w:p>
        </w:tc>
      </w:tr>
      <w:tr w:rsidR="007960A8" w14:paraId="60BBF77E" w14:textId="77777777">
        <w:tc>
          <w:tcPr>
            <w:tcW w:w="2835" w:type="dxa"/>
          </w:tcPr>
          <w:p w14:paraId="32D266A5" w14:textId="77777777" w:rsidR="007960A8" w:rsidRDefault="00A26397">
            <w:pPr>
              <w:pBdr>
                <w:top w:val="nil"/>
                <w:left w:val="nil"/>
                <w:bottom w:val="nil"/>
                <w:right w:val="nil"/>
                <w:between w:val="nil"/>
              </w:pBdr>
              <w:spacing w:before="120" w:after="120"/>
              <w:ind w:left="706"/>
              <w:rPr>
                <w:b/>
                <w:bCs/>
                <w:color w:val="000000"/>
              </w:rPr>
            </w:pPr>
            <w:r>
              <w:rPr>
                <w:b/>
                <w:bCs/>
                <w:color w:val="000000"/>
              </w:rPr>
              <w:t>“Contract Year”</w:t>
            </w:r>
          </w:p>
        </w:tc>
        <w:tc>
          <w:tcPr>
            <w:tcW w:w="5650" w:type="dxa"/>
          </w:tcPr>
          <w:p w14:paraId="4CB8986A" w14:textId="77777777" w:rsidR="007960A8" w:rsidRDefault="00A26397">
            <w:pPr>
              <w:pBdr>
                <w:top w:val="nil"/>
                <w:left w:val="nil"/>
                <w:bottom w:val="nil"/>
                <w:right w:val="nil"/>
                <w:between w:val="nil"/>
              </w:pBdr>
              <w:spacing w:before="96"/>
              <w:ind w:left="169" w:right="485"/>
              <w:rPr>
                <w:color w:val="000000"/>
              </w:rPr>
            </w:pPr>
            <w:r>
              <w:rPr>
                <w:color w:val="000000"/>
              </w:rPr>
              <w:t xml:space="preserve">a consecutive period of twelve (12) Months commencing on the </w:t>
            </w:r>
            <w:r>
              <w:rPr>
                <w:i/>
                <w:iCs/>
                <w:color w:val="000000"/>
              </w:rPr>
              <w:t>Starting Date</w:t>
            </w:r>
            <w:r>
              <w:rPr>
                <w:color w:val="000000"/>
              </w:rPr>
              <w:t xml:space="preserve"> or each anniversary thereof;</w:t>
            </w:r>
          </w:p>
        </w:tc>
      </w:tr>
      <w:tr w:rsidR="007960A8" w14:paraId="2C9EB1DB" w14:textId="77777777">
        <w:tc>
          <w:tcPr>
            <w:tcW w:w="2835" w:type="dxa"/>
          </w:tcPr>
          <w:p w14:paraId="26128693" w14:textId="77777777" w:rsidR="007960A8" w:rsidRDefault="00A26397">
            <w:pPr>
              <w:pBdr>
                <w:top w:val="nil"/>
                <w:left w:val="nil"/>
                <w:bottom w:val="nil"/>
                <w:right w:val="nil"/>
                <w:between w:val="nil"/>
              </w:pBdr>
              <w:spacing w:before="120" w:after="120"/>
              <w:ind w:left="706"/>
              <w:rPr>
                <w:b/>
                <w:bCs/>
                <w:color w:val="000000"/>
              </w:rPr>
            </w:pPr>
            <w:r>
              <w:rPr>
                <w:b/>
                <w:bCs/>
                <w:color w:val="000000"/>
              </w:rPr>
              <w:t>“Dispute Resolution Procedure”</w:t>
            </w:r>
          </w:p>
        </w:tc>
        <w:tc>
          <w:tcPr>
            <w:tcW w:w="5650" w:type="dxa"/>
          </w:tcPr>
          <w:p w14:paraId="2FC17B29" w14:textId="77777777" w:rsidR="007960A8" w:rsidRDefault="00A26397">
            <w:pPr>
              <w:pBdr>
                <w:top w:val="nil"/>
                <w:left w:val="nil"/>
                <w:bottom w:val="nil"/>
                <w:right w:val="nil"/>
                <w:between w:val="nil"/>
              </w:pBdr>
              <w:spacing w:before="96"/>
              <w:ind w:left="169" w:right="485"/>
              <w:rPr>
                <w:color w:val="000000"/>
              </w:rPr>
            </w:pPr>
            <w:r>
              <w:rPr>
                <w:color w:val="000000"/>
              </w:rPr>
              <w:t>the dispute resolution procedure set out in this contract (if any) or as agreed between the parties;</w:t>
            </w:r>
          </w:p>
        </w:tc>
      </w:tr>
      <w:tr w:rsidR="007960A8" w14:paraId="07D50E7B" w14:textId="77777777">
        <w:tc>
          <w:tcPr>
            <w:tcW w:w="2835" w:type="dxa"/>
          </w:tcPr>
          <w:p w14:paraId="5F19EFDB" w14:textId="77777777" w:rsidR="007960A8" w:rsidRDefault="00A26397">
            <w:pPr>
              <w:pBdr>
                <w:top w:val="nil"/>
                <w:left w:val="nil"/>
                <w:bottom w:val="nil"/>
                <w:right w:val="nil"/>
                <w:between w:val="nil"/>
              </w:pBdr>
              <w:spacing w:before="120" w:after="120"/>
              <w:ind w:left="706"/>
              <w:rPr>
                <w:b/>
                <w:bCs/>
                <w:color w:val="000000"/>
              </w:rPr>
            </w:pPr>
            <w:r>
              <w:rPr>
                <w:b/>
                <w:bCs/>
                <w:color w:val="000000"/>
              </w:rPr>
              <w:t>"Employee Liability / Liabilities"</w:t>
            </w:r>
          </w:p>
        </w:tc>
        <w:tc>
          <w:tcPr>
            <w:tcW w:w="5650" w:type="dxa"/>
          </w:tcPr>
          <w:p w14:paraId="01138179" w14:textId="77777777" w:rsidR="007960A8" w:rsidRDefault="00A26397">
            <w:pPr>
              <w:spacing w:before="120" w:after="120"/>
              <w:ind w:left="170"/>
              <w:rPr>
                <w:b/>
                <w:bCs/>
              </w:rPr>
            </w:pPr>
            <w:r>
              <w:t xml:space="preserve">all claims, actions, proceedings, orders, demands, complaints, investigations (save for any claims for personal injury </w:t>
            </w:r>
            <w:r>
              <w:t>which are covered by insurance) and any award, compensation, damages, tribunal awards, fine, loss, order, penalty, disbursement, payment made by way of settlement and costs, expenses and legal costs reasonably incurred in connection with a claim or investi</w:t>
            </w:r>
            <w:r>
              <w:t>gation including in relation to the following:</w:t>
            </w:r>
          </w:p>
          <w:p w14:paraId="645ABB6C" w14:textId="77777777" w:rsidR="007960A8" w:rsidRDefault="00A26397">
            <w:pPr>
              <w:widowControl/>
              <w:numPr>
                <w:ilvl w:val="1"/>
                <w:numId w:val="75"/>
              </w:numPr>
              <w:spacing w:before="120" w:after="120"/>
              <w:ind w:hanging="545"/>
              <w:rPr>
                <w:b/>
                <w:bCs/>
                <w:i/>
                <w:iCs/>
              </w:rPr>
            </w:pPr>
            <w:r>
              <w:rPr>
                <w:color w:val="000000"/>
              </w:rPr>
              <w:t>redundancy</w:t>
            </w:r>
            <w:r>
              <w:t xml:space="preserve"> payments including contractual or enhanced redundancy costs, termination costs and notice payments; </w:t>
            </w:r>
          </w:p>
        </w:tc>
      </w:tr>
      <w:tr w:rsidR="007960A8" w14:paraId="7D04E1DE" w14:textId="77777777">
        <w:tc>
          <w:tcPr>
            <w:tcW w:w="2835" w:type="dxa"/>
          </w:tcPr>
          <w:p w14:paraId="1399475F" w14:textId="77777777" w:rsidR="007960A8" w:rsidRDefault="007960A8">
            <w:pPr>
              <w:pBdr>
                <w:top w:val="nil"/>
                <w:left w:val="nil"/>
                <w:bottom w:val="nil"/>
                <w:right w:val="nil"/>
                <w:between w:val="nil"/>
              </w:pBdr>
              <w:spacing w:before="120" w:after="120"/>
              <w:ind w:left="706"/>
              <w:rPr>
                <w:b/>
                <w:bCs/>
                <w:color w:val="000000"/>
              </w:rPr>
            </w:pPr>
          </w:p>
        </w:tc>
        <w:tc>
          <w:tcPr>
            <w:tcW w:w="5650" w:type="dxa"/>
          </w:tcPr>
          <w:p w14:paraId="7A53D44F" w14:textId="77777777" w:rsidR="007960A8" w:rsidRDefault="00A26397">
            <w:pPr>
              <w:widowControl/>
              <w:numPr>
                <w:ilvl w:val="1"/>
                <w:numId w:val="75"/>
              </w:numPr>
              <w:spacing w:before="120" w:after="120"/>
              <w:ind w:hanging="545"/>
            </w:pPr>
            <w:r>
              <w:t xml:space="preserve">unfair, wrongful or constructive dismissal </w:t>
            </w:r>
            <w:r>
              <w:rPr>
                <w:color w:val="000000"/>
              </w:rPr>
              <w:t>compensation</w:t>
            </w:r>
            <w:r>
              <w:t>;</w:t>
            </w:r>
          </w:p>
        </w:tc>
      </w:tr>
      <w:tr w:rsidR="007960A8" w14:paraId="056AFCD8" w14:textId="77777777">
        <w:tc>
          <w:tcPr>
            <w:tcW w:w="2835" w:type="dxa"/>
          </w:tcPr>
          <w:p w14:paraId="3F59F590" w14:textId="77777777" w:rsidR="007960A8" w:rsidRDefault="007960A8">
            <w:pPr>
              <w:pBdr>
                <w:top w:val="nil"/>
                <w:left w:val="nil"/>
                <w:bottom w:val="nil"/>
                <w:right w:val="nil"/>
                <w:between w:val="nil"/>
              </w:pBdr>
              <w:spacing w:before="120" w:after="120"/>
              <w:ind w:left="706"/>
              <w:rPr>
                <w:b/>
                <w:bCs/>
                <w:color w:val="000000"/>
              </w:rPr>
            </w:pPr>
          </w:p>
        </w:tc>
        <w:tc>
          <w:tcPr>
            <w:tcW w:w="5650" w:type="dxa"/>
          </w:tcPr>
          <w:p w14:paraId="792E6F26" w14:textId="77777777" w:rsidR="007960A8" w:rsidRDefault="00A26397">
            <w:pPr>
              <w:widowControl/>
              <w:numPr>
                <w:ilvl w:val="1"/>
                <w:numId w:val="75"/>
              </w:numPr>
              <w:spacing w:before="120" w:after="120"/>
              <w:ind w:hanging="545"/>
            </w:pPr>
            <w:r>
              <w:t>compensation for discrimination on grounds of sex, race, disability, age, religion or belief,</w:t>
            </w:r>
            <w:r>
              <w:t xml:space="preserve"> gender reassignment, marriage or civil partnership, pregnancy and maternity or sexual orientation or claims for equal pay; </w:t>
            </w:r>
          </w:p>
        </w:tc>
      </w:tr>
      <w:tr w:rsidR="007960A8" w14:paraId="3AE29278" w14:textId="77777777">
        <w:tc>
          <w:tcPr>
            <w:tcW w:w="2835" w:type="dxa"/>
          </w:tcPr>
          <w:p w14:paraId="74729DA4" w14:textId="77777777" w:rsidR="007960A8" w:rsidRDefault="007960A8">
            <w:pPr>
              <w:pBdr>
                <w:top w:val="nil"/>
                <w:left w:val="nil"/>
                <w:bottom w:val="nil"/>
                <w:right w:val="nil"/>
                <w:between w:val="nil"/>
              </w:pBdr>
              <w:spacing w:before="120" w:after="120"/>
              <w:ind w:left="706"/>
              <w:rPr>
                <w:b/>
                <w:bCs/>
                <w:color w:val="000000"/>
              </w:rPr>
            </w:pPr>
          </w:p>
        </w:tc>
        <w:tc>
          <w:tcPr>
            <w:tcW w:w="5650" w:type="dxa"/>
          </w:tcPr>
          <w:p w14:paraId="6C169F1A" w14:textId="77777777" w:rsidR="007960A8" w:rsidRDefault="00A26397">
            <w:pPr>
              <w:widowControl/>
              <w:numPr>
                <w:ilvl w:val="1"/>
                <w:numId w:val="75"/>
              </w:numPr>
              <w:spacing w:before="120" w:after="120"/>
              <w:ind w:hanging="545"/>
            </w:pPr>
            <w:r>
              <w:t>compensation for less favourable treatment of part-time workers or fixed term employees;</w:t>
            </w:r>
          </w:p>
        </w:tc>
      </w:tr>
      <w:tr w:rsidR="007960A8" w14:paraId="7737E4B6" w14:textId="77777777">
        <w:tc>
          <w:tcPr>
            <w:tcW w:w="2835" w:type="dxa"/>
          </w:tcPr>
          <w:p w14:paraId="2119E056" w14:textId="77777777" w:rsidR="007960A8" w:rsidRDefault="007960A8">
            <w:pPr>
              <w:pBdr>
                <w:top w:val="nil"/>
                <w:left w:val="nil"/>
                <w:bottom w:val="nil"/>
                <w:right w:val="nil"/>
                <w:between w:val="nil"/>
              </w:pBdr>
              <w:spacing w:before="120" w:after="120"/>
              <w:ind w:left="706"/>
              <w:rPr>
                <w:b/>
                <w:bCs/>
                <w:color w:val="000000"/>
              </w:rPr>
            </w:pPr>
          </w:p>
        </w:tc>
        <w:tc>
          <w:tcPr>
            <w:tcW w:w="5650" w:type="dxa"/>
          </w:tcPr>
          <w:p w14:paraId="78BFF571" w14:textId="77777777" w:rsidR="007960A8" w:rsidRDefault="00A26397">
            <w:pPr>
              <w:widowControl/>
              <w:numPr>
                <w:ilvl w:val="1"/>
                <w:numId w:val="75"/>
              </w:numPr>
              <w:spacing w:before="120" w:after="120"/>
              <w:ind w:hanging="545"/>
              <w:rPr>
                <w:b/>
                <w:bCs/>
                <w:i/>
                <w:iCs/>
              </w:rPr>
            </w:pPr>
            <w:r>
              <w:t>outstanding debts and unlawful deducti</w:t>
            </w:r>
            <w:r>
              <w:t xml:space="preserve">on of wages </w:t>
            </w:r>
            <w:r>
              <w:rPr>
                <w:color w:val="000000"/>
              </w:rPr>
              <w:t>including</w:t>
            </w:r>
            <w:r>
              <w:t xml:space="preserve"> any PAYE and National Insurance Contributions in relation to payments made by the </w:t>
            </w:r>
            <w:r>
              <w:rPr>
                <w:i/>
                <w:iCs/>
              </w:rPr>
              <w:t>Client</w:t>
            </w:r>
            <w:r>
              <w:t xml:space="preserve"> or the Replacement Service Provider to a Transferring Service Provider Employee which would have been payable by the </w:t>
            </w:r>
            <w:r>
              <w:rPr>
                <w:i/>
                <w:iCs/>
              </w:rPr>
              <w:t>Service Provider</w:t>
            </w:r>
            <w:r>
              <w:t xml:space="preserve"> or the Subc</w:t>
            </w:r>
            <w:r>
              <w:t>ontractor if such payment should have been made prior to the Service Transfer Date and also including any payments arising in respect of pensions;</w:t>
            </w:r>
          </w:p>
        </w:tc>
      </w:tr>
      <w:tr w:rsidR="007960A8" w14:paraId="61EBBF67" w14:textId="77777777">
        <w:tc>
          <w:tcPr>
            <w:tcW w:w="2835" w:type="dxa"/>
          </w:tcPr>
          <w:p w14:paraId="364E1347" w14:textId="77777777" w:rsidR="007960A8" w:rsidRDefault="007960A8">
            <w:pPr>
              <w:keepNext/>
              <w:pBdr>
                <w:top w:val="nil"/>
                <w:left w:val="nil"/>
                <w:bottom w:val="nil"/>
                <w:right w:val="nil"/>
                <w:between w:val="nil"/>
              </w:pBdr>
              <w:spacing w:before="120" w:after="120"/>
              <w:ind w:left="706"/>
              <w:rPr>
                <w:b/>
                <w:bCs/>
                <w:color w:val="000000"/>
              </w:rPr>
            </w:pPr>
          </w:p>
        </w:tc>
        <w:tc>
          <w:tcPr>
            <w:tcW w:w="5650" w:type="dxa"/>
          </w:tcPr>
          <w:p w14:paraId="6C4659B1" w14:textId="77777777" w:rsidR="007960A8" w:rsidRDefault="00A26397">
            <w:pPr>
              <w:widowControl/>
              <w:numPr>
                <w:ilvl w:val="1"/>
                <w:numId w:val="75"/>
              </w:numPr>
              <w:spacing w:before="120" w:after="120"/>
              <w:ind w:hanging="545"/>
              <w:rPr>
                <w:b/>
                <w:bCs/>
                <w:i/>
                <w:iCs/>
              </w:rPr>
            </w:pPr>
            <w:r>
              <w:t>claims whether in tort, contract or statute or otherwise;</w:t>
            </w:r>
          </w:p>
        </w:tc>
      </w:tr>
      <w:tr w:rsidR="007960A8" w14:paraId="25CED116" w14:textId="77777777">
        <w:tc>
          <w:tcPr>
            <w:tcW w:w="2835" w:type="dxa"/>
          </w:tcPr>
          <w:p w14:paraId="2C1AC609" w14:textId="77777777" w:rsidR="007960A8" w:rsidRDefault="007960A8">
            <w:pPr>
              <w:keepNext/>
              <w:pBdr>
                <w:top w:val="nil"/>
                <w:left w:val="nil"/>
                <w:bottom w:val="nil"/>
                <w:right w:val="nil"/>
                <w:between w:val="nil"/>
              </w:pBdr>
              <w:spacing w:before="120" w:after="120"/>
              <w:ind w:left="706"/>
              <w:rPr>
                <w:b/>
                <w:bCs/>
                <w:color w:val="000000"/>
              </w:rPr>
            </w:pPr>
          </w:p>
        </w:tc>
        <w:tc>
          <w:tcPr>
            <w:tcW w:w="5650" w:type="dxa"/>
          </w:tcPr>
          <w:p w14:paraId="1A2C052A" w14:textId="77777777" w:rsidR="007960A8" w:rsidRDefault="00A26397">
            <w:pPr>
              <w:widowControl/>
              <w:numPr>
                <w:ilvl w:val="1"/>
                <w:numId w:val="75"/>
              </w:numPr>
              <w:spacing w:before="120" w:after="120"/>
              <w:ind w:hanging="545"/>
              <w:rPr>
                <w:i/>
                <w:iCs/>
              </w:rPr>
            </w:pPr>
            <w:r>
              <w:t>any investigation relating to by the Equality and Human Rights Commission or other enforcement, regulatory or supervisory body and of implementing any requirements which may arise from such investigation;</w:t>
            </w:r>
          </w:p>
        </w:tc>
      </w:tr>
      <w:tr w:rsidR="007960A8" w14:paraId="68D3CDEB" w14:textId="77777777">
        <w:tc>
          <w:tcPr>
            <w:tcW w:w="2835" w:type="dxa"/>
          </w:tcPr>
          <w:p w14:paraId="0A37EEA5" w14:textId="77777777" w:rsidR="007960A8" w:rsidRDefault="00A26397">
            <w:pPr>
              <w:pBdr>
                <w:top w:val="nil"/>
                <w:left w:val="nil"/>
                <w:bottom w:val="nil"/>
                <w:right w:val="nil"/>
                <w:between w:val="nil"/>
              </w:pBdr>
              <w:spacing w:before="120" w:after="120"/>
              <w:ind w:left="709"/>
              <w:rPr>
                <w:b/>
                <w:bCs/>
                <w:color w:val="000000"/>
              </w:rPr>
            </w:pPr>
            <w:r>
              <w:rPr>
                <w:b/>
                <w:bCs/>
                <w:color w:val="000000"/>
              </w:rPr>
              <w:t>“Employment Regulations”</w:t>
            </w:r>
          </w:p>
        </w:tc>
        <w:tc>
          <w:tcPr>
            <w:tcW w:w="5650" w:type="dxa"/>
          </w:tcPr>
          <w:p w14:paraId="1ECAE584" w14:textId="77777777" w:rsidR="007960A8" w:rsidRDefault="00A26397">
            <w:pPr>
              <w:pBdr>
                <w:top w:val="nil"/>
                <w:left w:val="nil"/>
                <w:bottom w:val="nil"/>
                <w:right w:val="nil"/>
                <w:between w:val="nil"/>
              </w:pBdr>
              <w:spacing w:before="120" w:after="120"/>
            </w:pPr>
            <w:r>
              <w:t>the Transfer of Undertakings (Protection of Employment) Regulations 2006 (SI 2006/246) as amended or replaced;</w:t>
            </w:r>
          </w:p>
        </w:tc>
      </w:tr>
      <w:tr w:rsidR="007960A8" w14:paraId="2AE2350F" w14:textId="77777777">
        <w:tc>
          <w:tcPr>
            <w:tcW w:w="2835" w:type="dxa"/>
          </w:tcPr>
          <w:p w14:paraId="208FAFD4" w14:textId="77777777" w:rsidR="007960A8" w:rsidRDefault="00A26397">
            <w:pPr>
              <w:pBdr>
                <w:top w:val="nil"/>
                <w:left w:val="nil"/>
                <w:bottom w:val="nil"/>
                <w:right w:val="nil"/>
                <w:between w:val="nil"/>
              </w:pBdr>
              <w:spacing w:before="120" w:after="120"/>
              <w:ind w:left="709"/>
              <w:rPr>
                <w:b/>
                <w:bCs/>
                <w:color w:val="000000"/>
              </w:rPr>
            </w:pPr>
            <w:r>
              <w:rPr>
                <w:b/>
                <w:bCs/>
                <w:color w:val="000000"/>
              </w:rPr>
              <w:t>“Fair Deal Employees”</w:t>
            </w:r>
          </w:p>
          <w:p w14:paraId="43590A5E" w14:textId="77777777" w:rsidR="007960A8" w:rsidRDefault="00A26397">
            <w:pPr>
              <w:pBdr>
                <w:top w:val="nil"/>
                <w:left w:val="nil"/>
                <w:bottom w:val="nil"/>
                <w:right w:val="nil"/>
                <w:between w:val="nil"/>
              </w:pBdr>
              <w:spacing w:before="240" w:after="120"/>
              <w:ind w:left="709"/>
              <w:rPr>
                <w:b/>
                <w:bCs/>
                <w:color w:val="000000"/>
              </w:rPr>
            </w:pPr>
            <w:r>
              <w:rPr>
                <w:b/>
                <w:bCs/>
                <w:color w:val="000000"/>
              </w:rPr>
              <w:t>"Former Service Provider"</w:t>
            </w:r>
          </w:p>
          <w:p w14:paraId="49EF9463" w14:textId="77777777" w:rsidR="007960A8" w:rsidRDefault="007960A8">
            <w:pPr>
              <w:pBdr>
                <w:top w:val="nil"/>
                <w:left w:val="nil"/>
                <w:bottom w:val="nil"/>
                <w:right w:val="nil"/>
                <w:between w:val="nil"/>
              </w:pBdr>
              <w:spacing w:before="120" w:after="120"/>
              <w:ind w:left="709"/>
              <w:rPr>
                <w:b/>
                <w:bCs/>
                <w:color w:val="000000"/>
              </w:rPr>
            </w:pPr>
          </w:p>
        </w:tc>
        <w:tc>
          <w:tcPr>
            <w:tcW w:w="5650" w:type="dxa"/>
          </w:tcPr>
          <w:p w14:paraId="071C6473" w14:textId="77777777" w:rsidR="007960A8" w:rsidRDefault="00A26397">
            <w:pPr>
              <w:pBdr>
                <w:top w:val="nil"/>
                <w:left w:val="nil"/>
                <w:bottom w:val="nil"/>
                <w:right w:val="nil"/>
                <w:between w:val="nil"/>
              </w:pBdr>
              <w:spacing w:before="120" w:after="120"/>
            </w:pPr>
            <w:r>
              <w:t>as defined in Part D;</w:t>
            </w:r>
          </w:p>
          <w:p w14:paraId="67463204" w14:textId="77777777" w:rsidR="007960A8" w:rsidRDefault="007960A8">
            <w:pPr>
              <w:pBdr>
                <w:top w:val="nil"/>
                <w:left w:val="nil"/>
                <w:bottom w:val="nil"/>
                <w:right w:val="nil"/>
                <w:between w:val="nil"/>
              </w:pBdr>
              <w:spacing w:before="120" w:after="120"/>
            </w:pPr>
          </w:p>
          <w:p w14:paraId="0AF9C409" w14:textId="77777777" w:rsidR="007960A8" w:rsidRDefault="00A26397">
            <w:pPr>
              <w:pBdr>
                <w:top w:val="nil"/>
                <w:left w:val="nil"/>
                <w:bottom w:val="nil"/>
                <w:right w:val="nil"/>
                <w:between w:val="nil"/>
              </w:pBdr>
            </w:pPr>
            <w:r>
              <w:t xml:space="preserve">a supplier supplying the </w:t>
            </w:r>
            <w:r>
              <w:rPr>
                <w:i/>
                <w:iCs/>
              </w:rPr>
              <w:t>services</w:t>
            </w:r>
            <w:r>
              <w:t xml:space="preserve"> to the </w:t>
            </w:r>
            <w:r>
              <w:rPr>
                <w:i/>
                <w:iCs/>
              </w:rPr>
              <w:t>Client</w:t>
            </w:r>
            <w:r>
              <w:t xml:space="preserve"> before any Relevant Transfer Date that are the same as or substantially similar to the </w:t>
            </w:r>
            <w:r>
              <w:rPr>
                <w:i/>
                <w:iCs/>
              </w:rPr>
              <w:t>services</w:t>
            </w:r>
            <w:r>
              <w:t xml:space="preserve"> (or any part of the </w:t>
            </w:r>
            <w:r>
              <w:rPr>
                <w:i/>
                <w:iCs/>
              </w:rPr>
              <w:t>services</w:t>
            </w:r>
            <w:r>
              <w:t>) and shall include any subcontractor of such supplier (or any subcontractor of any such subcontractor);</w:t>
            </w:r>
          </w:p>
        </w:tc>
      </w:tr>
      <w:tr w:rsidR="007960A8" w14:paraId="3E19D7B3" w14:textId="77777777">
        <w:tc>
          <w:tcPr>
            <w:tcW w:w="2835" w:type="dxa"/>
          </w:tcPr>
          <w:p w14:paraId="431A453C" w14:textId="77777777" w:rsidR="007960A8" w:rsidRDefault="00A26397">
            <w:pPr>
              <w:pBdr>
                <w:top w:val="nil"/>
                <w:left w:val="nil"/>
                <w:bottom w:val="nil"/>
                <w:right w:val="nil"/>
                <w:between w:val="nil"/>
              </w:pBdr>
              <w:spacing w:before="120" w:after="120"/>
              <w:ind w:left="709"/>
              <w:rPr>
                <w:b/>
                <w:bCs/>
                <w:color w:val="000000"/>
              </w:rPr>
            </w:pPr>
            <w:r>
              <w:rPr>
                <w:b/>
                <w:bCs/>
                <w:color w:val="000000"/>
              </w:rPr>
              <w:t>"Final Service Provider Staff List"</w:t>
            </w:r>
          </w:p>
        </w:tc>
        <w:tc>
          <w:tcPr>
            <w:tcW w:w="5650" w:type="dxa"/>
          </w:tcPr>
          <w:p w14:paraId="61DEDEE5" w14:textId="77777777" w:rsidR="007960A8" w:rsidRDefault="00A26397">
            <w:pPr>
              <w:spacing w:before="120" w:after="120"/>
            </w:pPr>
            <w:r>
              <w:t xml:space="preserve">a list provided by the </w:t>
            </w:r>
            <w:r>
              <w:rPr>
                <w:i/>
                <w:iCs/>
              </w:rPr>
              <w:t>Service Provider</w:t>
            </w:r>
            <w:r>
              <w:t xml:space="preserve"> of all Service Provider Staff who will transfer under the Employment Regulations on the Service Transfer Date;</w:t>
            </w:r>
          </w:p>
        </w:tc>
      </w:tr>
      <w:tr w:rsidR="007960A8" w14:paraId="071C72CF" w14:textId="77777777">
        <w:trPr>
          <w:trHeight w:val="3560"/>
        </w:trPr>
        <w:tc>
          <w:tcPr>
            <w:tcW w:w="2835" w:type="dxa"/>
          </w:tcPr>
          <w:p w14:paraId="0074C613" w14:textId="77777777" w:rsidR="007960A8" w:rsidRDefault="00A26397">
            <w:pPr>
              <w:pBdr>
                <w:top w:val="nil"/>
                <w:left w:val="nil"/>
                <w:bottom w:val="nil"/>
                <w:right w:val="nil"/>
                <w:between w:val="nil"/>
              </w:pBdr>
              <w:spacing w:before="120" w:after="120"/>
              <w:ind w:left="709"/>
              <w:rPr>
                <w:b/>
                <w:bCs/>
                <w:color w:val="000000"/>
              </w:rPr>
            </w:pPr>
            <w:r>
              <w:rPr>
                <w:b/>
                <w:bCs/>
                <w:color w:val="000000"/>
              </w:rPr>
              <w:t>“Losses”</w:t>
            </w:r>
          </w:p>
        </w:tc>
        <w:tc>
          <w:tcPr>
            <w:tcW w:w="5650" w:type="dxa"/>
          </w:tcPr>
          <w:p w14:paraId="1ADF646D" w14:textId="77777777" w:rsidR="007960A8" w:rsidRDefault="00A26397">
            <w:pPr>
              <w:pBdr>
                <w:top w:val="nil"/>
                <w:left w:val="nil"/>
                <w:bottom w:val="nil"/>
                <w:right w:val="nil"/>
                <w:between w:val="nil"/>
              </w:pBdr>
              <w:spacing w:before="120" w:after="120"/>
            </w:pPr>
            <w:r>
              <w:t>All losses, liabilities, damages, costs, expenses (includin</w:t>
            </w:r>
            <w:r>
              <w:t>g legal fees), disbursements, costs of investigation, litigation, settlement, judgment, interest and penalties whether arising in contract, tort (including negligence), breach of statutory duty, misrepresentation or otherwise and “Loss” shall be interprete</w:t>
            </w:r>
            <w:r>
              <w:t>d accordingly’</w:t>
            </w:r>
          </w:p>
        </w:tc>
      </w:tr>
      <w:tr w:rsidR="007960A8" w14:paraId="114E368D" w14:textId="77777777">
        <w:trPr>
          <w:trHeight w:val="3560"/>
        </w:trPr>
        <w:tc>
          <w:tcPr>
            <w:tcW w:w="2835" w:type="dxa"/>
          </w:tcPr>
          <w:p w14:paraId="696D1992" w14:textId="77777777" w:rsidR="007960A8" w:rsidRDefault="00A26397">
            <w:pPr>
              <w:pBdr>
                <w:top w:val="nil"/>
                <w:left w:val="nil"/>
                <w:bottom w:val="nil"/>
                <w:right w:val="nil"/>
                <w:between w:val="nil"/>
              </w:pBdr>
              <w:spacing w:before="120" w:after="120"/>
              <w:ind w:left="709"/>
              <w:rPr>
                <w:b/>
                <w:bCs/>
                <w:color w:val="000000"/>
              </w:rPr>
            </w:pPr>
            <w:r>
              <w:rPr>
                <w:b/>
                <w:bCs/>
                <w:color w:val="000000"/>
              </w:rPr>
              <w:t>"New Fair Deal"</w:t>
            </w:r>
          </w:p>
        </w:tc>
        <w:tc>
          <w:tcPr>
            <w:tcW w:w="5650" w:type="dxa"/>
          </w:tcPr>
          <w:p w14:paraId="197AD83C" w14:textId="77777777" w:rsidR="007960A8" w:rsidRDefault="00A26397">
            <w:pPr>
              <w:pBdr>
                <w:top w:val="nil"/>
                <w:left w:val="nil"/>
                <w:bottom w:val="nil"/>
                <w:right w:val="nil"/>
                <w:between w:val="nil"/>
              </w:pBdr>
              <w:spacing w:before="120" w:after="120"/>
            </w:pPr>
            <w:r>
              <w:t>the revised Fair Deal position set out in the HM Treasury guidance: "</w:t>
            </w:r>
            <w:r>
              <w:rPr>
                <w:i/>
                <w:iCs/>
              </w:rPr>
              <w:t>Fair Deal for Staff Pensions: Staff Transfer from Central Government</w:t>
            </w:r>
            <w:r>
              <w:t>" issued in October 2013 including:</w:t>
            </w:r>
          </w:p>
          <w:p w14:paraId="18C63E08" w14:textId="77777777" w:rsidR="007960A8" w:rsidRDefault="00A26397">
            <w:pPr>
              <w:widowControl/>
              <w:numPr>
                <w:ilvl w:val="5"/>
                <w:numId w:val="75"/>
              </w:numPr>
              <w:pBdr>
                <w:top w:val="nil"/>
                <w:left w:val="nil"/>
                <w:bottom w:val="nil"/>
                <w:right w:val="nil"/>
                <w:between w:val="nil"/>
              </w:pBdr>
              <w:spacing w:before="120" w:after="120"/>
              <w:ind w:left="1506" w:hanging="567"/>
            </w:pPr>
            <w:r>
              <w:t>any amendments to that document immediately prior to the Relevant Transfer Date; and</w:t>
            </w:r>
          </w:p>
          <w:p w14:paraId="08467048" w14:textId="77777777" w:rsidR="007960A8" w:rsidRDefault="00A26397">
            <w:pPr>
              <w:widowControl/>
              <w:numPr>
                <w:ilvl w:val="5"/>
                <w:numId w:val="75"/>
              </w:numPr>
              <w:pBdr>
                <w:top w:val="nil"/>
                <w:left w:val="nil"/>
                <w:bottom w:val="nil"/>
                <w:right w:val="nil"/>
                <w:between w:val="nil"/>
              </w:pBdr>
              <w:spacing w:before="120" w:after="120"/>
              <w:ind w:left="1506" w:hanging="567"/>
            </w:pPr>
            <w:r>
              <w:t xml:space="preserve">any similar pension protection in accordance with the Annexes D1-D3 inclusive to Part D of this Schedule as notified to the </w:t>
            </w:r>
            <w:r>
              <w:rPr>
                <w:i/>
                <w:iCs/>
              </w:rPr>
              <w:t>Service Provider</w:t>
            </w:r>
            <w:r>
              <w:t xml:space="preserve"> by the </w:t>
            </w:r>
            <w:r>
              <w:rPr>
                <w:i/>
                <w:iCs/>
              </w:rPr>
              <w:t>Client</w:t>
            </w:r>
            <w:r>
              <w:t>;</w:t>
            </w:r>
          </w:p>
        </w:tc>
      </w:tr>
      <w:tr w:rsidR="007960A8" w14:paraId="7F87E65D" w14:textId="77777777">
        <w:trPr>
          <w:trHeight w:val="1216"/>
        </w:trPr>
        <w:tc>
          <w:tcPr>
            <w:tcW w:w="2835" w:type="dxa"/>
          </w:tcPr>
          <w:p w14:paraId="008F8223" w14:textId="77777777" w:rsidR="007960A8" w:rsidRDefault="00A26397">
            <w:pPr>
              <w:pBdr>
                <w:top w:val="nil"/>
                <w:left w:val="nil"/>
                <w:bottom w:val="nil"/>
                <w:right w:val="nil"/>
                <w:between w:val="nil"/>
              </w:pBdr>
              <w:spacing w:before="120" w:after="120"/>
              <w:ind w:left="709"/>
              <w:rPr>
                <w:b/>
                <w:bCs/>
                <w:color w:val="000000"/>
              </w:rPr>
            </w:pPr>
            <w:r>
              <w:rPr>
                <w:b/>
                <w:bCs/>
                <w:color w:val="000000"/>
              </w:rPr>
              <w:t>“Notified Subc</w:t>
            </w:r>
            <w:r>
              <w:rPr>
                <w:b/>
                <w:bCs/>
                <w:color w:val="000000"/>
              </w:rPr>
              <w:t>ontractor”</w:t>
            </w:r>
          </w:p>
          <w:p w14:paraId="1C803410" w14:textId="77777777" w:rsidR="007960A8" w:rsidRDefault="007960A8">
            <w:pPr>
              <w:pBdr>
                <w:top w:val="nil"/>
                <w:left w:val="nil"/>
                <w:bottom w:val="nil"/>
                <w:right w:val="nil"/>
                <w:between w:val="nil"/>
              </w:pBdr>
              <w:spacing w:before="120" w:after="120"/>
              <w:ind w:left="709"/>
              <w:rPr>
                <w:b/>
                <w:bCs/>
                <w:color w:val="000000"/>
              </w:rPr>
            </w:pPr>
          </w:p>
        </w:tc>
        <w:tc>
          <w:tcPr>
            <w:tcW w:w="5650" w:type="dxa"/>
          </w:tcPr>
          <w:p w14:paraId="7D59F7E4" w14:textId="77777777" w:rsidR="007960A8" w:rsidRDefault="00A26397">
            <w:pPr>
              <w:pBdr>
                <w:top w:val="nil"/>
                <w:left w:val="nil"/>
                <w:bottom w:val="nil"/>
                <w:right w:val="nil"/>
                <w:between w:val="nil"/>
              </w:pBdr>
              <w:spacing w:before="120" w:after="120"/>
              <w:rPr>
                <w:color w:val="000000"/>
              </w:rPr>
            </w:pPr>
            <w:r>
              <w:t>a subcontractor identified in the Annex to this Schedule to whom Transferring Client Employees and/or Transferring Former Service Provider Employees will transfer on a Relevant Transfer Date;</w:t>
            </w:r>
          </w:p>
        </w:tc>
      </w:tr>
      <w:tr w:rsidR="007960A8" w14:paraId="7E20777B" w14:textId="77777777">
        <w:tc>
          <w:tcPr>
            <w:tcW w:w="2835" w:type="dxa"/>
          </w:tcPr>
          <w:p w14:paraId="1B9D8209" w14:textId="77777777" w:rsidR="007960A8" w:rsidRDefault="00A26397">
            <w:pPr>
              <w:pBdr>
                <w:top w:val="nil"/>
                <w:left w:val="nil"/>
                <w:bottom w:val="nil"/>
                <w:right w:val="nil"/>
                <w:between w:val="nil"/>
              </w:pBdr>
              <w:spacing w:before="120" w:after="120"/>
              <w:ind w:left="709"/>
              <w:rPr>
                <w:b/>
                <w:bCs/>
                <w:color w:val="000000"/>
              </w:rPr>
            </w:pPr>
            <w:r>
              <w:rPr>
                <w:b/>
                <w:bCs/>
                <w:color w:val="000000"/>
              </w:rPr>
              <w:t>“Old Fair Deal”</w:t>
            </w:r>
          </w:p>
        </w:tc>
        <w:tc>
          <w:tcPr>
            <w:tcW w:w="5650" w:type="dxa"/>
          </w:tcPr>
          <w:p w14:paraId="04925DAD" w14:textId="77777777" w:rsidR="007960A8" w:rsidRDefault="00A26397">
            <w:pPr>
              <w:pBdr>
                <w:top w:val="nil"/>
                <w:left w:val="nil"/>
                <w:bottom w:val="nil"/>
                <w:right w:val="nil"/>
                <w:between w:val="nil"/>
              </w:pBdr>
              <w:spacing w:before="120" w:after="120"/>
              <w:rPr>
                <w:color w:val="000000"/>
              </w:rPr>
            </w:pPr>
            <w:r>
              <w:rPr>
                <w:color w:val="000000"/>
              </w:rPr>
              <w:t>HM Treasury Guidance “</w:t>
            </w:r>
            <w:r>
              <w:rPr>
                <w:i/>
                <w:iCs/>
                <w:color w:val="000000"/>
              </w:rPr>
              <w:t>Staff Transfers from Cent</w:t>
            </w:r>
            <w:r>
              <w:rPr>
                <w:i/>
                <w:iCs/>
                <w:color w:val="000000"/>
              </w:rPr>
              <w:t>ral Government: A Fair Deal for Staff Pensions</w:t>
            </w:r>
            <w:r>
              <w:rPr>
                <w:color w:val="000000"/>
              </w:rPr>
              <w:t>” issued in June 1999 including the supplementary guidance “</w:t>
            </w:r>
            <w:r>
              <w:rPr>
                <w:i/>
                <w:iCs/>
                <w:color w:val="000000"/>
              </w:rPr>
              <w:t>Fair Deal for Staff pensions: Procurement of Bulk Transfer Agreements and Related Issues</w:t>
            </w:r>
            <w:r>
              <w:rPr>
                <w:color w:val="000000"/>
              </w:rPr>
              <w:t>” issued in June 2004;</w:t>
            </w:r>
          </w:p>
        </w:tc>
      </w:tr>
      <w:tr w:rsidR="007960A8" w14:paraId="41DB386A" w14:textId="77777777">
        <w:tc>
          <w:tcPr>
            <w:tcW w:w="2835" w:type="dxa"/>
          </w:tcPr>
          <w:p w14:paraId="3E94AE62" w14:textId="77777777" w:rsidR="007960A8" w:rsidRDefault="00A26397">
            <w:pPr>
              <w:pBdr>
                <w:top w:val="nil"/>
                <w:left w:val="nil"/>
                <w:bottom w:val="nil"/>
                <w:right w:val="nil"/>
                <w:between w:val="nil"/>
              </w:pBdr>
              <w:spacing w:before="120" w:after="120"/>
              <w:ind w:left="709"/>
              <w:rPr>
                <w:b/>
                <w:bCs/>
                <w:color w:val="000000"/>
              </w:rPr>
            </w:pPr>
            <w:r>
              <w:rPr>
                <w:b/>
                <w:bCs/>
                <w:color w:val="000000"/>
              </w:rPr>
              <w:t>"Partial Termination"</w:t>
            </w:r>
          </w:p>
        </w:tc>
        <w:tc>
          <w:tcPr>
            <w:tcW w:w="5650" w:type="dxa"/>
          </w:tcPr>
          <w:p w14:paraId="68F2B373" w14:textId="77777777" w:rsidR="007960A8" w:rsidRDefault="00A26397">
            <w:pPr>
              <w:pBdr>
                <w:top w:val="nil"/>
                <w:left w:val="nil"/>
                <w:bottom w:val="nil"/>
                <w:right w:val="nil"/>
                <w:between w:val="nil"/>
              </w:pBdr>
              <w:spacing w:before="120" w:after="120"/>
              <w:rPr>
                <w:color w:val="000000"/>
              </w:rPr>
            </w:pPr>
            <w:r>
              <w:rPr>
                <w:color w:val="000000"/>
              </w:rPr>
              <w:t>an instruction t</w:t>
            </w:r>
            <w:r>
              <w:rPr>
                <w:color w:val="000000"/>
              </w:rPr>
              <w:t xml:space="preserve">o omit </w:t>
            </w:r>
            <w:r>
              <w:rPr>
                <w:i/>
                <w:iCs/>
                <w:color w:val="000000"/>
              </w:rPr>
              <w:t>services</w:t>
            </w:r>
            <w:r>
              <w:rPr>
                <w:color w:val="000000"/>
              </w:rPr>
              <w:t xml:space="preserve"> from the Contract;</w:t>
            </w:r>
          </w:p>
        </w:tc>
      </w:tr>
      <w:tr w:rsidR="007960A8" w14:paraId="13A275EA" w14:textId="77777777">
        <w:tc>
          <w:tcPr>
            <w:tcW w:w="2835" w:type="dxa"/>
          </w:tcPr>
          <w:p w14:paraId="12101B18" w14:textId="77777777" w:rsidR="007960A8" w:rsidRDefault="00A26397">
            <w:pPr>
              <w:pBdr>
                <w:top w:val="nil"/>
                <w:left w:val="nil"/>
                <w:bottom w:val="nil"/>
                <w:right w:val="nil"/>
                <w:between w:val="nil"/>
              </w:pBdr>
              <w:spacing w:before="120" w:after="120"/>
              <w:ind w:left="709"/>
              <w:rPr>
                <w:b/>
                <w:bCs/>
              </w:rPr>
            </w:pPr>
            <w:r>
              <w:rPr>
                <w:b/>
                <w:bCs/>
              </w:rPr>
              <w:t>"Provisional Service Provider Staff List"</w:t>
            </w:r>
          </w:p>
        </w:tc>
        <w:tc>
          <w:tcPr>
            <w:tcW w:w="5650" w:type="dxa"/>
          </w:tcPr>
          <w:p w14:paraId="0EEC205E" w14:textId="77777777" w:rsidR="007960A8" w:rsidRDefault="00A26397">
            <w:pPr>
              <w:spacing w:before="120" w:after="120"/>
            </w:pPr>
            <w:r>
              <w:t xml:space="preserve">a list prepared and updated by the </w:t>
            </w:r>
            <w:r>
              <w:rPr>
                <w:i/>
                <w:iCs/>
              </w:rPr>
              <w:t>Service Provider</w:t>
            </w:r>
            <w:r>
              <w:t xml:space="preserve"> of all Service Provider Staff who are at the date of the list wholly or mainly engaged in or assigned to the provision of the </w:t>
            </w:r>
            <w:r>
              <w:rPr>
                <w:i/>
                <w:iCs/>
              </w:rPr>
              <w:t>services</w:t>
            </w:r>
            <w:r>
              <w:t xml:space="preserve"> or any relevant part of the </w:t>
            </w:r>
            <w:r>
              <w:rPr>
                <w:i/>
                <w:iCs/>
              </w:rPr>
              <w:t>services</w:t>
            </w:r>
            <w:r>
              <w:t xml:space="preserve"> which it is envisaged as at the date of such list will no longer be provided by the</w:t>
            </w:r>
            <w:r>
              <w:t xml:space="preserve"> </w:t>
            </w:r>
            <w:r>
              <w:rPr>
                <w:i/>
                <w:iCs/>
              </w:rPr>
              <w:t>Service Provider</w:t>
            </w:r>
            <w:r>
              <w:t>;</w:t>
            </w:r>
          </w:p>
        </w:tc>
      </w:tr>
      <w:tr w:rsidR="007960A8" w14:paraId="46A1ACFB" w14:textId="77777777">
        <w:tc>
          <w:tcPr>
            <w:tcW w:w="2835" w:type="dxa"/>
          </w:tcPr>
          <w:p w14:paraId="5A925B96" w14:textId="77777777" w:rsidR="007960A8" w:rsidRDefault="00A26397">
            <w:pPr>
              <w:pBdr>
                <w:top w:val="nil"/>
                <w:left w:val="nil"/>
                <w:bottom w:val="nil"/>
                <w:right w:val="nil"/>
                <w:between w:val="nil"/>
              </w:pBdr>
              <w:spacing w:before="120" w:after="120"/>
              <w:ind w:left="709"/>
              <w:rPr>
                <w:b/>
                <w:bCs/>
                <w:color w:val="000000"/>
              </w:rPr>
            </w:pPr>
            <w:r>
              <w:rPr>
                <w:b/>
                <w:bCs/>
                <w:color w:val="000000"/>
              </w:rPr>
              <w:t>“Replacement Service Provider”</w:t>
            </w:r>
          </w:p>
        </w:tc>
        <w:tc>
          <w:tcPr>
            <w:tcW w:w="5650" w:type="dxa"/>
          </w:tcPr>
          <w:p w14:paraId="3BD07191" w14:textId="77777777" w:rsidR="007960A8" w:rsidRDefault="00A26397">
            <w:pPr>
              <w:pBdr>
                <w:top w:val="nil"/>
                <w:left w:val="nil"/>
                <w:bottom w:val="nil"/>
                <w:right w:val="nil"/>
                <w:between w:val="nil"/>
              </w:pBdr>
              <w:spacing w:before="120" w:after="120"/>
            </w:pPr>
            <w:r>
              <w:t xml:space="preserve">Any third party provider of Replacement Services appointed by or at the direction of the </w:t>
            </w:r>
            <w:r>
              <w:rPr>
                <w:i/>
                <w:iCs/>
              </w:rPr>
              <w:t>Client</w:t>
            </w:r>
            <w:r>
              <w:t xml:space="preserve"> from time to time or where the </w:t>
            </w:r>
            <w:r>
              <w:rPr>
                <w:i/>
                <w:iCs/>
              </w:rPr>
              <w:t>Client</w:t>
            </w:r>
            <w:r>
              <w:t xml:space="preserve"> is providing Replacement Services for its own account, shall also inclu</w:t>
            </w:r>
            <w:r>
              <w:t xml:space="preserve">de the </w:t>
            </w:r>
            <w:r>
              <w:rPr>
                <w:i/>
                <w:iCs/>
              </w:rPr>
              <w:t>Client</w:t>
            </w:r>
            <w:r>
              <w:t>;</w:t>
            </w:r>
          </w:p>
        </w:tc>
      </w:tr>
      <w:tr w:rsidR="007960A8" w14:paraId="45EC7234" w14:textId="77777777">
        <w:tc>
          <w:tcPr>
            <w:tcW w:w="2835" w:type="dxa"/>
          </w:tcPr>
          <w:p w14:paraId="4375E2D7" w14:textId="77777777" w:rsidR="007960A8" w:rsidRDefault="00A26397">
            <w:pPr>
              <w:pBdr>
                <w:top w:val="nil"/>
                <w:left w:val="nil"/>
                <w:bottom w:val="nil"/>
                <w:right w:val="nil"/>
                <w:between w:val="nil"/>
              </w:pBdr>
              <w:spacing w:before="120" w:after="120"/>
              <w:ind w:left="709"/>
              <w:rPr>
                <w:b/>
                <w:bCs/>
                <w:color w:val="000000"/>
              </w:rPr>
            </w:pPr>
            <w:r>
              <w:rPr>
                <w:b/>
                <w:bCs/>
                <w:color w:val="000000"/>
              </w:rPr>
              <w:t>“Replacement Services”</w:t>
            </w:r>
          </w:p>
        </w:tc>
        <w:tc>
          <w:tcPr>
            <w:tcW w:w="5650" w:type="dxa"/>
          </w:tcPr>
          <w:p w14:paraId="1C8C1ACA" w14:textId="77777777" w:rsidR="007960A8" w:rsidRDefault="00A26397">
            <w:pPr>
              <w:pBdr>
                <w:top w:val="nil"/>
                <w:left w:val="nil"/>
                <w:bottom w:val="nil"/>
                <w:right w:val="nil"/>
                <w:between w:val="nil"/>
              </w:pBdr>
              <w:spacing w:before="120" w:after="120"/>
            </w:pPr>
            <w:r>
              <w:t xml:space="preserve">Any services which are substantially similar to any of the </w:t>
            </w:r>
            <w:r>
              <w:rPr>
                <w:i/>
                <w:iCs/>
              </w:rPr>
              <w:t>services</w:t>
            </w:r>
            <w:r>
              <w:t xml:space="preserve"> and which the </w:t>
            </w:r>
            <w:r>
              <w:rPr>
                <w:i/>
                <w:iCs/>
              </w:rPr>
              <w:t>Client</w:t>
            </w:r>
            <w:r>
              <w:t xml:space="preserve"> receives in substitution for any of the </w:t>
            </w:r>
            <w:r>
              <w:rPr>
                <w:i/>
                <w:iCs/>
              </w:rPr>
              <w:t>services</w:t>
            </w:r>
            <w:r>
              <w:t xml:space="preserve"> at the end of the s</w:t>
            </w:r>
            <w:r>
              <w:rPr>
                <w:i/>
                <w:iCs/>
              </w:rPr>
              <w:t>ervice period</w:t>
            </w:r>
            <w:r>
              <w:t xml:space="preserve">, whether these services are supplied by the </w:t>
            </w:r>
            <w:r>
              <w:rPr>
                <w:i/>
                <w:iCs/>
              </w:rPr>
              <w:t>Cl</w:t>
            </w:r>
            <w:r>
              <w:rPr>
                <w:i/>
                <w:iCs/>
              </w:rPr>
              <w:t>ient</w:t>
            </w:r>
            <w:r>
              <w:t xml:space="preserve"> internally and./or by any third party. </w:t>
            </w:r>
          </w:p>
        </w:tc>
      </w:tr>
      <w:tr w:rsidR="007960A8" w14:paraId="48688278" w14:textId="77777777">
        <w:tc>
          <w:tcPr>
            <w:tcW w:w="2835" w:type="dxa"/>
          </w:tcPr>
          <w:p w14:paraId="1AE5FEEC" w14:textId="77777777" w:rsidR="007960A8" w:rsidRDefault="00A26397">
            <w:pPr>
              <w:pBdr>
                <w:top w:val="nil"/>
                <w:left w:val="nil"/>
                <w:bottom w:val="nil"/>
                <w:right w:val="nil"/>
                <w:between w:val="nil"/>
              </w:pBdr>
              <w:spacing w:before="120" w:after="120"/>
              <w:ind w:left="709"/>
              <w:rPr>
                <w:b/>
                <w:bCs/>
                <w:color w:val="000000"/>
              </w:rPr>
            </w:pPr>
            <w:r>
              <w:rPr>
                <w:b/>
                <w:bCs/>
                <w:color w:val="000000"/>
              </w:rPr>
              <w:t>“Replacement Subcontractor”</w:t>
            </w:r>
          </w:p>
          <w:p w14:paraId="047168E6" w14:textId="77777777" w:rsidR="007960A8" w:rsidRDefault="007960A8">
            <w:pPr>
              <w:pBdr>
                <w:top w:val="nil"/>
                <w:left w:val="nil"/>
                <w:bottom w:val="nil"/>
                <w:right w:val="nil"/>
                <w:between w:val="nil"/>
              </w:pBdr>
              <w:spacing w:before="120" w:after="120"/>
              <w:ind w:left="709"/>
              <w:rPr>
                <w:b/>
                <w:bCs/>
                <w:color w:val="000000"/>
              </w:rPr>
            </w:pPr>
          </w:p>
        </w:tc>
        <w:tc>
          <w:tcPr>
            <w:tcW w:w="5650" w:type="dxa"/>
          </w:tcPr>
          <w:p w14:paraId="0DD1E5C6" w14:textId="77777777" w:rsidR="007960A8" w:rsidRDefault="00A26397">
            <w:pPr>
              <w:pBdr>
                <w:top w:val="nil"/>
                <w:left w:val="nil"/>
                <w:bottom w:val="nil"/>
                <w:right w:val="nil"/>
                <w:between w:val="nil"/>
              </w:pBdr>
              <w:spacing w:before="120" w:after="120"/>
              <w:rPr>
                <w:color w:val="000000"/>
              </w:rPr>
            </w:pPr>
            <w:r>
              <w:t>a subcontractor of the Replacement Service Provider to whom Transferring Service Provider Employees will transfer on a Service Transfer Date (or any subcontractor of any such subcontractor);</w:t>
            </w:r>
          </w:p>
        </w:tc>
      </w:tr>
      <w:tr w:rsidR="007960A8" w14:paraId="714F07FD" w14:textId="77777777">
        <w:tc>
          <w:tcPr>
            <w:tcW w:w="2835" w:type="dxa"/>
          </w:tcPr>
          <w:p w14:paraId="6C620F81" w14:textId="77777777" w:rsidR="007960A8" w:rsidRDefault="00A26397">
            <w:pPr>
              <w:pBdr>
                <w:top w:val="nil"/>
                <w:left w:val="nil"/>
                <w:bottom w:val="nil"/>
                <w:right w:val="nil"/>
                <w:between w:val="nil"/>
              </w:pBdr>
              <w:spacing w:before="120" w:after="120"/>
              <w:ind w:left="709"/>
              <w:rPr>
                <w:b/>
                <w:bCs/>
                <w:color w:val="000000"/>
              </w:rPr>
            </w:pPr>
            <w:r>
              <w:rPr>
                <w:b/>
                <w:bCs/>
                <w:color w:val="000000"/>
              </w:rPr>
              <w:t>“Relevant Transfer”</w:t>
            </w:r>
          </w:p>
        </w:tc>
        <w:tc>
          <w:tcPr>
            <w:tcW w:w="5650" w:type="dxa"/>
          </w:tcPr>
          <w:p w14:paraId="08F9C6DF" w14:textId="77777777" w:rsidR="007960A8" w:rsidRDefault="00A26397">
            <w:pPr>
              <w:pBdr>
                <w:top w:val="nil"/>
                <w:left w:val="nil"/>
                <w:bottom w:val="nil"/>
                <w:right w:val="nil"/>
                <w:between w:val="nil"/>
              </w:pBdr>
              <w:spacing w:before="120" w:after="120"/>
              <w:rPr>
                <w:color w:val="000000"/>
              </w:rPr>
            </w:pPr>
            <w:r>
              <w:rPr>
                <w:color w:val="000000"/>
              </w:rPr>
              <w:t>a transfer of employment to which the Employ</w:t>
            </w:r>
            <w:r>
              <w:rPr>
                <w:color w:val="000000"/>
              </w:rPr>
              <w:t>ment Regulations applies;</w:t>
            </w:r>
          </w:p>
        </w:tc>
      </w:tr>
      <w:tr w:rsidR="007960A8" w14:paraId="2FA415B1" w14:textId="77777777">
        <w:tc>
          <w:tcPr>
            <w:tcW w:w="2835" w:type="dxa"/>
          </w:tcPr>
          <w:p w14:paraId="7FF270D7" w14:textId="77777777" w:rsidR="007960A8" w:rsidRDefault="00A26397">
            <w:pPr>
              <w:pBdr>
                <w:top w:val="nil"/>
                <w:left w:val="nil"/>
                <w:bottom w:val="nil"/>
                <w:right w:val="nil"/>
                <w:between w:val="nil"/>
              </w:pBdr>
              <w:spacing w:before="120" w:after="120"/>
              <w:ind w:left="709"/>
              <w:rPr>
                <w:b/>
                <w:bCs/>
                <w:color w:val="000000"/>
              </w:rPr>
            </w:pPr>
            <w:r>
              <w:rPr>
                <w:b/>
                <w:bCs/>
                <w:color w:val="000000"/>
              </w:rPr>
              <w:t>"Relevant Transfer Date"</w:t>
            </w:r>
          </w:p>
        </w:tc>
        <w:tc>
          <w:tcPr>
            <w:tcW w:w="5650" w:type="dxa"/>
          </w:tcPr>
          <w:p w14:paraId="12DFD2BB" w14:textId="77777777" w:rsidR="007960A8" w:rsidRDefault="00A26397">
            <w:pPr>
              <w:pBdr>
                <w:top w:val="nil"/>
                <w:left w:val="nil"/>
                <w:bottom w:val="nil"/>
                <w:right w:val="nil"/>
                <w:between w:val="nil"/>
              </w:pBdr>
              <w:spacing w:before="120" w:after="120"/>
              <w:rPr>
                <w:color w:val="000000"/>
                <w:highlight w:val="green"/>
              </w:rPr>
            </w:pPr>
            <w:r>
              <w:rPr>
                <w:color w:val="000000"/>
              </w:rPr>
              <w:t xml:space="preserve">in relation to a Relevant Transfer, the date upon which the Relevant Transfer takes place and for the purposes of Part D:and its Annexes, where the </w:t>
            </w:r>
            <w:r>
              <w:rPr>
                <w:i/>
                <w:iCs/>
                <w:color w:val="000000"/>
              </w:rPr>
              <w:t>Service Provider</w:t>
            </w:r>
            <w:r>
              <w:rPr>
                <w:color w:val="000000"/>
              </w:rPr>
              <w:t xml:space="preserve"> or a Subcontractor was the Former Servi</w:t>
            </w:r>
            <w:r>
              <w:rPr>
                <w:color w:val="000000"/>
              </w:rPr>
              <w:t xml:space="preserve">ce Provider and there is no Relevant Transfer of the Fair Deal Employees because they remain continuously employed by the </w:t>
            </w:r>
            <w:r>
              <w:rPr>
                <w:i/>
                <w:iCs/>
                <w:color w:val="000000"/>
              </w:rPr>
              <w:t>Service Provider</w:t>
            </w:r>
            <w:r>
              <w:rPr>
                <w:color w:val="000000"/>
              </w:rPr>
              <w:t xml:space="preserve"> (or Subcontractor), references to the Relevant Transfer Date shall become references to the </w:t>
            </w:r>
            <w:r>
              <w:rPr>
                <w:i/>
                <w:iCs/>
                <w:color w:val="000000"/>
              </w:rPr>
              <w:t>Starting Date</w:t>
            </w:r>
            <w:r>
              <w:rPr>
                <w:color w:val="000000"/>
              </w:rPr>
              <w:t>;</w:t>
            </w:r>
          </w:p>
        </w:tc>
      </w:tr>
      <w:tr w:rsidR="007960A8" w14:paraId="15FC3B06" w14:textId="77777777">
        <w:tc>
          <w:tcPr>
            <w:tcW w:w="2835" w:type="dxa"/>
          </w:tcPr>
          <w:p w14:paraId="44E10543" w14:textId="77777777" w:rsidR="007960A8" w:rsidRDefault="00A26397">
            <w:pPr>
              <w:keepNext/>
              <w:pBdr>
                <w:top w:val="nil"/>
                <w:left w:val="nil"/>
                <w:bottom w:val="nil"/>
                <w:right w:val="nil"/>
                <w:between w:val="nil"/>
              </w:pBdr>
              <w:spacing w:before="120" w:after="120"/>
              <w:ind w:left="709"/>
              <w:rPr>
                <w:b/>
                <w:bCs/>
                <w:color w:val="000000"/>
              </w:rPr>
            </w:pPr>
            <w:r>
              <w:rPr>
                <w:b/>
                <w:bCs/>
                <w:color w:val="000000"/>
              </w:rPr>
              <w:t>“Service Transfer”</w:t>
            </w:r>
          </w:p>
          <w:p w14:paraId="0793ACA4" w14:textId="77777777" w:rsidR="007960A8" w:rsidRDefault="007960A8">
            <w:pPr>
              <w:keepNext/>
              <w:pBdr>
                <w:top w:val="nil"/>
                <w:left w:val="nil"/>
                <w:bottom w:val="nil"/>
                <w:right w:val="nil"/>
                <w:between w:val="nil"/>
              </w:pBdr>
              <w:spacing w:before="120" w:after="120"/>
              <w:ind w:left="709"/>
              <w:rPr>
                <w:b/>
                <w:bCs/>
                <w:color w:val="000000"/>
              </w:rPr>
            </w:pPr>
          </w:p>
          <w:p w14:paraId="4752C620" w14:textId="77777777" w:rsidR="007960A8" w:rsidRDefault="00A26397">
            <w:pPr>
              <w:keepNext/>
              <w:pBdr>
                <w:top w:val="nil"/>
                <w:left w:val="nil"/>
                <w:bottom w:val="nil"/>
                <w:right w:val="nil"/>
                <w:between w:val="nil"/>
              </w:pBdr>
              <w:spacing w:before="120" w:after="120"/>
              <w:ind w:left="709"/>
              <w:rPr>
                <w:b/>
                <w:bCs/>
                <w:color w:val="000000"/>
              </w:rPr>
            </w:pPr>
            <w:r>
              <w:rPr>
                <w:b/>
                <w:bCs/>
              </w:rPr>
              <w:t>"Service Transfer Date"</w:t>
            </w:r>
          </w:p>
          <w:p w14:paraId="4D879C74" w14:textId="77777777" w:rsidR="007960A8" w:rsidRDefault="007960A8">
            <w:pPr>
              <w:keepNext/>
              <w:pBdr>
                <w:top w:val="nil"/>
                <w:left w:val="nil"/>
                <w:bottom w:val="nil"/>
                <w:right w:val="nil"/>
                <w:between w:val="nil"/>
              </w:pBdr>
              <w:spacing w:before="120" w:after="120"/>
              <w:ind w:left="709"/>
              <w:rPr>
                <w:b/>
                <w:bCs/>
                <w:color w:val="000000"/>
              </w:rPr>
            </w:pPr>
          </w:p>
          <w:p w14:paraId="6689FE62" w14:textId="77777777" w:rsidR="007960A8" w:rsidRDefault="00A26397">
            <w:pPr>
              <w:keepNext/>
              <w:pBdr>
                <w:top w:val="nil"/>
                <w:left w:val="nil"/>
                <w:bottom w:val="nil"/>
                <w:right w:val="nil"/>
                <w:between w:val="nil"/>
              </w:pBdr>
              <w:spacing w:before="120" w:after="120"/>
              <w:ind w:left="709"/>
              <w:rPr>
                <w:b/>
                <w:bCs/>
                <w:color w:val="000000"/>
              </w:rPr>
            </w:pPr>
            <w:r>
              <w:rPr>
                <w:b/>
                <w:bCs/>
                <w:color w:val="000000"/>
              </w:rPr>
              <w:t>"Staffing Information"</w:t>
            </w:r>
          </w:p>
        </w:tc>
        <w:tc>
          <w:tcPr>
            <w:tcW w:w="5650" w:type="dxa"/>
          </w:tcPr>
          <w:p w14:paraId="56F0D330" w14:textId="77777777" w:rsidR="007960A8" w:rsidRDefault="00A26397">
            <w:pPr>
              <w:keepNext/>
              <w:pBdr>
                <w:top w:val="nil"/>
                <w:left w:val="nil"/>
                <w:bottom w:val="nil"/>
                <w:right w:val="nil"/>
                <w:between w:val="nil"/>
              </w:pBdr>
              <w:spacing w:before="120" w:after="120"/>
              <w:rPr>
                <w:color w:val="000000"/>
              </w:rPr>
            </w:pPr>
            <w:r>
              <w:t xml:space="preserve">any transfer of the </w:t>
            </w:r>
            <w:r>
              <w:rPr>
                <w:i/>
                <w:iCs/>
              </w:rPr>
              <w:t>services</w:t>
            </w:r>
            <w:r>
              <w:t xml:space="preserve"> (or any part of the </w:t>
            </w:r>
            <w:r>
              <w:rPr>
                <w:i/>
                <w:iCs/>
              </w:rPr>
              <w:t>services</w:t>
            </w:r>
            <w:r>
              <w:t xml:space="preserve">), for whatever reason, from the </w:t>
            </w:r>
            <w:r>
              <w:rPr>
                <w:i/>
                <w:iCs/>
              </w:rPr>
              <w:t>Service Provider</w:t>
            </w:r>
            <w:r>
              <w:t xml:space="preserve"> or any Subcontractor to a Replacement Service Provider or a Replacement Subcontractor;</w:t>
            </w:r>
          </w:p>
          <w:p w14:paraId="6FE2AD41" w14:textId="77777777" w:rsidR="007960A8" w:rsidRDefault="00A26397">
            <w:pPr>
              <w:keepNext/>
              <w:pBdr>
                <w:top w:val="nil"/>
                <w:left w:val="nil"/>
                <w:bottom w:val="nil"/>
                <w:right w:val="nil"/>
                <w:between w:val="nil"/>
              </w:pBdr>
              <w:spacing w:before="120" w:after="120"/>
              <w:rPr>
                <w:color w:val="000000"/>
              </w:rPr>
            </w:pPr>
            <w:r>
              <w:t>the date of a Service Transfer or, if more than one, the date of the relevant Service Transfer as the context requires;</w:t>
            </w:r>
          </w:p>
          <w:p w14:paraId="661D8821" w14:textId="77777777" w:rsidR="007960A8" w:rsidRDefault="00A26397">
            <w:pPr>
              <w:keepNext/>
              <w:pBdr>
                <w:top w:val="nil"/>
                <w:left w:val="nil"/>
                <w:bottom w:val="nil"/>
                <w:right w:val="nil"/>
                <w:between w:val="nil"/>
              </w:pBdr>
              <w:spacing w:before="120" w:after="120"/>
              <w:rPr>
                <w:color w:val="000000"/>
              </w:rPr>
            </w:pPr>
            <w:r>
              <w:rPr>
                <w:color w:val="000000"/>
              </w:rPr>
              <w:t>in relation to all persons identified on the Pro</w:t>
            </w:r>
            <w:r>
              <w:rPr>
                <w:color w:val="000000"/>
              </w:rPr>
              <w:t>visional Service Provider Staff List or Final Service Provider Staff List, as the case may be, all information required in Annex E2 (Table of Staffing Information) in that format together with employee liability information specified in regulation 11(2) an</w:t>
            </w:r>
            <w:r>
              <w:rPr>
                <w:color w:val="000000"/>
              </w:rPr>
              <w:t xml:space="preserve">d 11(3) and if applicable regulation 11(4) of the Employment Regulations and such other information as the </w:t>
            </w:r>
            <w:r>
              <w:rPr>
                <w:i/>
                <w:iCs/>
                <w:color w:val="000000"/>
              </w:rPr>
              <w:t>Client</w:t>
            </w:r>
            <w:r>
              <w:rPr>
                <w:color w:val="000000"/>
              </w:rPr>
              <w:t xml:space="preserve"> may reasonably require. The </w:t>
            </w:r>
            <w:r>
              <w:rPr>
                <w:i/>
                <w:iCs/>
                <w:color w:val="000000"/>
              </w:rPr>
              <w:t>Client</w:t>
            </w:r>
            <w:r>
              <w:rPr>
                <w:color w:val="000000"/>
              </w:rPr>
              <w:t xml:space="preserve"> may acting reasonably make changes to information requested in Annex E2 from time to time;</w:t>
            </w:r>
          </w:p>
        </w:tc>
      </w:tr>
      <w:tr w:rsidR="007960A8" w14:paraId="30F1F235" w14:textId="77777777">
        <w:tc>
          <w:tcPr>
            <w:tcW w:w="2835" w:type="dxa"/>
          </w:tcPr>
          <w:p w14:paraId="08711147" w14:textId="77777777" w:rsidR="007960A8" w:rsidRDefault="00A26397">
            <w:pPr>
              <w:pBdr>
                <w:top w:val="nil"/>
                <w:left w:val="nil"/>
                <w:bottom w:val="nil"/>
                <w:right w:val="nil"/>
                <w:between w:val="nil"/>
              </w:pBdr>
              <w:spacing w:before="120" w:after="120"/>
              <w:ind w:left="709"/>
              <w:rPr>
                <w:b/>
                <w:bCs/>
                <w:color w:val="000000"/>
              </w:rPr>
            </w:pPr>
            <w:r>
              <w:rPr>
                <w:b/>
                <w:bCs/>
                <w:color w:val="000000"/>
              </w:rPr>
              <w:t>“Statutory Schemes”</w:t>
            </w:r>
          </w:p>
        </w:tc>
        <w:tc>
          <w:tcPr>
            <w:tcW w:w="5650" w:type="dxa"/>
          </w:tcPr>
          <w:p w14:paraId="74B077D4" w14:textId="77777777" w:rsidR="007960A8" w:rsidRDefault="00A26397">
            <w:pPr>
              <w:pBdr>
                <w:top w:val="nil"/>
                <w:left w:val="nil"/>
                <w:bottom w:val="nil"/>
                <w:right w:val="nil"/>
                <w:between w:val="nil"/>
              </w:pBdr>
              <w:spacing w:before="120" w:after="120"/>
              <w:rPr>
                <w:color w:val="000000"/>
              </w:rPr>
            </w:pPr>
            <w:r>
              <w:t>the CSPS, NHSPS or LGPS as defined in the Annexes to Part D of this Schedule;</w:t>
            </w:r>
          </w:p>
        </w:tc>
      </w:tr>
      <w:tr w:rsidR="007960A8" w14:paraId="689230E7" w14:textId="77777777">
        <w:tc>
          <w:tcPr>
            <w:tcW w:w="2835" w:type="dxa"/>
          </w:tcPr>
          <w:p w14:paraId="4CE5AE33" w14:textId="77777777" w:rsidR="007960A8" w:rsidRDefault="00A26397">
            <w:pPr>
              <w:pBdr>
                <w:top w:val="nil"/>
                <w:left w:val="nil"/>
                <w:bottom w:val="nil"/>
                <w:right w:val="nil"/>
                <w:between w:val="nil"/>
              </w:pBdr>
              <w:spacing w:before="120" w:after="120"/>
              <w:ind w:left="709"/>
              <w:rPr>
                <w:b/>
                <w:bCs/>
                <w:color w:val="000000"/>
              </w:rPr>
            </w:pPr>
            <w:r>
              <w:rPr>
                <w:b/>
                <w:bCs/>
                <w:color w:val="000000"/>
              </w:rPr>
              <w:t>“Sub-Contract”</w:t>
            </w:r>
          </w:p>
        </w:tc>
        <w:tc>
          <w:tcPr>
            <w:tcW w:w="5650" w:type="dxa"/>
          </w:tcPr>
          <w:p w14:paraId="2258B74A" w14:textId="77777777" w:rsidR="007960A8" w:rsidRDefault="00A26397">
            <w:pPr>
              <w:pBdr>
                <w:top w:val="nil"/>
                <w:left w:val="nil"/>
                <w:bottom w:val="nil"/>
                <w:right w:val="nil"/>
                <w:between w:val="nil"/>
              </w:pBdr>
              <w:spacing w:before="120" w:after="120"/>
            </w:pPr>
            <w:r>
              <w:t>Any contract or agreement (or proposed contract or agreement), other than the Contract, pursuant to which a third party:</w:t>
            </w:r>
          </w:p>
          <w:p w14:paraId="407C66C7" w14:textId="77777777" w:rsidR="007960A8" w:rsidRDefault="00A26397">
            <w:pPr>
              <w:numPr>
                <w:ilvl w:val="0"/>
                <w:numId w:val="90"/>
              </w:numPr>
              <w:pBdr>
                <w:top w:val="nil"/>
                <w:left w:val="nil"/>
                <w:bottom w:val="nil"/>
                <w:right w:val="nil"/>
                <w:between w:val="nil"/>
              </w:pBdr>
              <w:spacing w:before="120" w:after="120"/>
              <w:rPr>
                <w:color w:val="000000"/>
              </w:rPr>
            </w:pPr>
            <w:r>
              <w:rPr>
                <w:color w:val="000000"/>
              </w:rPr>
              <w:t xml:space="preserve">provides the </w:t>
            </w:r>
            <w:r>
              <w:rPr>
                <w:i/>
                <w:iCs/>
                <w:color w:val="000000"/>
              </w:rPr>
              <w:t>services</w:t>
            </w:r>
            <w:r>
              <w:rPr>
                <w:color w:val="000000"/>
              </w:rPr>
              <w:t xml:space="preserve"> (or any part of them);</w:t>
            </w:r>
          </w:p>
          <w:p w14:paraId="7F7FB269" w14:textId="77777777" w:rsidR="007960A8" w:rsidRDefault="00A26397">
            <w:pPr>
              <w:numPr>
                <w:ilvl w:val="0"/>
                <w:numId w:val="90"/>
              </w:numPr>
              <w:pBdr>
                <w:top w:val="nil"/>
                <w:left w:val="nil"/>
                <w:bottom w:val="nil"/>
                <w:right w:val="nil"/>
                <w:between w:val="nil"/>
              </w:pBdr>
              <w:spacing w:before="120" w:after="120"/>
              <w:rPr>
                <w:color w:val="000000"/>
              </w:rPr>
            </w:pPr>
            <w:r>
              <w:rPr>
                <w:color w:val="000000"/>
              </w:rPr>
              <w:t xml:space="preserve">provides facilities or services necessary for the provision of the </w:t>
            </w:r>
            <w:r>
              <w:rPr>
                <w:i/>
                <w:iCs/>
                <w:color w:val="000000"/>
              </w:rPr>
              <w:t>services</w:t>
            </w:r>
            <w:r>
              <w:rPr>
                <w:color w:val="000000"/>
              </w:rPr>
              <w:t xml:space="preserve"> (or any party of them); and/or</w:t>
            </w:r>
          </w:p>
          <w:p w14:paraId="60EC6958" w14:textId="77777777" w:rsidR="007960A8" w:rsidRDefault="00A26397">
            <w:pPr>
              <w:numPr>
                <w:ilvl w:val="0"/>
                <w:numId w:val="90"/>
              </w:numPr>
              <w:pBdr>
                <w:top w:val="nil"/>
                <w:left w:val="nil"/>
                <w:bottom w:val="nil"/>
                <w:right w:val="nil"/>
                <w:between w:val="nil"/>
              </w:pBdr>
              <w:spacing w:before="120" w:after="120"/>
            </w:pPr>
            <w:r>
              <w:rPr>
                <w:color w:val="000000"/>
              </w:rPr>
              <w:t xml:space="preserve">is responsible for the management, direction or control of the provision of the </w:t>
            </w:r>
            <w:r>
              <w:rPr>
                <w:i/>
                <w:iCs/>
                <w:color w:val="000000"/>
              </w:rPr>
              <w:t>services</w:t>
            </w:r>
            <w:r>
              <w:rPr>
                <w:color w:val="000000"/>
              </w:rPr>
              <w:t xml:space="preserve"> (or any part of</w:t>
            </w:r>
            <w:r>
              <w:rPr>
                <w:color w:val="000000"/>
              </w:rPr>
              <w:t xml:space="preserve"> them).</w:t>
            </w:r>
          </w:p>
        </w:tc>
      </w:tr>
      <w:tr w:rsidR="007960A8" w14:paraId="3A8FA352" w14:textId="77777777">
        <w:tc>
          <w:tcPr>
            <w:tcW w:w="2835" w:type="dxa"/>
          </w:tcPr>
          <w:p w14:paraId="4B6B0940" w14:textId="77777777" w:rsidR="007960A8" w:rsidRDefault="00A26397">
            <w:pPr>
              <w:pBdr>
                <w:top w:val="nil"/>
                <w:left w:val="nil"/>
                <w:bottom w:val="nil"/>
                <w:right w:val="nil"/>
                <w:between w:val="nil"/>
              </w:pBdr>
              <w:spacing w:before="120" w:after="120"/>
              <w:ind w:left="709"/>
              <w:rPr>
                <w:b/>
                <w:bCs/>
                <w:color w:val="000000"/>
              </w:rPr>
            </w:pPr>
            <w:r>
              <w:rPr>
                <w:b/>
                <w:bCs/>
                <w:color w:val="000000"/>
              </w:rPr>
              <w:t>“Subcontractor”</w:t>
            </w:r>
          </w:p>
        </w:tc>
        <w:tc>
          <w:tcPr>
            <w:tcW w:w="5650" w:type="dxa"/>
          </w:tcPr>
          <w:p w14:paraId="644EB556" w14:textId="77777777" w:rsidR="007960A8" w:rsidRDefault="00A26397">
            <w:pPr>
              <w:pBdr>
                <w:top w:val="nil"/>
                <w:left w:val="nil"/>
                <w:bottom w:val="nil"/>
                <w:right w:val="nil"/>
                <w:between w:val="nil"/>
              </w:pBdr>
              <w:spacing w:before="120" w:after="120"/>
            </w:pPr>
            <w:r>
              <w:t xml:space="preserve">any person other than the </w:t>
            </w:r>
            <w:r>
              <w:rPr>
                <w:i/>
                <w:iCs/>
              </w:rPr>
              <w:t>Service Provider</w:t>
            </w:r>
            <w:r>
              <w:t>, who is a party to a Sub-Contract and the servants or agents of that person;</w:t>
            </w:r>
          </w:p>
        </w:tc>
      </w:tr>
      <w:tr w:rsidR="007960A8" w14:paraId="63F1CEC9" w14:textId="77777777">
        <w:tc>
          <w:tcPr>
            <w:tcW w:w="2835" w:type="dxa"/>
          </w:tcPr>
          <w:p w14:paraId="33795D07" w14:textId="77777777" w:rsidR="007960A8" w:rsidRDefault="00A26397">
            <w:pPr>
              <w:pBdr>
                <w:top w:val="nil"/>
                <w:left w:val="nil"/>
                <w:bottom w:val="nil"/>
                <w:right w:val="nil"/>
                <w:between w:val="nil"/>
              </w:pBdr>
              <w:spacing w:before="120" w:after="120"/>
              <w:ind w:left="709"/>
              <w:rPr>
                <w:b/>
                <w:bCs/>
                <w:color w:val="000000"/>
              </w:rPr>
            </w:pPr>
            <w:r>
              <w:rPr>
                <w:b/>
                <w:bCs/>
                <w:color w:val="000000"/>
              </w:rPr>
              <w:t>"Transferring Client Employees"</w:t>
            </w:r>
          </w:p>
        </w:tc>
        <w:tc>
          <w:tcPr>
            <w:tcW w:w="5650" w:type="dxa"/>
          </w:tcPr>
          <w:p w14:paraId="51F2A005" w14:textId="77777777" w:rsidR="007960A8" w:rsidRDefault="00A26397">
            <w:pPr>
              <w:pBdr>
                <w:top w:val="nil"/>
                <w:left w:val="nil"/>
                <w:bottom w:val="nil"/>
                <w:right w:val="nil"/>
                <w:between w:val="nil"/>
              </w:pBdr>
              <w:spacing w:before="120" w:after="120"/>
              <w:rPr>
                <w:color w:val="000000"/>
              </w:rPr>
            </w:pPr>
            <w:r>
              <w:rPr>
                <w:color w:val="000000"/>
              </w:rPr>
              <w:t xml:space="preserve">those employees of the </w:t>
            </w:r>
            <w:r>
              <w:rPr>
                <w:i/>
                <w:iCs/>
                <w:color w:val="000000"/>
              </w:rPr>
              <w:t>Client</w:t>
            </w:r>
            <w:r>
              <w:rPr>
                <w:color w:val="000000"/>
              </w:rPr>
              <w:t xml:space="preserve"> to whom the Employment Regulations will apply on the Relevant Transfer Date;</w:t>
            </w:r>
          </w:p>
        </w:tc>
      </w:tr>
      <w:tr w:rsidR="007960A8" w14:paraId="0151E928" w14:textId="77777777">
        <w:tc>
          <w:tcPr>
            <w:tcW w:w="2835" w:type="dxa"/>
          </w:tcPr>
          <w:p w14:paraId="4E96CF3C" w14:textId="77777777" w:rsidR="007960A8" w:rsidRDefault="00A26397">
            <w:pPr>
              <w:pBdr>
                <w:top w:val="nil"/>
                <w:left w:val="nil"/>
                <w:bottom w:val="nil"/>
                <w:right w:val="nil"/>
                <w:between w:val="nil"/>
              </w:pBdr>
              <w:spacing w:before="120" w:after="120"/>
              <w:ind w:left="709"/>
              <w:rPr>
                <w:b/>
                <w:bCs/>
                <w:color w:val="000000"/>
              </w:rPr>
            </w:pPr>
            <w:r>
              <w:rPr>
                <w:b/>
                <w:bCs/>
                <w:color w:val="000000"/>
              </w:rPr>
              <w:t>"Transferring Former Service Provider Employees"</w:t>
            </w:r>
          </w:p>
          <w:p w14:paraId="0A98FEF3" w14:textId="77777777" w:rsidR="007960A8" w:rsidRDefault="00A26397">
            <w:pPr>
              <w:pBdr>
                <w:top w:val="nil"/>
                <w:left w:val="nil"/>
                <w:bottom w:val="nil"/>
                <w:right w:val="nil"/>
                <w:between w:val="nil"/>
              </w:pBdr>
              <w:spacing w:before="120" w:after="120"/>
              <w:ind w:left="709"/>
              <w:rPr>
                <w:b/>
                <w:bCs/>
                <w:color w:val="000000"/>
                <w:highlight w:val="green"/>
              </w:rPr>
            </w:pPr>
            <w:r>
              <w:rPr>
                <w:b/>
                <w:bCs/>
                <w:color w:val="000000"/>
              </w:rPr>
              <w:t>“Transferring Service Provider Employees”</w:t>
            </w:r>
          </w:p>
        </w:tc>
        <w:tc>
          <w:tcPr>
            <w:tcW w:w="5650" w:type="dxa"/>
          </w:tcPr>
          <w:p w14:paraId="2A797510" w14:textId="77777777" w:rsidR="007960A8" w:rsidRDefault="00A26397">
            <w:pPr>
              <w:pBdr>
                <w:top w:val="nil"/>
                <w:left w:val="nil"/>
                <w:bottom w:val="nil"/>
                <w:right w:val="nil"/>
                <w:between w:val="nil"/>
              </w:pBdr>
              <w:spacing w:before="120" w:after="120"/>
              <w:rPr>
                <w:color w:val="000000"/>
              </w:rPr>
            </w:pPr>
            <w:r>
              <w:rPr>
                <w:color w:val="000000"/>
              </w:rPr>
              <w:t>in relation to a Former Service Provider, those employees of the Former Service Provider to whom the Employment Regulations will apply on the Relevant Transfer Date;</w:t>
            </w:r>
          </w:p>
          <w:p w14:paraId="108CB6EA" w14:textId="77777777" w:rsidR="007960A8" w:rsidRDefault="00A26397">
            <w:pPr>
              <w:pBdr>
                <w:top w:val="nil"/>
                <w:left w:val="nil"/>
                <w:bottom w:val="nil"/>
                <w:right w:val="nil"/>
                <w:between w:val="nil"/>
              </w:pBdr>
              <w:spacing w:before="120" w:after="120"/>
              <w:rPr>
                <w:color w:val="000000"/>
                <w:highlight w:val="green"/>
              </w:rPr>
            </w:pPr>
            <w:r>
              <w:t xml:space="preserve">those employees of the </w:t>
            </w:r>
            <w:r>
              <w:rPr>
                <w:i/>
                <w:iCs/>
              </w:rPr>
              <w:t>Service Provider</w:t>
            </w:r>
            <w:r>
              <w:t xml:space="preserve"> and/or the Service Provider’s Subcontractors to wh</w:t>
            </w:r>
            <w:r>
              <w:t>om the Employment Regulations will apply on the Relevant Transfer Date; and</w:t>
            </w:r>
          </w:p>
        </w:tc>
      </w:tr>
    </w:tbl>
    <w:p w14:paraId="3E6A5536" w14:textId="77777777" w:rsidR="007960A8" w:rsidRDefault="00A26397">
      <w:pPr>
        <w:keepNext/>
        <w:widowControl/>
        <w:numPr>
          <w:ilvl w:val="0"/>
          <w:numId w:val="81"/>
        </w:numPr>
        <w:pBdr>
          <w:top w:val="nil"/>
          <w:left w:val="nil"/>
          <w:bottom w:val="nil"/>
          <w:right w:val="nil"/>
          <w:between w:val="nil"/>
        </w:pBdr>
        <w:spacing w:before="120" w:after="120"/>
        <w:ind w:left="426" w:hanging="426"/>
        <w:rPr>
          <w:b/>
          <w:bCs/>
          <w:color w:val="000000"/>
        </w:rPr>
      </w:pPr>
      <w:r>
        <w:rPr>
          <w:b/>
          <w:bCs/>
          <w:color w:val="000000"/>
        </w:rPr>
        <w:t>Interpretation</w:t>
      </w:r>
    </w:p>
    <w:p w14:paraId="1053BC82" w14:textId="77777777" w:rsidR="007960A8" w:rsidRDefault="00A26397">
      <w:pPr>
        <w:keepNext/>
        <w:widowControl/>
        <w:numPr>
          <w:ilvl w:val="1"/>
          <w:numId w:val="81"/>
        </w:numPr>
        <w:pBdr>
          <w:top w:val="nil"/>
          <w:left w:val="nil"/>
          <w:bottom w:val="nil"/>
          <w:right w:val="nil"/>
          <w:between w:val="nil"/>
        </w:pBdr>
        <w:spacing w:before="120" w:after="120"/>
        <w:ind w:left="1134" w:hanging="708"/>
        <w:rPr>
          <w:color w:val="000000"/>
        </w:rPr>
      </w:pPr>
      <w:r>
        <w:rPr>
          <w:color w:val="000000"/>
        </w:rPr>
        <w:t xml:space="preserve">Where a provision in this Schedule imposes any obligation on the </w:t>
      </w:r>
      <w:r>
        <w:rPr>
          <w:i/>
          <w:iCs/>
          <w:color w:val="000000"/>
        </w:rPr>
        <w:t>Service Provider</w:t>
      </w:r>
      <w:r>
        <w:rPr>
          <w:color w:val="000000"/>
        </w:rPr>
        <w:t xml:space="preserve"> including to comply with a requirement or provide an indemnity, undertaking or warranty, the </w:t>
      </w:r>
      <w:r>
        <w:rPr>
          <w:i/>
          <w:iCs/>
          <w:color w:val="000000"/>
        </w:rPr>
        <w:t>Service Provider</w:t>
      </w:r>
      <w:r>
        <w:rPr>
          <w:color w:val="000000"/>
        </w:rPr>
        <w:t xml:space="preserve"> shall procure that each of its Subcontractors shall comply with such obligation and provide such indemnity, undertaking or warranty to the </w:t>
      </w:r>
      <w:r>
        <w:rPr>
          <w:i/>
          <w:iCs/>
          <w:color w:val="000000"/>
        </w:rPr>
        <w:t>Client</w:t>
      </w:r>
      <w:r>
        <w:rPr>
          <w:color w:val="000000"/>
        </w:rPr>
        <w:t xml:space="preserve">, Former Service Provider, Replacement Service Provider or Replacement Subcontractor, as the case may be and where the Subcontractor fails to satisfy any claims under such indemnities the </w:t>
      </w:r>
      <w:r>
        <w:rPr>
          <w:i/>
          <w:iCs/>
          <w:color w:val="000000"/>
        </w:rPr>
        <w:t>Service Provider</w:t>
      </w:r>
      <w:r>
        <w:rPr>
          <w:color w:val="000000"/>
        </w:rPr>
        <w:t xml:space="preserve"> will be liable for satisfying any such claim as if </w:t>
      </w:r>
      <w:r>
        <w:rPr>
          <w:color w:val="000000"/>
        </w:rPr>
        <w:t>it had provided the indemnity itself.</w:t>
      </w:r>
    </w:p>
    <w:p w14:paraId="77737587" w14:textId="77777777" w:rsidR="007960A8" w:rsidRDefault="00A26397">
      <w:pPr>
        <w:keepNext/>
        <w:widowControl/>
        <w:numPr>
          <w:ilvl w:val="0"/>
          <w:numId w:val="81"/>
        </w:numPr>
        <w:pBdr>
          <w:top w:val="nil"/>
          <w:left w:val="nil"/>
          <w:bottom w:val="nil"/>
          <w:right w:val="nil"/>
          <w:between w:val="nil"/>
        </w:pBdr>
        <w:spacing w:before="120" w:after="120"/>
        <w:ind w:left="426" w:hanging="426"/>
        <w:rPr>
          <w:b/>
          <w:bCs/>
          <w:smallCaps/>
          <w:color w:val="000000"/>
        </w:rPr>
      </w:pPr>
      <w:r>
        <w:rPr>
          <w:b/>
          <w:bCs/>
          <w:color w:val="000000"/>
        </w:rPr>
        <w:t>Which parts of this Schedule apply</w:t>
      </w:r>
    </w:p>
    <w:p w14:paraId="2370C5FD" w14:textId="77777777" w:rsidR="007960A8" w:rsidRDefault="00A26397">
      <w:pPr>
        <w:spacing w:before="120" w:after="120"/>
        <w:ind w:left="357" w:firstLine="68"/>
      </w:pPr>
      <w:r>
        <w:t>The following parts of this Schedule shall apply to this Contract:</w:t>
      </w:r>
    </w:p>
    <w:p w14:paraId="38683DD2" w14:textId="77777777" w:rsidR="007960A8" w:rsidRDefault="00A26397">
      <w:pPr>
        <w:spacing w:before="120" w:after="120"/>
        <w:ind w:left="426"/>
      </w:pPr>
      <w:r>
        <w:rPr>
          <w:b/>
          <w:bCs/>
          <w:highlight w:val="yellow"/>
        </w:rPr>
        <w:t>[Mark N/A</w:t>
      </w:r>
      <w:r>
        <w:t xml:space="preserve"> if not applicable to this Contract]</w:t>
      </w:r>
    </w:p>
    <w:p w14:paraId="12188300" w14:textId="77777777" w:rsidR="007960A8" w:rsidRDefault="00A26397">
      <w:pPr>
        <w:spacing w:before="120" w:after="120"/>
        <w:ind w:left="1134" w:hanging="708"/>
        <w:rPr>
          <w:highlight w:val="yellow"/>
        </w:rPr>
      </w:pPr>
      <w:r>
        <w:rPr>
          <w:highlight w:val="yellow"/>
        </w:rPr>
        <w:t>3.1</w:t>
      </w:r>
      <w:r>
        <w:rPr>
          <w:highlight w:val="yellow"/>
        </w:rPr>
        <w:tab/>
        <w:t xml:space="preserve">[Part A (Staff Transfer at the </w:t>
      </w:r>
      <w:r>
        <w:rPr>
          <w:i/>
          <w:iCs/>
          <w:highlight w:val="yellow"/>
        </w:rPr>
        <w:t>Starting Date</w:t>
      </w:r>
      <w:r>
        <w:rPr>
          <w:highlight w:val="yellow"/>
        </w:rPr>
        <w:t xml:space="preserve"> – Transferring Employ</w:t>
      </w:r>
      <w:r>
        <w:rPr>
          <w:highlight w:val="yellow"/>
        </w:rPr>
        <w:t xml:space="preserve">ees from the </w:t>
      </w:r>
      <w:r>
        <w:rPr>
          <w:i/>
          <w:iCs/>
          <w:highlight w:val="yellow"/>
        </w:rPr>
        <w:t>Client</w:t>
      </w:r>
      <w:r>
        <w:rPr>
          <w:highlight w:val="yellow"/>
        </w:rPr>
        <w:t xml:space="preserve"> to the </w:t>
      </w:r>
      <w:r>
        <w:rPr>
          <w:i/>
          <w:iCs/>
          <w:highlight w:val="yellow"/>
        </w:rPr>
        <w:t>Service Provider</w:t>
      </w:r>
      <w:r>
        <w:rPr>
          <w:highlight w:val="yellow"/>
        </w:rPr>
        <w:t>)</w:t>
      </w:r>
    </w:p>
    <w:p w14:paraId="51664515" w14:textId="77777777" w:rsidR="007960A8" w:rsidRDefault="00A26397">
      <w:pPr>
        <w:spacing w:before="120" w:after="120"/>
        <w:ind w:left="1134" w:hanging="708"/>
        <w:rPr>
          <w:highlight w:val="yellow"/>
        </w:rPr>
      </w:pPr>
      <w:r>
        <w:rPr>
          <w:highlight w:val="yellow"/>
        </w:rPr>
        <w:t xml:space="preserve">3.2 </w:t>
      </w:r>
      <w:r>
        <w:rPr>
          <w:highlight w:val="yellow"/>
        </w:rPr>
        <w:tab/>
        <w:t xml:space="preserve">[Part B (Staff Transfer at the </w:t>
      </w:r>
      <w:r>
        <w:rPr>
          <w:i/>
          <w:iCs/>
          <w:highlight w:val="yellow"/>
        </w:rPr>
        <w:t>Starting Date</w:t>
      </w:r>
      <w:r>
        <w:rPr>
          <w:highlight w:val="yellow"/>
        </w:rPr>
        <w:t xml:space="preserve"> – Transfer from a Former Service Provider)]</w:t>
      </w:r>
    </w:p>
    <w:p w14:paraId="5B75054D" w14:textId="77777777" w:rsidR="007960A8" w:rsidRDefault="00A26397">
      <w:pPr>
        <w:spacing w:before="120" w:after="120"/>
        <w:ind w:left="1134" w:hanging="708"/>
        <w:rPr>
          <w:highlight w:val="yellow"/>
        </w:rPr>
      </w:pPr>
      <w:r>
        <w:rPr>
          <w:highlight w:val="yellow"/>
        </w:rPr>
        <w:t xml:space="preserve">3.3 </w:t>
      </w:r>
      <w:r>
        <w:rPr>
          <w:highlight w:val="yellow"/>
        </w:rPr>
        <w:tab/>
        <w:t xml:space="preserve">[Part C (No Staff Transfer expected on </w:t>
      </w:r>
      <w:r>
        <w:rPr>
          <w:i/>
          <w:iCs/>
          <w:highlight w:val="yellow"/>
        </w:rPr>
        <w:t>Starting Date</w:t>
      </w:r>
      <w:r>
        <w:rPr>
          <w:highlight w:val="yellow"/>
        </w:rPr>
        <w:t>)]</w:t>
      </w:r>
    </w:p>
    <w:p w14:paraId="33595089" w14:textId="77777777" w:rsidR="007960A8" w:rsidRDefault="00A26397">
      <w:pPr>
        <w:spacing w:before="120" w:after="120"/>
        <w:ind w:left="1134" w:hanging="708"/>
        <w:rPr>
          <w:highlight w:val="yellow"/>
        </w:rPr>
      </w:pPr>
      <w:r>
        <w:rPr>
          <w:highlight w:val="yellow"/>
        </w:rPr>
        <w:t xml:space="preserve">3.4 </w:t>
      </w:r>
      <w:r>
        <w:rPr>
          <w:highlight w:val="yellow"/>
        </w:rPr>
        <w:tab/>
        <w:t xml:space="preserve">[Part D (Pensions) </w:t>
      </w:r>
      <w:r>
        <w:rPr>
          <w:highlight w:val="yellow"/>
        </w:rPr>
        <w:tab/>
      </w:r>
      <w:r>
        <w:rPr>
          <w:highlight w:val="yellow"/>
        </w:rPr>
        <w:tab/>
      </w:r>
      <w:r>
        <w:rPr>
          <w:highlight w:val="yellow"/>
        </w:rPr>
        <w:tab/>
      </w:r>
      <w:r>
        <w:rPr>
          <w:highlight w:val="yellow"/>
        </w:rPr>
        <w:tab/>
      </w:r>
      <w:r>
        <w:rPr>
          <w:highlight w:val="yellow"/>
        </w:rPr>
        <w:tab/>
      </w:r>
      <w:r>
        <w:rPr>
          <w:highlight w:val="yellow"/>
        </w:rPr>
        <w:tab/>
        <w:t>]</w:t>
      </w:r>
    </w:p>
    <w:p w14:paraId="04737163" w14:textId="77777777" w:rsidR="007960A8" w:rsidRDefault="00A26397">
      <w:pPr>
        <w:spacing w:before="120" w:after="120"/>
        <w:ind w:left="1985" w:hanging="851"/>
        <w:rPr>
          <w:highlight w:val="yellow"/>
        </w:rPr>
      </w:pPr>
      <w:r>
        <w:rPr>
          <w:highlight w:val="yellow"/>
        </w:rPr>
        <w:t xml:space="preserve">3.4.1 [ - Annex D1 (CSPS) </w:t>
      </w:r>
      <w:r>
        <w:rPr>
          <w:highlight w:val="yellow"/>
        </w:rPr>
        <w:tab/>
      </w:r>
      <w:r>
        <w:rPr>
          <w:highlight w:val="yellow"/>
        </w:rPr>
        <w:tab/>
      </w:r>
      <w:r>
        <w:rPr>
          <w:highlight w:val="yellow"/>
        </w:rPr>
        <w:tab/>
        <w:t>]</w:t>
      </w:r>
    </w:p>
    <w:p w14:paraId="5BD19FBB" w14:textId="77777777" w:rsidR="007960A8" w:rsidRDefault="00A26397">
      <w:pPr>
        <w:spacing w:before="120" w:after="120"/>
        <w:ind w:left="1985" w:hanging="851"/>
        <w:rPr>
          <w:highlight w:val="yellow"/>
        </w:rPr>
      </w:pPr>
      <w:r>
        <w:rPr>
          <w:highlight w:val="yellow"/>
        </w:rPr>
        <w:t xml:space="preserve">3.4.2 [ - Annex D2 (NHSPS) </w:t>
      </w:r>
      <w:r>
        <w:rPr>
          <w:highlight w:val="yellow"/>
        </w:rPr>
        <w:tab/>
      </w:r>
      <w:r>
        <w:rPr>
          <w:highlight w:val="yellow"/>
        </w:rPr>
        <w:tab/>
      </w:r>
      <w:r>
        <w:rPr>
          <w:highlight w:val="yellow"/>
        </w:rPr>
        <w:tab/>
        <w:t>]</w:t>
      </w:r>
    </w:p>
    <w:p w14:paraId="13E9AEB0" w14:textId="77777777" w:rsidR="007960A8" w:rsidRDefault="00A26397">
      <w:pPr>
        <w:spacing w:before="120" w:after="120"/>
        <w:ind w:left="1985" w:hanging="851"/>
        <w:rPr>
          <w:highlight w:val="yellow"/>
        </w:rPr>
      </w:pPr>
      <w:r>
        <w:rPr>
          <w:highlight w:val="yellow"/>
        </w:rPr>
        <w:t>3.4.3 [ - Annex D3 (LGPS)</w:t>
      </w:r>
      <w:r>
        <w:rPr>
          <w:highlight w:val="yellow"/>
        </w:rPr>
        <w:tab/>
      </w:r>
      <w:r>
        <w:rPr>
          <w:highlight w:val="yellow"/>
        </w:rPr>
        <w:tab/>
      </w:r>
      <w:r>
        <w:rPr>
          <w:highlight w:val="yellow"/>
        </w:rPr>
        <w:tab/>
        <w:t>]</w:t>
      </w:r>
    </w:p>
    <w:p w14:paraId="06DF630B" w14:textId="77777777" w:rsidR="007960A8" w:rsidRDefault="00A26397">
      <w:pPr>
        <w:spacing w:before="120" w:after="120"/>
        <w:ind w:left="1985" w:hanging="851"/>
      </w:pPr>
      <w:r>
        <w:rPr>
          <w:highlight w:val="yellow"/>
        </w:rPr>
        <w:t>3.4.4 [ - Annex D4 (Other Schemes)</w:t>
      </w:r>
      <w:r>
        <w:rPr>
          <w:highlight w:val="yellow"/>
        </w:rPr>
        <w:tab/>
      </w:r>
      <w:r>
        <w:rPr>
          <w:highlight w:val="yellow"/>
        </w:rPr>
        <w:tab/>
        <w:t>]</w:t>
      </w:r>
    </w:p>
    <w:p w14:paraId="42E74CF3" w14:textId="77777777" w:rsidR="007960A8" w:rsidRDefault="00A26397">
      <w:pPr>
        <w:widowControl/>
        <w:numPr>
          <w:ilvl w:val="1"/>
          <w:numId w:val="87"/>
        </w:numPr>
        <w:pBdr>
          <w:top w:val="nil"/>
          <w:left w:val="nil"/>
          <w:bottom w:val="nil"/>
          <w:right w:val="nil"/>
          <w:between w:val="nil"/>
        </w:pBdr>
        <w:spacing w:before="120" w:after="120"/>
        <w:ind w:left="1134" w:hanging="708"/>
        <w:rPr>
          <w:color w:val="000000"/>
          <w:sz w:val="24"/>
          <w:szCs w:val="24"/>
        </w:rPr>
      </w:pPr>
      <w:r>
        <w:rPr>
          <w:color w:val="000000"/>
          <w:sz w:val="24"/>
          <w:szCs w:val="24"/>
        </w:rPr>
        <w:t>Part E (Staff Transfer on Exit) of this Schedule will always apply to the Contract, including:</w:t>
      </w:r>
    </w:p>
    <w:p w14:paraId="3E7FE9B5" w14:textId="77777777" w:rsidR="007960A8" w:rsidRDefault="00A26397">
      <w:pPr>
        <w:widowControl/>
        <w:numPr>
          <w:ilvl w:val="2"/>
          <w:numId w:val="87"/>
        </w:numPr>
        <w:pBdr>
          <w:top w:val="nil"/>
          <w:left w:val="nil"/>
          <w:bottom w:val="nil"/>
          <w:right w:val="nil"/>
          <w:between w:val="nil"/>
        </w:pBdr>
        <w:spacing w:before="120" w:after="120"/>
        <w:ind w:left="1985" w:hanging="851"/>
        <w:rPr>
          <w:color w:val="000000"/>
          <w:sz w:val="24"/>
          <w:szCs w:val="24"/>
        </w:rPr>
      </w:pPr>
      <w:r>
        <w:rPr>
          <w:color w:val="000000"/>
          <w:sz w:val="24"/>
          <w:szCs w:val="24"/>
        </w:rPr>
        <w:t>Annex E1 (List of Notified Sub</w:t>
      </w:r>
      <w:r>
        <w:rPr>
          <w:color w:val="000000"/>
          <w:sz w:val="24"/>
          <w:szCs w:val="24"/>
        </w:rPr>
        <w:t>contractors);</w:t>
      </w:r>
    </w:p>
    <w:p w14:paraId="4C35A004" w14:textId="77777777" w:rsidR="007960A8" w:rsidRDefault="00A26397">
      <w:pPr>
        <w:widowControl/>
        <w:numPr>
          <w:ilvl w:val="2"/>
          <w:numId w:val="87"/>
        </w:numPr>
        <w:pBdr>
          <w:top w:val="nil"/>
          <w:left w:val="nil"/>
          <w:bottom w:val="nil"/>
          <w:right w:val="nil"/>
          <w:between w:val="nil"/>
        </w:pBdr>
        <w:spacing w:before="120" w:after="120"/>
        <w:ind w:left="1985" w:hanging="851"/>
        <w:rPr>
          <w:color w:val="000000"/>
          <w:sz w:val="24"/>
          <w:szCs w:val="24"/>
        </w:rPr>
      </w:pPr>
      <w:r>
        <w:rPr>
          <w:color w:val="000000"/>
          <w:sz w:val="24"/>
          <w:szCs w:val="24"/>
        </w:rPr>
        <w:t>Annex E2 (Staffing Information).</w:t>
      </w:r>
    </w:p>
    <w:p w14:paraId="40489C6F" w14:textId="77777777" w:rsidR="007960A8" w:rsidRDefault="00A26397">
      <w:pPr>
        <w:pStyle w:val="Heading1"/>
        <w:keepNext/>
        <w:spacing w:before="120" w:after="120"/>
        <w:ind w:firstLine="220"/>
        <w:rPr>
          <w:sz w:val="36"/>
          <w:szCs w:val="36"/>
        </w:rPr>
      </w:pPr>
      <w:r>
        <w:br w:type="page"/>
      </w:r>
      <w:r>
        <w:rPr>
          <w:sz w:val="36"/>
          <w:szCs w:val="36"/>
        </w:rPr>
        <w:t xml:space="preserve">Part A: Staff Transfer At The </w:t>
      </w:r>
      <w:r>
        <w:rPr>
          <w:i/>
          <w:iCs/>
          <w:sz w:val="36"/>
          <w:szCs w:val="36"/>
        </w:rPr>
        <w:t>Starting Date</w:t>
      </w:r>
      <w:r>
        <w:rPr>
          <w:sz w:val="36"/>
          <w:szCs w:val="36"/>
        </w:rPr>
        <w:t xml:space="preserve"> Transferring Employees From The Client To The Service Provider</w:t>
      </w:r>
    </w:p>
    <w:p w14:paraId="3CA62624" w14:textId="77777777" w:rsidR="007960A8" w:rsidRDefault="00A26397">
      <w:pPr>
        <w:keepNext/>
        <w:widowControl/>
        <w:numPr>
          <w:ilvl w:val="0"/>
          <w:numId w:val="82"/>
        </w:numPr>
        <w:pBdr>
          <w:top w:val="nil"/>
          <w:left w:val="nil"/>
          <w:bottom w:val="nil"/>
          <w:right w:val="nil"/>
          <w:between w:val="nil"/>
        </w:pBdr>
        <w:spacing w:before="120" w:after="120"/>
        <w:ind w:left="426" w:hanging="426"/>
        <w:rPr>
          <w:b/>
          <w:bCs/>
          <w:color w:val="000000"/>
        </w:rPr>
      </w:pPr>
      <w:bookmarkStart w:id="17" w:name="_heading=h.30j0zll" w:colFirst="0" w:colLast="0"/>
      <w:bookmarkEnd w:id="17"/>
      <w:r>
        <w:rPr>
          <w:b/>
          <w:bCs/>
          <w:color w:val="000000"/>
        </w:rPr>
        <w:t>What is a relevant transfer</w:t>
      </w:r>
      <w:bookmarkStart w:id="18" w:name="bookmark=id.1fob9te" w:colFirst="0" w:colLast="0"/>
      <w:bookmarkEnd w:id="18"/>
    </w:p>
    <w:p w14:paraId="4D12086C"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and the </w:t>
      </w:r>
      <w:r>
        <w:rPr>
          <w:i/>
          <w:iCs/>
          <w:color w:val="000000"/>
        </w:rPr>
        <w:t>Service Provider</w:t>
      </w:r>
      <w:r>
        <w:rPr>
          <w:color w:val="000000"/>
        </w:rPr>
        <w:t xml:space="preserve"> agree that:</w:t>
      </w:r>
    </w:p>
    <w:p w14:paraId="47D9ECCD"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the commencement of the provision of the </w:t>
      </w:r>
      <w:r>
        <w:rPr>
          <w:i/>
          <w:iCs/>
          <w:color w:val="000000"/>
        </w:rPr>
        <w:t>services</w:t>
      </w:r>
      <w:r>
        <w:rPr>
          <w:color w:val="000000"/>
        </w:rPr>
        <w:t xml:space="preserve"> or of each relevant part of the </w:t>
      </w:r>
      <w:r>
        <w:rPr>
          <w:i/>
          <w:iCs/>
          <w:color w:val="000000"/>
        </w:rPr>
        <w:t>services</w:t>
      </w:r>
      <w:r>
        <w:rPr>
          <w:color w:val="000000"/>
        </w:rPr>
        <w:t xml:space="preserve"> will be a Relevant Transfer in relation to the Transferring Client Employees; and</w:t>
      </w:r>
    </w:p>
    <w:p w14:paraId="0E5E5EF3"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as a result of the operation of the Employment Regulations, the contracts of employ</w:t>
      </w:r>
      <w:r>
        <w:rPr>
          <w:color w:val="000000"/>
        </w:rPr>
        <w:t xml:space="preserve">ment between the </w:t>
      </w:r>
      <w:r>
        <w:rPr>
          <w:i/>
          <w:iCs/>
          <w:color w:val="000000"/>
        </w:rPr>
        <w:t>Client</w:t>
      </w:r>
      <w:r>
        <w:rPr>
          <w:color w:val="000000"/>
        </w:rPr>
        <w:t xml:space="preserve"> and the Transferring Client Employees (except in relation to any terms disapplied through operation of regulation 10 of the Employment Regulations) will have effect on and from the Relevant Transfer Date as if originally made between the </w:t>
      </w:r>
      <w:r>
        <w:rPr>
          <w:i/>
          <w:iCs/>
          <w:color w:val="000000"/>
        </w:rPr>
        <w:t>Service Provider</w:t>
      </w:r>
      <w:r>
        <w:rPr>
          <w:color w:val="000000"/>
        </w:rPr>
        <w:t xml:space="preserve"> </w:t>
      </w:r>
      <w:r>
        <w:rPr>
          <w:color w:val="000000"/>
        </w:rPr>
        <w:t>and/or any Subcontractor and each such Transferring Client Employee.</w:t>
      </w:r>
    </w:p>
    <w:p w14:paraId="556D4806"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shall comply with all its obligations under the Employment Regulations and shall perform and discharge all its obligations in respect of the Transferring Client Employees in respect of the period arising up to (but not including) the Relevant Transfer Dat</w:t>
      </w:r>
      <w:r>
        <w:rPr>
          <w:color w:val="000000"/>
        </w:rPr>
        <w:t>e including the payment of all remuneration, benefits, entitlements and outgoings, all wages, accrued but untaken holiday pay, bonuses, commissions, payments of PAYE, national insurance contributions and pension contributions which in any case are attribut</w:t>
      </w:r>
      <w:r>
        <w:rPr>
          <w:color w:val="000000"/>
        </w:rPr>
        <w:t xml:space="preserve">able in whole or in part to the period up to (but not including) the Relevant Transfer Date and any necessary apportionments in respect of any periodic payments shall be made between: (i) the </w:t>
      </w:r>
      <w:r>
        <w:rPr>
          <w:i/>
          <w:iCs/>
          <w:color w:val="000000"/>
        </w:rPr>
        <w:t>Client</w:t>
      </w:r>
      <w:r>
        <w:rPr>
          <w:color w:val="000000"/>
        </w:rPr>
        <w:t xml:space="preserve">; and (ii) the </w:t>
      </w:r>
      <w:r>
        <w:rPr>
          <w:i/>
          <w:iCs/>
          <w:color w:val="000000"/>
        </w:rPr>
        <w:t>Service Provider</w:t>
      </w:r>
      <w:r>
        <w:rPr>
          <w:color w:val="000000"/>
        </w:rPr>
        <w:t xml:space="preserve"> and/or any Subcontractor (</w:t>
      </w:r>
      <w:r>
        <w:rPr>
          <w:color w:val="000000"/>
        </w:rPr>
        <w:t>as appropriate).</w:t>
      </w:r>
    </w:p>
    <w:p w14:paraId="5C70ED6A" w14:textId="77777777" w:rsidR="007960A8" w:rsidRDefault="00A26397">
      <w:pPr>
        <w:keepNext/>
        <w:widowControl/>
        <w:numPr>
          <w:ilvl w:val="0"/>
          <w:numId w:val="82"/>
        </w:numPr>
        <w:pBdr>
          <w:top w:val="nil"/>
          <w:left w:val="nil"/>
          <w:bottom w:val="nil"/>
          <w:right w:val="nil"/>
          <w:between w:val="nil"/>
        </w:pBdr>
        <w:spacing w:before="120" w:after="120"/>
        <w:ind w:left="426" w:hanging="426"/>
        <w:rPr>
          <w:b/>
          <w:bCs/>
          <w:color w:val="000000"/>
        </w:rPr>
      </w:pPr>
      <w:bookmarkStart w:id="19" w:name="_heading=h.3znysh7" w:colFirst="0" w:colLast="0"/>
      <w:bookmarkEnd w:id="19"/>
      <w:r>
        <w:rPr>
          <w:b/>
          <w:bCs/>
          <w:color w:val="000000"/>
        </w:rPr>
        <w:t xml:space="preserve">Indemnities the Client must give </w:t>
      </w:r>
    </w:p>
    <w:p w14:paraId="7350D02D"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20" w:name="_heading=h.2et92p0" w:colFirst="0" w:colLast="0"/>
      <w:bookmarkEnd w:id="20"/>
      <w:r>
        <w:rPr>
          <w:color w:val="000000"/>
        </w:rPr>
        <w:t xml:space="preserve">Subject to Paragraph 2.2, the </w:t>
      </w:r>
      <w:r>
        <w:rPr>
          <w:i/>
          <w:iCs/>
          <w:color w:val="000000"/>
        </w:rPr>
        <w:t>Client</w:t>
      </w:r>
      <w:r>
        <w:rPr>
          <w:color w:val="000000"/>
        </w:rPr>
        <w:t xml:space="preserve"> shall indemnify the </w:t>
      </w:r>
      <w:r>
        <w:rPr>
          <w:i/>
          <w:iCs/>
          <w:color w:val="000000"/>
        </w:rPr>
        <w:t>Service Provider</w:t>
      </w:r>
      <w:r>
        <w:rPr>
          <w:color w:val="000000"/>
        </w:rPr>
        <w:t xml:space="preserve"> and any Subcontractor against any Employee Liabilities arising from or as a result of: </w:t>
      </w:r>
    </w:p>
    <w:p w14:paraId="7E4F31ED"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bookmarkStart w:id="21" w:name="_heading=h.tyjcwt" w:colFirst="0" w:colLast="0"/>
      <w:bookmarkEnd w:id="21"/>
      <w:r>
        <w:rPr>
          <w:color w:val="000000"/>
        </w:rPr>
        <w:t xml:space="preserve">any act or omission by the </w:t>
      </w:r>
      <w:r>
        <w:rPr>
          <w:i/>
          <w:iCs/>
          <w:color w:val="000000"/>
        </w:rPr>
        <w:t>Client</w:t>
      </w:r>
      <w:r>
        <w:rPr>
          <w:color w:val="000000"/>
        </w:rPr>
        <w:t xml:space="preserve"> in respec</w:t>
      </w:r>
      <w:r>
        <w:rPr>
          <w:color w:val="000000"/>
        </w:rPr>
        <w:t xml:space="preserve">t of any Transferring Client Employee or any appropriate employee representative (as defined in the Employment Regulations) of any Transferring Client Employee occurring before the Relevant Transfer Date; </w:t>
      </w:r>
    </w:p>
    <w:p w14:paraId="3F3B3A5F"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the breach or non-observance by the </w:t>
      </w:r>
      <w:r>
        <w:rPr>
          <w:i/>
          <w:iCs/>
          <w:color w:val="000000"/>
        </w:rPr>
        <w:t>Client</w:t>
      </w:r>
      <w:r>
        <w:rPr>
          <w:color w:val="000000"/>
        </w:rPr>
        <w:t xml:space="preserve"> before </w:t>
      </w:r>
      <w:r>
        <w:rPr>
          <w:color w:val="000000"/>
        </w:rPr>
        <w:t>the Relevant Transfer Date of:</w:t>
      </w:r>
    </w:p>
    <w:p w14:paraId="5E3B304B"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any collective agreement applicable to the Transferring Client Employees; and/or </w:t>
      </w:r>
    </w:p>
    <w:p w14:paraId="1FB888A9"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any custom or practice in respect of any Transferring Client Employees which the </w:t>
      </w:r>
      <w:r>
        <w:rPr>
          <w:i/>
          <w:iCs/>
          <w:color w:val="000000"/>
        </w:rPr>
        <w:t>Client</w:t>
      </w:r>
      <w:r>
        <w:rPr>
          <w:color w:val="000000"/>
        </w:rPr>
        <w:t xml:space="preserve"> is contractually bound to honour;</w:t>
      </w:r>
    </w:p>
    <w:p w14:paraId="055F85F4"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claim by any trade union or other body or person representing the Transferring Client Employees arising from or connected with any</w:t>
      </w:r>
      <w:r>
        <w:rPr>
          <w:color w:val="000000"/>
        </w:rPr>
        <w:t xml:space="preserve"> failure by the </w:t>
      </w:r>
      <w:r>
        <w:rPr>
          <w:i/>
          <w:iCs/>
          <w:color w:val="000000"/>
        </w:rPr>
        <w:t>Client</w:t>
      </w:r>
      <w:r>
        <w:rPr>
          <w:color w:val="000000"/>
        </w:rPr>
        <w:t xml:space="preserve"> to comply with any legal obligation to such trade union, body or person arising before the Relevant Transfer Date;</w:t>
      </w:r>
    </w:p>
    <w:p w14:paraId="3CA28ADA"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proceeding, claim or demand by HMRC or other statutory authority in respect of any financial obligation including,</w:t>
      </w:r>
      <w:r>
        <w:rPr>
          <w:color w:val="000000"/>
        </w:rPr>
        <w:t xml:space="preserve"> but not limited to, PAYE and primary and secondary national insurance contributions:</w:t>
      </w:r>
    </w:p>
    <w:p w14:paraId="42B5A34A"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in relation to any Transferring Client Employee, to the extent that the proceeding, claim or demand by HMRC or other statutory authority relates to financial obligations </w:t>
      </w:r>
      <w:r>
        <w:rPr>
          <w:color w:val="000000"/>
        </w:rPr>
        <w:t>arising before the Relevant Transfer Date; and</w:t>
      </w:r>
    </w:p>
    <w:p w14:paraId="4D461C68"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in relation to any employee who is not a Transferring Client Employee and in respect of whom it is later alleged or determined that the Employment Regulations applied so as to transfer their employment from th</w:t>
      </w:r>
      <w:r>
        <w:rPr>
          <w:color w:val="000000"/>
        </w:rPr>
        <w:t xml:space="preserve">e </w:t>
      </w:r>
      <w:r>
        <w:rPr>
          <w:i/>
          <w:iCs/>
          <w:color w:val="000000"/>
        </w:rPr>
        <w:t>Client</w:t>
      </w:r>
      <w:r>
        <w:rPr>
          <w:color w:val="000000"/>
        </w:rPr>
        <w:t xml:space="preserve"> to the </w:t>
      </w:r>
      <w:r>
        <w:rPr>
          <w:i/>
          <w:iCs/>
          <w:color w:val="000000"/>
        </w:rPr>
        <w:t>Service Provider</w:t>
      </w:r>
      <w:r>
        <w:rPr>
          <w:color w:val="000000"/>
        </w:rPr>
        <w:t xml:space="preserve"> and/or any Notified Subcontractor as appropriate, to the extent that the proceeding, claim or demand by the HMRC or other statutory authority relates to financial obligations arising before the Relevant Transfer Date;</w:t>
      </w:r>
    </w:p>
    <w:p w14:paraId="15BCA969"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 fai</w:t>
      </w:r>
      <w:r>
        <w:rPr>
          <w:color w:val="000000"/>
        </w:rPr>
        <w:t>lure of the Client to discharge, or procure the discharge of, all wages, salaries and all other benefits and all PAYE tax deductions and national insurance contributions relating to the Transferring Client Employees arising before the Relevant Transfer Dat</w:t>
      </w:r>
      <w:r>
        <w:rPr>
          <w:color w:val="000000"/>
        </w:rPr>
        <w:t>e;</w:t>
      </w:r>
    </w:p>
    <w:p w14:paraId="01BBDCA4"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any claim made by or in respect of any person employed or formerly employed by the </w:t>
      </w:r>
      <w:r>
        <w:rPr>
          <w:i/>
          <w:iCs/>
          <w:color w:val="000000"/>
        </w:rPr>
        <w:t>Client</w:t>
      </w:r>
      <w:r>
        <w:rPr>
          <w:color w:val="000000"/>
        </w:rPr>
        <w:t xml:space="preserve"> other than a Transferring Client Employee for whom it is alleged the </w:t>
      </w:r>
      <w:r>
        <w:rPr>
          <w:i/>
          <w:iCs/>
          <w:color w:val="000000"/>
        </w:rPr>
        <w:t>Service Provider</w:t>
      </w:r>
      <w:r>
        <w:rPr>
          <w:color w:val="000000"/>
        </w:rPr>
        <w:t xml:space="preserve"> and/or any Subcontractor as appropriate may be liable by virtue of the Employ</w:t>
      </w:r>
      <w:r>
        <w:rPr>
          <w:color w:val="000000"/>
        </w:rPr>
        <w:t>ment Regulations; and</w:t>
      </w:r>
    </w:p>
    <w:p w14:paraId="1F0C3B99"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any claim made by or in respect of a Transferring Client Employee or any appropriate employee representative (as defined in the Employment Regulations) of any Transferring Client Employee relating to any act or omission of the </w:t>
      </w:r>
      <w:r>
        <w:rPr>
          <w:i/>
          <w:iCs/>
          <w:color w:val="000000"/>
        </w:rPr>
        <w:t>Client</w:t>
      </w:r>
      <w:r>
        <w:rPr>
          <w:color w:val="000000"/>
        </w:rPr>
        <w:t xml:space="preserve"> </w:t>
      </w:r>
      <w:r>
        <w:rPr>
          <w:color w:val="000000"/>
        </w:rPr>
        <w:t xml:space="preserve">in relation to its obligations under regulation 13 of the Employment Regulations, except to the extent that the liability arises from the failure by the </w:t>
      </w:r>
      <w:r>
        <w:rPr>
          <w:i/>
          <w:iCs/>
          <w:color w:val="000000"/>
        </w:rPr>
        <w:t>Service Provider</w:t>
      </w:r>
      <w:r>
        <w:rPr>
          <w:color w:val="000000"/>
        </w:rPr>
        <w:t xml:space="preserve"> or any Subcontractor to comply with regulation 13(4) of the Employment Regulations.</w:t>
      </w:r>
    </w:p>
    <w:p w14:paraId="33572305"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22" w:name="_heading=h.3dy6vkm" w:colFirst="0" w:colLast="0"/>
      <w:bookmarkEnd w:id="22"/>
      <w:r>
        <w:rPr>
          <w:color w:val="000000"/>
        </w:rPr>
        <w:t xml:space="preserve">The indemnities in Paragraph 2.1 shall not apply to the extent that the Employee Liabilities arise or are attributable to an act or omission of the </w:t>
      </w:r>
      <w:r>
        <w:rPr>
          <w:i/>
          <w:iCs/>
          <w:color w:val="000000"/>
        </w:rPr>
        <w:t>Service Provider</w:t>
      </w:r>
      <w:r>
        <w:rPr>
          <w:color w:val="000000"/>
        </w:rPr>
        <w:t xml:space="preserve"> or any Subcontractor whether occurring or having its origin before, on or after the Relevan</w:t>
      </w:r>
      <w:r>
        <w:rPr>
          <w:color w:val="000000"/>
        </w:rPr>
        <w:t>t Transfer Date including any Employee Liabilities:</w:t>
      </w:r>
    </w:p>
    <w:p w14:paraId="30E73768"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arising out of the resignation of any Transferring Client Employee before the Relevant Transfer Date on account of substantial detrimental changes to their working conditions proposed by the </w:t>
      </w:r>
      <w:r>
        <w:rPr>
          <w:i/>
          <w:iCs/>
          <w:color w:val="000000"/>
        </w:rPr>
        <w:t>Service Provi</w:t>
      </w:r>
      <w:r>
        <w:rPr>
          <w:i/>
          <w:iCs/>
          <w:color w:val="000000"/>
        </w:rPr>
        <w:t>der</w:t>
      </w:r>
      <w:r>
        <w:rPr>
          <w:color w:val="000000"/>
        </w:rPr>
        <w:t xml:space="preserve"> and/or any Subcontractor to occur in the period from (and including) the Relevant Transfer Date; or</w:t>
      </w:r>
    </w:p>
    <w:p w14:paraId="31455A4A"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arising from the failure by the </w:t>
      </w:r>
      <w:r>
        <w:rPr>
          <w:i/>
          <w:iCs/>
          <w:color w:val="000000"/>
        </w:rPr>
        <w:t>Service Provider</w:t>
      </w:r>
      <w:r>
        <w:rPr>
          <w:color w:val="000000"/>
        </w:rPr>
        <w:t xml:space="preserve"> or any Subcontractor to comply with its obligations under the Employment Regulations.</w:t>
      </w:r>
    </w:p>
    <w:p w14:paraId="4CA583A0"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bookmarkStart w:id="23" w:name="_heading=h.1t3h5sf" w:colFirst="0" w:colLast="0"/>
      <w:bookmarkEnd w:id="23"/>
      <w:r>
        <w:rPr>
          <w:color w:val="000000"/>
        </w:rPr>
        <w:t>Subject to Paragr</w:t>
      </w:r>
      <w:r>
        <w:rPr>
          <w:color w:val="000000"/>
        </w:rPr>
        <w:t xml:space="preserve">aphs 2.4 and 2.5, if any employee of the </w:t>
      </w:r>
      <w:r>
        <w:rPr>
          <w:i/>
          <w:iCs/>
          <w:color w:val="000000"/>
        </w:rPr>
        <w:t>Client</w:t>
      </w:r>
      <w:r>
        <w:rPr>
          <w:color w:val="000000"/>
        </w:rPr>
        <w:t xml:space="preserve"> who is not identified as a Transferring Client Employee claims, or it is determined in relation to any employees of the </w:t>
      </w:r>
      <w:r>
        <w:rPr>
          <w:i/>
          <w:iCs/>
          <w:color w:val="000000"/>
        </w:rPr>
        <w:t>Client</w:t>
      </w:r>
      <w:r>
        <w:rPr>
          <w:color w:val="000000"/>
        </w:rPr>
        <w:t xml:space="preserve"> as a Transferring Client Employee, that their contract of employment has been tra</w:t>
      </w:r>
      <w:r>
        <w:rPr>
          <w:color w:val="000000"/>
        </w:rPr>
        <w:t xml:space="preserve">nsferred from the </w:t>
      </w:r>
      <w:r>
        <w:rPr>
          <w:i/>
          <w:iCs/>
          <w:color w:val="000000"/>
        </w:rPr>
        <w:t>Client</w:t>
      </w:r>
      <w:r>
        <w:rPr>
          <w:color w:val="000000"/>
        </w:rPr>
        <w:t xml:space="preserve"> to the </w:t>
      </w:r>
      <w:r>
        <w:rPr>
          <w:i/>
          <w:iCs/>
          <w:color w:val="000000"/>
        </w:rPr>
        <w:t>Service Provider</w:t>
      </w:r>
      <w:r>
        <w:rPr>
          <w:color w:val="000000"/>
        </w:rPr>
        <w:t xml:space="preserve"> and/or any Subcontractor pursuant to the Employment Regulations then:</w:t>
      </w:r>
    </w:p>
    <w:p w14:paraId="04B77A8E"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bookmarkStart w:id="24" w:name="_heading=h.4d34og8" w:colFirst="0" w:colLast="0"/>
      <w:bookmarkEnd w:id="24"/>
      <w:r>
        <w:rPr>
          <w:color w:val="000000"/>
        </w:rPr>
        <w:t xml:space="preserve">the </w:t>
      </w:r>
      <w:r>
        <w:rPr>
          <w:i/>
          <w:iCs/>
          <w:color w:val="000000"/>
        </w:rPr>
        <w:t>Service Provider</w:t>
      </w:r>
      <w:r>
        <w:rPr>
          <w:color w:val="000000"/>
        </w:rPr>
        <w:t xml:space="preserve"> will, or shall procure that the Subcontractor will, within five (5) Working Days of becoming aware of that fact, notify the </w:t>
      </w:r>
      <w:r>
        <w:rPr>
          <w:i/>
          <w:iCs/>
          <w:color w:val="000000"/>
        </w:rPr>
        <w:t>Client</w:t>
      </w:r>
      <w:r>
        <w:rPr>
          <w:color w:val="000000"/>
        </w:rPr>
        <w:t xml:space="preserve"> in writing; and</w:t>
      </w:r>
    </w:p>
    <w:p w14:paraId="0DE53C82"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bookmarkStart w:id="25" w:name="_heading=h.2s8eyo1" w:colFirst="0" w:colLast="0"/>
      <w:bookmarkEnd w:id="25"/>
      <w:r>
        <w:rPr>
          <w:color w:val="000000"/>
        </w:rPr>
        <w:t xml:space="preserve">the </w:t>
      </w:r>
      <w:r>
        <w:rPr>
          <w:i/>
          <w:iCs/>
          <w:color w:val="000000"/>
        </w:rPr>
        <w:t>Client</w:t>
      </w:r>
      <w:r>
        <w:rPr>
          <w:color w:val="000000"/>
        </w:rPr>
        <w:t xml:space="preserve"> may offer (or may procure that a third party may offer) employment to such person, or take such o</w:t>
      </w:r>
      <w:r>
        <w:rPr>
          <w:color w:val="000000"/>
        </w:rPr>
        <w:t xml:space="preserve">ther steps as it considers appropriate to resolve the matter, within fifteen (15) Working Days of receipt of notice from the </w:t>
      </w:r>
      <w:r>
        <w:rPr>
          <w:i/>
          <w:iCs/>
          <w:color w:val="000000"/>
        </w:rPr>
        <w:t>Service Provider</w:t>
      </w:r>
      <w:r>
        <w:rPr>
          <w:color w:val="000000"/>
        </w:rPr>
        <w:t xml:space="preserve"> and/or any Subcontractor, or take such other reasonable steps as the </w:t>
      </w:r>
      <w:r>
        <w:rPr>
          <w:i/>
          <w:iCs/>
          <w:color w:val="000000"/>
        </w:rPr>
        <w:t>Client</w:t>
      </w:r>
      <w:r>
        <w:rPr>
          <w:color w:val="000000"/>
        </w:rPr>
        <w:t xml:space="preserve"> considers appropriate to deal with the</w:t>
      </w:r>
      <w:r>
        <w:rPr>
          <w:color w:val="000000"/>
        </w:rPr>
        <w:t xml:space="preserve"> matter provided always that such steps are in compliance with the Law.</w:t>
      </w:r>
    </w:p>
    <w:p w14:paraId="2E4EED11"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r>
        <w:rPr>
          <w:color w:val="000000"/>
        </w:rPr>
        <w:t xml:space="preserve">If such offer of employment is accepted, or if the situation has otherwise been resolved by the </w:t>
      </w:r>
      <w:r>
        <w:rPr>
          <w:i/>
          <w:iCs/>
          <w:color w:val="000000"/>
        </w:rPr>
        <w:t>Client</w:t>
      </w:r>
      <w:r>
        <w:rPr>
          <w:color w:val="000000"/>
        </w:rPr>
        <w:t xml:space="preserve">, the </w:t>
      </w:r>
      <w:r>
        <w:rPr>
          <w:i/>
          <w:iCs/>
          <w:color w:val="000000"/>
        </w:rPr>
        <w:t>Service Provider</w:t>
      </w:r>
      <w:r>
        <w:rPr>
          <w:color w:val="000000"/>
        </w:rPr>
        <w:t xml:space="preserve"> shall, or shall procure that the Subcontractor shall, immed</w:t>
      </w:r>
      <w:r>
        <w:rPr>
          <w:color w:val="000000"/>
        </w:rPr>
        <w:t>iately release the person from its employment or alleged employment.</w:t>
      </w:r>
    </w:p>
    <w:p w14:paraId="24E9749A"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bookmarkStart w:id="26" w:name="_heading=h.17dp8vu" w:colFirst="0" w:colLast="0"/>
      <w:bookmarkEnd w:id="26"/>
      <w:r>
        <w:rPr>
          <w:color w:val="000000"/>
        </w:rPr>
        <w:t>If in the period referred to in Paragraph 2.3.2:</w:t>
      </w:r>
    </w:p>
    <w:p w14:paraId="2B2B001A"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no such offer has been made; or</w:t>
      </w:r>
    </w:p>
    <w:p w14:paraId="2BAFBC37"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such offer has been made but not accepted, </w:t>
      </w:r>
    </w:p>
    <w:p w14:paraId="0FD44A7F" w14:textId="77777777" w:rsidR="007960A8" w:rsidRDefault="00A26397">
      <w:pPr>
        <w:pBdr>
          <w:top w:val="nil"/>
          <w:left w:val="nil"/>
          <w:bottom w:val="nil"/>
          <w:right w:val="nil"/>
          <w:between w:val="nil"/>
        </w:pBdr>
        <w:spacing w:before="120" w:after="120"/>
        <w:ind w:left="1134"/>
        <w:rPr>
          <w:color w:val="000000"/>
        </w:rPr>
      </w:pPr>
      <w:r>
        <w:rPr>
          <w:color w:val="000000"/>
        </w:rPr>
        <w:t xml:space="preserve">the </w:t>
      </w:r>
      <w:r>
        <w:rPr>
          <w:i/>
          <w:iCs/>
          <w:color w:val="000000"/>
        </w:rPr>
        <w:t>Service Provider</w:t>
      </w:r>
      <w:r>
        <w:rPr>
          <w:color w:val="000000"/>
        </w:rPr>
        <w:t xml:space="preserve"> may within five (5) Working Days give notice to terminate the employment of such person and subject to the </w:t>
      </w:r>
      <w:r>
        <w:rPr>
          <w:i/>
          <w:iCs/>
          <w:color w:val="000000"/>
        </w:rPr>
        <w:t>Service Provider’s</w:t>
      </w:r>
      <w:r>
        <w:rPr>
          <w:color w:val="000000"/>
        </w:rPr>
        <w:t xml:space="preserve"> compliance acting in accordance with Paragraphs 2.3.1 to 2.3.4 and in accordance with all applicable proper employment procedures</w:t>
      </w:r>
      <w:r>
        <w:rPr>
          <w:color w:val="000000"/>
        </w:rPr>
        <w:t xml:space="preserve"> set out in </w:t>
      </w:r>
      <w:r>
        <w:rPr>
          <w:i/>
          <w:iCs/>
          <w:color w:val="000000"/>
        </w:rPr>
        <w:t>applicable Law</w:t>
      </w:r>
      <w:r>
        <w:rPr>
          <w:color w:val="000000"/>
        </w:rPr>
        <w:t xml:space="preserve"> and subject also to Paragraph 2.7, the </w:t>
      </w:r>
      <w:r>
        <w:rPr>
          <w:i/>
          <w:iCs/>
          <w:color w:val="000000"/>
        </w:rPr>
        <w:t>Client</w:t>
      </w:r>
      <w:r>
        <w:rPr>
          <w:color w:val="000000"/>
        </w:rPr>
        <w:t xml:space="preserve"> will indemnify the </w:t>
      </w:r>
      <w:r>
        <w:rPr>
          <w:i/>
          <w:iCs/>
          <w:color w:val="000000"/>
        </w:rPr>
        <w:t>Service Provider</w:t>
      </w:r>
      <w:r>
        <w:rPr>
          <w:color w:val="000000"/>
        </w:rPr>
        <w:t xml:space="preserve"> and/or the relevant Subcontractor against all Employee Liabilities arising out of the termination of the employment pursuant to the provisions of P</w:t>
      </w:r>
      <w:r>
        <w:rPr>
          <w:color w:val="000000"/>
        </w:rPr>
        <w:t xml:space="preserve">aragraph 2.5 provided that the </w:t>
      </w:r>
      <w:r>
        <w:rPr>
          <w:i/>
          <w:iCs/>
          <w:color w:val="000000"/>
        </w:rPr>
        <w:t>Service Provider</w:t>
      </w:r>
      <w:r>
        <w:rPr>
          <w:color w:val="000000"/>
        </w:rPr>
        <w:t xml:space="preserve"> takes, or procures that the Subcontractor takes, all reasonable steps to minimise any such Employee Liabilities. </w:t>
      </w:r>
    </w:p>
    <w:p w14:paraId="5E3AACAC"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bookmarkStart w:id="27" w:name="_heading=h.3rdcrjn" w:colFirst="0" w:colLast="0"/>
      <w:bookmarkEnd w:id="27"/>
      <w:r>
        <w:rPr>
          <w:color w:val="000000"/>
        </w:rPr>
        <w:t xml:space="preserve">The indemnity in Paragraph 2.3: </w:t>
      </w:r>
    </w:p>
    <w:p w14:paraId="0BFF27B7"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shall not apply to: </w:t>
      </w:r>
    </w:p>
    <w:p w14:paraId="56A35A2A"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any claim for any contravention of the Equality Act 2010 (or predecessor/successor legislation); or </w:t>
      </w:r>
    </w:p>
    <w:p w14:paraId="53C6F06C"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for equal pay or compensation for less favourable treatment of part-time workers or fixed-term employees in relation to any alleged act or omission of the </w:t>
      </w:r>
      <w:r>
        <w:rPr>
          <w:i/>
          <w:iCs/>
          <w:color w:val="000000"/>
        </w:rPr>
        <w:t>Service Provider</w:t>
      </w:r>
      <w:r>
        <w:rPr>
          <w:color w:val="000000"/>
        </w:rPr>
        <w:t xml:space="preserve"> and/or any Subcontractor; or</w:t>
      </w:r>
    </w:p>
    <w:p w14:paraId="1202400B"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any claim that the termination of employment was unfair because the </w:t>
      </w:r>
      <w:r>
        <w:rPr>
          <w:i/>
          <w:iCs/>
          <w:color w:val="000000"/>
        </w:rPr>
        <w:t>Service Provider</w:t>
      </w:r>
      <w:r>
        <w:rPr>
          <w:color w:val="000000"/>
        </w:rPr>
        <w:t xml:space="preserve"> and/or any Subcontractor neglected to follow a fair dismissal procedure.</w:t>
      </w:r>
    </w:p>
    <w:p w14:paraId="7B5FB38B" w14:textId="77777777" w:rsidR="007960A8" w:rsidRDefault="00A26397">
      <w:pPr>
        <w:widowControl/>
        <w:numPr>
          <w:ilvl w:val="1"/>
          <w:numId w:val="82"/>
        </w:numPr>
        <w:pBdr>
          <w:top w:val="nil"/>
          <w:left w:val="nil"/>
          <w:bottom w:val="nil"/>
          <w:right w:val="nil"/>
          <w:between w:val="nil"/>
        </w:pBdr>
        <w:tabs>
          <w:tab w:val="left" w:pos="993"/>
          <w:tab w:val="left" w:pos="1134"/>
        </w:tabs>
        <w:spacing w:before="120" w:after="120"/>
        <w:ind w:left="1134" w:hanging="708"/>
        <w:jc w:val="both"/>
        <w:rPr>
          <w:color w:val="000000"/>
        </w:rPr>
      </w:pPr>
      <w:r>
        <w:rPr>
          <w:color w:val="000000"/>
        </w:rPr>
        <w:t>The indemnity in Paragraph 2.3 shall not apply to an</w:t>
      </w:r>
      <w:r>
        <w:rPr>
          <w:color w:val="000000"/>
        </w:rPr>
        <w:t xml:space="preserve">y termination of employment occurring later than six (6) months from the relevant Transfer Date. </w:t>
      </w:r>
    </w:p>
    <w:p w14:paraId="2177DBA0" w14:textId="77777777" w:rsidR="007960A8" w:rsidRDefault="00A26397">
      <w:pPr>
        <w:widowControl/>
        <w:numPr>
          <w:ilvl w:val="1"/>
          <w:numId w:val="82"/>
        </w:numPr>
        <w:pBdr>
          <w:top w:val="nil"/>
          <w:left w:val="nil"/>
          <w:bottom w:val="nil"/>
          <w:right w:val="nil"/>
          <w:between w:val="nil"/>
        </w:pBdr>
        <w:tabs>
          <w:tab w:val="left" w:pos="993"/>
          <w:tab w:val="left" w:pos="1134"/>
        </w:tabs>
        <w:spacing w:before="120" w:after="120"/>
        <w:ind w:left="1134" w:hanging="708"/>
        <w:jc w:val="both"/>
        <w:rPr>
          <w:color w:val="000000"/>
        </w:rPr>
      </w:pPr>
      <w:bookmarkStart w:id="28" w:name="_heading=h.26in1rg" w:colFirst="0" w:colLast="0"/>
      <w:bookmarkEnd w:id="28"/>
      <w:r>
        <w:rPr>
          <w:color w:val="000000"/>
        </w:rPr>
        <w:t xml:space="preserve">If the </w:t>
      </w:r>
      <w:r>
        <w:rPr>
          <w:i/>
          <w:iCs/>
          <w:color w:val="000000"/>
        </w:rPr>
        <w:t>Service Provider</w:t>
      </w:r>
      <w:r>
        <w:rPr>
          <w:color w:val="000000"/>
        </w:rPr>
        <w:t xml:space="preserve"> and/or any Subcontractor at any point accept the employment of any person as is described in Paragraph 2.3, any person as is described in Paragraph 2.3, such person shall be treated as having transferred to the </w:t>
      </w:r>
      <w:r>
        <w:rPr>
          <w:i/>
          <w:iCs/>
          <w:color w:val="000000"/>
        </w:rPr>
        <w:t>Service Provider</w:t>
      </w:r>
      <w:r>
        <w:rPr>
          <w:color w:val="000000"/>
        </w:rPr>
        <w:t xml:space="preserve"> and/or any Subcontractor an</w:t>
      </w:r>
      <w:r>
        <w:rPr>
          <w:color w:val="000000"/>
        </w:rPr>
        <w:t xml:space="preserve">d the </w:t>
      </w:r>
      <w:r>
        <w:rPr>
          <w:i/>
          <w:iCs/>
          <w:color w:val="000000"/>
        </w:rPr>
        <w:t>Service Provider</w:t>
      </w:r>
      <w:r>
        <w:rPr>
          <w:color w:val="000000"/>
        </w:rPr>
        <w:t xml:space="preserve"> shall, or shall ensure that the Notified Subcontractor shall, (a) comply with such obligations as may be imposed upon it under </w:t>
      </w:r>
      <w:r>
        <w:rPr>
          <w:i/>
          <w:iCs/>
          <w:color w:val="000000"/>
        </w:rPr>
        <w:t>applicable Law</w:t>
      </w:r>
      <w:r>
        <w:rPr>
          <w:color w:val="000000"/>
        </w:rPr>
        <w:t xml:space="preserve"> and (b) comply with the provisions of Part D (Pensions) and its Annexes of this Schedule.</w:t>
      </w:r>
    </w:p>
    <w:p w14:paraId="0E3153FB" w14:textId="77777777" w:rsidR="007960A8" w:rsidRDefault="00A26397">
      <w:pPr>
        <w:keepNext/>
        <w:widowControl/>
        <w:numPr>
          <w:ilvl w:val="0"/>
          <w:numId w:val="82"/>
        </w:numPr>
        <w:pBdr>
          <w:top w:val="nil"/>
          <w:left w:val="nil"/>
          <w:bottom w:val="nil"/>
          <w:right w:val="nil"/>
          <w:between w:val="nil"/>
        </w:pBdr>
        <w:spacing w:before="120" w:after="120"/>
        <w:ind w:left="426" w:hanging="426"/>
        <w:rPr>
          <w:b/>
          <w:bCs/>
          <w:smallCaps/>
          <w:color w:val="000000"/>
        </w:rPr>
      </w:pPr>
      <w:bookmarkStart w:id="29" w:name="_heading=h.lnxbz9" w:colFirst="0" w:colLast="0"/>
      <w:bookmarkEnd w:id="29"/>
      <w:r>
        <w:rPr>
          <w:b/>
          <w:bCs/>
          <w:color w:val="000000"/>
        </w:rPr>
        <w:t>I</w:t>
      </w:r>
      <w:r>
        <w:rPr>
          <w:b/>
          <w:bCs/>
          <w:color w:val="000000"/>
        </w:rPr>
        <w:t>ndemnities the Service Provider must give and its obligations</w:t>
      </w:r>
    </w:p>
    <w:p w14:paraId="156F8945"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30" w:name="_heading=h.35nkun2" w:colFirst="0" w:colLast="0"/>
      <w:bookmarkEnd w:id="30"/>
      <w:r>
        <w:rPr>
          <w:color w:val="000000"/>
        </w:rPr>
        <w:t xml:space="preserve">Subject to Paragraph 3.2, the </w:t>
      </w:r>
      <w:r>
        <w:rPr>
          <w:i/>
          <w:iCs/>
          <w:color w:val="000000"/>
        </w:rPr>
        <w:t>Service Provider</w:t>
      </w:r>
      <w:r>
        <w:rPr>
          <w:color w:val="000000"/>
        </w:rPr>
        <w:t xml:space="preserve"> shall indemnify the </w:t>
      </w:r>
      <w:r>
        <w:rPr>
          <w:i/>
          <w:iCs/>
          <w:color w:val="000000"/>
        </w:rPr>
        <w:t>Client</w:t>
      </w:r>
      <w:r>
        <w:rPr>
          <w:color w:val="000000"/>
        </w:rPr>
        <w:t xml:space="preserve"> against any Employee Liabilities arising from or as a result of: </w:t>
      </w:r>
    </w:p>
    <w:p w14:paraId="72F1E1AC"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any act or omission by the </w:t>
      </w:r>
      <w:r>
        <w:rPr>
          <w:i/>
          <w:iCs/>
          <w:color w:val="000000"/>
        </w:rPr>
        <w:t>Service Provider</w:t>
      </w:r>
      <w:r>
        <w:rPr>
          <w:color w:val="000000"/>
        </w:rPr>
        <w:t xml:space="preserve"> or any Subcontractor in respect of any Transferring Client Employee or any appropriate employee representative (as defined in the Employment Regu</w:t>
      </w:r>
      <w:r>
        <w:rPr>
          <w:color w:val="000000"/>
        </w:rPr>
        <w:t>lations) of any Transferring Client Employee whether occurring before, on or after the Relevant Transfer Date;</w:t>
      </w:r>
    </w:p>
    <w:p w14:paraId="446B79DF"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the breach or non-observance by the </w:t>
      </w:r>
      <w:r>
        <w:rPr>
          <w:i/>
          <w:iCs/>
          <w:color w:val="000000"/>
        </w:rPr>
        <w:t>Service Provider</w:t>
      </w:r>
      <w:r>
        <w:rPr>
          <w:color w:val="000000"/>
        </w:rPr>
        <w:t xml:space="preserve"> or any Subcontractor on or after the Relevant Transfer Date of:</w:t>
      </w:r>
    </w:p>
    <w:p w14:paraId="6A2F398C" w14:textId="77777777" w:rsidR="007960A8" w:rsidRDefault="00A26397">
      <w:pPr>
        <w:widowControl/>
        <w:numPr>
          <w:ilvl w:val="3"/>
          <w:numId w:val="82"/>
        </w:numPr>
        <w:pBdr>
          <w:top w:val="nil"/>
          <w:left w:val="nil"/>
          <w:bottom w:val="nil"/>
          <w:right w:val="nil"/>
          <w:between w:val="nil"/>
        </w:pBdr>
        <w:spacing w:before="120" w:after="120"/>
        <w:ind w:hanging="895"/>
        <w:rPr>
          <w:color w:val="000000"/>
        </w:rPr>
      </w:pPr>
      <w:r>
        <w:rPr>
          <w:color w:val="000000"/>
        </w:rPr>
        <w:t>any collective agreement app</w:t>
      </w:r>
      <w:r>
        <w:rPr>
          <w:color w:val="000000"/>
        </w:rPr>
        <w:t xml:space="preserve">licable to the Transferring Client Employees; and/or </w:t>
      </w:r>
    </w:p>
    <w:p w14:paraId="30BFB263" w14:textId="77777777" w:rsidR="007960A8" w:rsidRDefault="00A26397">
      <w:pPr>
        <w:widowControl/>
        <w:numPr>
          <w:ilvl w:val="3"/>
          <w:numId w:val="82"/>
        </w:numPr>
        <w:pBdr>
          <w:top w:val="nil"/>
          <w:left w:val="nil"/>
          <w:bottom w:val="nil"/>
          <w:right w:val="nil"/>
          <w:between w:val="nil"/>
        </w:pBdr>
        <w:spacing w:before="120" w:after="120"/>
        <w:ind w:hanging="895"/>
        <w:rPr>
          <w:color w:val="000000"/>
        </w:rPr>
      </w:pPr>
      <w:r>
        <w:rPr>
          <w:color w:val="000000"/>
        </w:rPr>
        <w:t xml:space="preserve">any custom or practice in respect of any Transferring Client Employees which the </w:t>
      </w:r>
      <w:r>
        <w:rPr>
          <w:i/>
          <w:iCs/>
          <w:color w:val="000000"/>
        </w:rPr>
        <w:t>Service Provider</w:t>
      </w:r>
      <w:r>
        <w:rPr>
          <w:color w:val="000000"/>
        </w:rPr>
        <w:t xml:space="preserve"> or any Subcontractor is contractually bound to honour;</w:t>
      </w:r>
    </w:p>
    <w:p w14:paraId="452B437A"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claim by any trade union or other body or per</w:t>
      </w:r>
      <w:r>
        <w:rPr>
          <w:color w:val="000000"/>
        </w:rPr>
        <w:t xml:space="preserve">son representing any Transferring Client Employees arising from or connected with any failure by the </w:t>
      </w:r>
      <w:r>
        <w:rPr>
          <w:i/>
          <w:iCs/>
          <w:color w:val="000000"/>
        </w:rPr>
        <w:t>Service Provider</w:t>
      </w:r>
      <w:r>
        <w:rPr>
          <w:color w:val="000000"/>
        </w:rPr>
        <w:t xml:space="preserve"> or any Subcontractor to comply with any legal obligation to such trade union, body or person arising on or after the Relevant Transfer Dat</w:t>
      </w:r>
      <w:r>
        <w:rPr>
          <w:color w:val="000000"/>
        </w:rPr>
        <w:t>e;</w:t>
      </w:r>
    </w:p>
    <w:p w14:paraId="27C86C0C"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any proposal by the </w:t>
      </w:r>
      <w:r>
        <w:rPr>
          <w:i/>
          <w:iCs/>
          <w:color w:val="000000"/>
        </w:rPr>
        <w:t>Service Provider</w:t>
      </w:r>
      <w:r>
        <w:rPr>
          <w:color w:val="000000"/>
        </w:rPr>
        <w:t xml:space="preserve"> or a Subcontractor made before the Relevant Transfer Date to make changes to the terms and conditions of employment or working conditions of any Transferring Client Employees to their material detriment on or after t</w:t>
      </w:r>
      <w:r>
        <w:rPr>
          <w:color w:val="000000"/>
        </w:rPr>
        <w:t xml:space="preserve">heir transfer to the </w:t>
      </w:r>
      <w:r>
        <w:rPr>
          <w:i/>
          <w:iCs/>
          <w:color w:val="000000"/>
        </w:rPr>
        <w:t>Service Provider</w:t>
      </w:r>
      <w:r>
        <w:rPr>
          <w:color w:val="000000"/>
        </w:rPr>
        <w:t xml:space="preserve"> or the relevant Subcontractor (as the case may be) on the Relevant Transfer Date, or to change the terms and conditions of employment or working conditions of any person who would have been a Transferring Client Employ</w:t>
      </w:r>
      <w:r>
        <w:rPr>
          <w:color w:val="000000"/>
        </w:rPr>
        <w:t xml:space="preserve">ee but for their resignation (or decision to treat their employment as terminated under regulation 4(9) of the Employment Regulations) before the Relevant Transfer Date as a result of or for a reason connected to such proposed changes; </w:t>
      </w:r>
    </w:p>
    <w:p w14:paraId="4EE5E233"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statement commu</w:t>
      </w:r>
      <w:r>
        <w:rPr>
          <w:color w:val="000000"/>
        </w:rPr>
        <w:t xml:space="preserve">nicated to or action undertaken by the </w:t>
      </w:r>
      <w:r>
        <w:rPr>
          <w:i/>
          <w:iCs/>
          <w:color w:val="000000"/>
        </w:rPr>
        <w:t>Service Provider</w:t>
      </w:r>
      <w:r>
        <w:rPr>
          <w:color w:val="000000"/>
        </w:rPr>
        <w:t xml:space="preserve"> or any Subcontractor to, or in respect of, any Transferring Client Employee before the Relevant Transfer Date regarding the Relevant Transfer which has not been agreed in advance with the </w:t>
      </w:r>
      <w:r>
        <w:rPr>
          <w:i/>
          <w:iCs/>
          <w:color w:val="000000"/>
        </w:rPr>
        <w:t>Client</w:t>
      </w:r>
      <w:r>
        <w:rPr>
          <w:color w:val="000000"/>
        </w:rPr>
        <w:t xml:space="preserve"> in wr</w:t>
      </w:r>
      <w:r>
        <w:rPr>
          <w:color w:val="000000"/>
        </w:rPr>
        <w:t>iting;</w:t>
      </w:r>
    </w:p>
    <w:p w14:paraId="64239033"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proceeding, claim or demand by HMRC or other statutory authority in respect of any financial obligation including, but not limited to, PAYE and primary and secondary national insurance contributions:</w:t>
      </w:r>
    </w:p>
    <w:p w14:paraId="435FCDEB"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in relation to any Transferring Client Employee, to </w:t>
      </w:r>
      <w:r>
        <w:rPr>
          <w:color w:val="000000"/>
        </w:rPr>
        <w:t>the extent that the proceeding, claim or demand by HMRC or other statutory authority relates to financial obligations arising on or after the Relevant Transfer Date; and</w:t>
      </w:r>
    </w:p>
    <w:p w14:paraId="4D6B7E99" w14:textId="77777777" w:rsidR="007960A8" w:rsidRDefault="00A26397">
      <w:pPr>
        <w:widowControl/>
        <w:numPr>
          <w:ilvl w:val="3"/>
          <w:numId w:val="82"/>
        </w:numPr>
        <w:pBdr>
          <w:top w:val="nil"/>
          <w:left w:val="nil"/>
          <w:bottom w:val="nil"/>
          <w:right w:val="nil"/>
          <w:between w:val="nil"/>
        </w:pBdr>
        <w:spacing w:before="120" w:after="120"/>
        <w:ind w:left="2835" w:hanging="850"/>
        <w:rPr>
          <w:color w:val="000000"/>
        </w:rPr>
      </w:pPr>
      <w:r>
        <w:rPr>
          <w:color w:val="000000"/>
        </w:rPr>
        <w:t xml:space="preserve">in relation to any employee who is not a Transferring Client Employee, and in respect of whom it is later alleged or determined that the Employment Regulations applied so as to transfer their employment from the </w:t>
      </w:r>
      <w:r>
        <w:rPr>
          <w:i/>
          <w:iCs/>
          <w:color w:val="000000"/>
        </w:rPr>
        <w:t>Client</w:t>
      </w:r>
      <w:r>
        <w:rPr>
          <w:color w:val="000000"/>
        </w:rPr>
        <w:t xml:space="preserve"> to the </w:t>
      </w:r>
      <w:r>
        <w:rPr>
          <w:i/>
          <w:iCs/>
          <w:color w:val="000000"/>
        </w:rPr>
        <w:t>Service Provider</w:t>
      </w:r>
      <w:r>
        <w:rPr>
          <w:color w:val="000000"/>
        </w:rPr>
        <w:t xml:space="preserve"> or a Subcontr</w:t>
      </w:r>
      <w:r>
        <w:rPr>
          <w:color w:val="000000"/>
        </w:rPr>
        <w:t>actor, to the extent that the proceeding, claim or demand by HMRC or other statutory authority relates to financial obligations arising on or after the Relevant Transfer Date;</w:t>
      </w:r>
    </w:p>
    <w:p w14:paraId="2FE47F56"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a failure of the </w:t>
      </w:r>
      <w:r>
        <w:rPr>
          <w:i/>
          <w:iCs/>
          <w:color w:val="000000"/>
        </w:rPr>
        <w:t>Service Provider</w:t>
      </w:r>
      <w:r>
        <w:rPr>
          <w:color w:val="000000"/>
        </w:rPr>
        <w:t xml:space="preserve"> or any Subcontractor to discharge or procure t</w:t>
      </w:r>
      <w:r>
        <w:rPr>
          <w:color w:val="000000"/>
        </w:rPr>
        <w:t xml:space="preserve">he discharge of all wages, salaries and all other benefits and all PAYE tax deductions and national insurance contributions relating to the Transferring Client Employees in respect of the period from (and including) the Relevant Transfer Date; </w:t>
      </w:r>
    </w:p>
    <w:p w14:paraId="6BF5D238"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any claim m</w:t>
      </w:r>
      <w:r>
        <w:rPr>
          <w:color w:val="000000"/>
        </w:rPr>
        <w:t xml:space="preserve">ade by or in respect of a Transferring Client Employee or any appropriate employee representative (as defined in the Employment Regulations) of any Transferring Client Employee relating to any act or omission of the </w:t>
      </w:r>
      <w:r>
        <w:rPr>
          <w:i/>
          <w:iCs/>
          <w:color w:val="000000"/>
        </w:rPr>
        <w:t>Service Provider</w:t>
      </w:r>
      <w:r>
        <w:rPr>
          <w:color w:val="000000"/>
        </w:rPr>
        <w:t xml:space="preserve"> or any Subcontractor in</w:t>
      </w:r>
      <w:r>
        <w:rPr>
          <w:color w:val="000000"/>
        </w:rPr>
        <w:t xml:space="preserve"> relation to their obligations under regulation 13 of the Employment Regulations, except to the extent that the liability arises from the </w:t>
      </w:r>
      <w:r>
        <w:rPr>
          <w:i/>
          <w:iCs/>
          <w:color w:val="000000"/>
        </w:rPr>
        <w:t>Client’s</w:t>
      </w:r>
      <w:r>
        <w:rPr>
          <w:color w:val="000000"/>
        </w:rPr>
        <w:t xml:space="preserve"> failure to comply with its obligations under regulation 13 of the Employment Regulations; and</w:t>
      </w:r>
    </w:p>
    <w:p w14:paraId="508E8F3A"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a failure by th</w:t>
      </w:r>
      <w:r>
        <w:rPr>
          <w:color w:val="000000"/>
        </w:rPr>
        <w:t xml:space="preserve">e </w:t>
      </w:r>
      <w:r>
        <w:rPr>
          <w:i/>
          <w:iCs/>
          <w:color w:val="000000"/>
        </w:rPr>
        <w:t>Service Provider</w:t>
      </w:r>
      <w:r>
        <w:rPr>
          <w:color w:val="000000"/>
        </w:rPr>
        <w:t xml:space="preserve"> or any Subcontractor to comply with its obligations under Paragraph 2.6 above.</w:t>
      </w:r>
    </w:p>
    <w:p w14:paraId="081978AB"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31" w:name="_heading=h.1ksv4uv" w:colFirst="0" w:colLast="0"/>
      <w:bookmarkEnd w:id="31"/>
      <w:r>
        <w:rPr>
          <w:color w:val="000000"/>
        </w:rPr>
        <w:t xml:space="preserve">The indemnities in Paragraph 3.1 shall not apply to the extent that the Employee Liabilities arise or are attributable to an act or omission of the </w:t>
      </w:r>
      <w:r>
        <w:rPr>
          <w:i/>
          <w:iCs/>
          <w:color w:val="000000"/>
        </w:rPr>
        <w:t>Client</w:t>
      </w:r>
      <w:r>
        <w:rPr>
          <w:color w:val="000000"/>
        </w:rPr>
        <w:t xml:space="preserve"> whe</w:t>
      </w:r>
      <w:r>
        <w:rPr>
          <w:color w:val="000000"/>
        </w:rPr>
        <w:t xml:space="preserve">ther occurring or having its origin before, on or after the Relevant Transfer Date including, any Employee Liabilities arising from the </w:t>
      </w:r>
      <w:r>
        <w:rPr>
          <w:i/>
          <w:iCs/>
          <w:color w:val="000000"/>
        </w:rPr>
        <w:t>Client's</w:t>
      </w:r>
      <w:r>
        <w:rPr>
          <w:color w:val="000000"/>
        </w:rPr>
        <w:t xml:space="preserve"> failure to comply with its obligations under the Employment Regulations.</w:t>
      </w:r>
    </w:p>
    <w:p w14:paraId="5436EE5E"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r>
        <w:rPr>
          <w:color w:val="000000"/>
        </w:rPr>
        <w:t>The Service Provider shall comply, and</w:t>
      </w:r>
      <w:r>
        <w:rPr>
          <w:color w:val="000000"/>
        </w:rPr>
        <w:t xml:space="preserve"> shall procure that each Subcontractor shall comply, with all its obligations under the Employment Regulations (including its obligation to inform and consult in accordance with regulation 13 of the Employment Regulations) and shall perform and discharge a</w:t>
      </w:r>
      <w:r>
        <w:rPr>
          <w:color w:val="000000"/>
        </w:rPr>
        <w:t>ll its obligations in respect of the Transferring Client Employees, from (and including) the Relevant Transfer Date including the payment of all remuneration, benefits, entitlements and outgoings, all wages, accrued but untaken holiday pay, bonuses, commis</w:t>
      </w:r>
      <w:r>
        <w:rPr>
          <w:color w:val="000000"/>
        </w:rPr>
        <w:t>sions, payments of PAYE, national insurance contributions and pension contributions and any other sums due under the Admission Agreement which in any case are attributable in whole or in part to the period from and including the Relevant Transfer Date) and</w:t>
      </w:r>
      <w:r>
        <w:rPr>
          <w:color w:val="000000"/>
        </w:rPr>
        <w:t xml:space="preserve"> any necessary apportionments in respect of any periodic payments shall be made between the </w:t>
      </w:r>
      <w:r>
        <w:rPr>
          <w:i/>
          <w:iCs/>
          <w:color w:val="000000"/>
        </w:rPr>
        <w:t>Client</w:t>
      </w:r>
      <w:r>
        <w:rPr>
          <w:color w:val="000000"/>
        </w:rPr>
        <w:t xml:space="preserve"> and the </w:t>
      </w:r>
      <w:r>
        <w:rPr>
          <w:i/>
          <w:iCs/>
          <w:color w:val="000000"/>
        </w:rPr>
        <w:t>Service Provider</w:t>
      </w:r>
      <w:r>
        <w:rPr>
          <w:color w:val="000000"/>
        </w:rPr>
        <w:t>.</w:t>
      </w:r>
    </w:p>
    <w:p w14:paraId="5A637978" w14:textId="77777777" w:rsidR="007960A8" w:rsidRDefault="00A26397">
      <w:pPr>
        <w:keepNext/>
        <w:widowControl/>
        <w:numPr>
          <w:ilvl w:val="0"/>
          <w:numId w:val="82"/>
        </w:numPr>
        <w:pBdr>
          <w:top w:val="nil"/>
          <w:left w:val="nil"/>
          <w:bottom w:val="nil"/>
          <w:right w:val="nil"/>
          <w:between w:val="nil"/>
        </w:pBdr>
        <w:spacing w:before="120" w:after="120"/>
        <w:ind w:left="426" w:hanging="426"/>
        <w:rPr>
          <w:b/>
          <w:bCs/>
          <w:smallCaps/>
          <w:color w:val="000000"/>
        </w:rPr>
      </w:pPr>
      <w:r>
        <w:rPr>
          <w:b/>
          <w:bCs/>
          <w:color w:val="000000"/>
        </w:rPr>
        <w:t>Information the Service Provider must provide</w:t>
      </w:r>
    </w:p>
    <w:p w14:paraId="3537CAF5" w14:textId="77777777" w:rsidR="007960A8" w:rsidRDefault="00A26397">
      <w:pPr>
        <w:spacing w:before="120" w:after="120"/>
        <w:ind w:left="1134" w:hanging="708"/>
      </w:pPr>
      <w:r>
        <w:t xml:space="preserve">4.1    </w:t>
      </w:r>
      <w:r>
        <w:tab/>
        <w:t xml:space="preserve">The </w:t>
      </w:r>
      <w:r>
        <w:rPr>
          <w:i/>
          <w:iCs/>
        </w:rPr>
        <w:t>Service Provider</w:t>
      </w:r>
      <w:r>
        <w:t xml:space="preserve"> shall promptly provide to the </w:t>
      </w:r>
      <w:r>
        <w:rPr>
          <w:i/>
          <w:iCs/>
        </w:rPr>
        <w:t>Client</w:t>
      </w:r>
      <w:r>
        <w:t xml:space="preserve"> in writing such information as is necessary to enable the </w:t>
      </w:r>
      <w:r>
        <w:rPr>
          <w:i/>
          <w:iCs/>
        </w:rPr>
        <w:t>Client</w:t>
      </w:r>
      <w:r>
        <w:t xml:space="preserve"> to carry out its duties under regulation 13 of the Employment Regulations. The </w:t>
      </w:r>
      <w:r>
        <w:rPr>
          <w:i/>
          <w:iCs/>
        </w:rPr>
        <w:t>Client</w:t>
      </w:r>
      <w:r>
        <w:t xml:space="preserve"> shall promptly provide to the </w:t>
      </w:r>
      <w:r>
        <w:rPr>
          <w:i/>
          <w:iCs/>
        </w:rPr>
        <w:t>Service Provider</w:t>
      </w:r>
      <w:r>
        <w:t xml:space="preserve"> in writing such info</w:t>
      </w:r>
      <w:r>
        <w:t xml:space="preserve">rmation as is necessary to enable the </w:t>
      </w:r>
      <w:r>
        <w:rPr>
          <w:i/>
          <w:iCs/>
        </w:rPr>
        <w:t>Service Provider</w:t>
      </w:r>
      <w:r>
        <w:t xml:space="preserve"> and any Subcontractor to carry out their respective duties under regulation 13 of the Employment Regulations.</w:t>
      </w:r>
    </w:p>
    <w:p w14:paraId="3871F517" w14:textId="77777777" w:rsidR="007960A8" w:rsidRDefault="00A26397">
      <w:pPr>
        <w:keepNext/>
        <w:widowControl/>
        <w:numPr>
          <w:ilvl w:val="0"/>
          <w:numId w:val="82"/>
        </w:numPr>
        <w:pBdr>
          <w:top w:val="nil"/>
          <w:left w:val="nil"/>
          <w:bottom w:val="nil"/>
          <w:right w:val="nil"/>
          <w:between w:val="nil"/>
        </w:pBdr>
        <w:spacing w:before="120" w:after="120"/>
        <w:ind w:left="1134" w:hanging="708"/>
        <w:rPr>
          <w:b/>
          <w:bCs/>
          <w:smallCaps/>
          <w:color w:val="000000"/>
        </w:rPr>
      </w:pPr>
      <w:r>
        <w:rPr>
          <w:b/>
          <w:bCs/>
          <w:color w:val="000000"/>
        </w:rPr>
        <w:t>Cabinet Office requirements</w:t>
      </w:r>
    </w:p>
    <w:p w14:paraId="06D45644"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32" w:name="_heading=h.44sinio" w:colFirst="0" w:colLast="0"/>
      <w:bookmarkEnd w:id="32"/>
      <w:r>
        <w:rPr>
          <w:color w:val="000000"/>
        </w:rPr>
        <w:t>The Parties agree that the Principles of Good Employment Practi</w:t>
      </w:r>
      <w:r>
        <w:rPr>
          <w:color w:val="000000"/>
        </w:rPr>
        <w:t xml:space="preserve">ce issued by the Cabinet Office in December 2010 apply to the treatment by the </w:t>
      </w:r>
      <w:r>
        <w:rPr>
          <w:i/>
          <w:iCs/>
          <w:color w:val="000000"/>
        </w:rPr>
        <w:t>Service Provider</w:t>
      </w:r>
      <w:r>
        <w:rPr>
          <w:color w:val="000000"/>
        </w:rPr>
        <w:t xml:space="preserve"> of employees whose employment begins after the Relevant Transfer Date, and the </w:t>
      </w:r>
      <w:r>
        <w:rPr>
          <w:i/>
          <w:iCs/>
          <w:color w:val="000000"/>
        </w:rPr>
        <w:t>Service Provider</w:t>
      </w:r>
      <w:r>
        <w:rPr>
          <w:color w:val="000000"/>
        </w:rPr>
        <w:t xml:space="preserve"> undertakes to treat such employees in accordance with the provis</w:t>
      </w:r>
      <w:r>
        <w:rPr>
          <w:color w:val="000000"/>
        </w:rPr>
        <w:t>ions of the Principles of Good Employment Practice.</w:t>
      </w:r>
    </w:p>
    <w:p w14:paraId="1AFE1931"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bookmarkStart w:id="33" w:name="_heading=h.2jxsxqh" w:colFirst="0" w:colLast="0"/>
      <w:bookmarkEnd w:id="33"/>
      <w:r>
        <w:rPr>
          <w:color w:val="000000"/>
        </w:rPr>
        <w:t xml:space="preserve">The </w:t>
      </w:r>
      <w:r>
        <w:rPr>
          <w:i/>
          <w:iCs/>
          <w:color w:val="000000"/>
        </w:rPr>
        <w:t>Service Provider</w:t>
      </w:r>
      <w:r>
        <w:rPr>
          <w:color w:val="000000"/>
        </w:rPr>
        <w:t xml:space="preserve"> shall, and shall procure that each Subcontractor shall, comply with any requirement notified to it by the </w:t>
      </w:r>
      <w:r>
        <w:rPr>
          <w:i/>
          <w:iCs/>
          <w:color w:val="000000"/>
        </w:rPr>
        <w:t>Client</w:t>
      </w:r>
      <w:r>
        <w:rPr>
          <w:color w:val="000000"/>
        </w:rPr>
        <w:t xml:space="preserve"> relating to pensions in respect of any Transferring Client Employee as</w:t>
      </w:r>
      <w:r>
        <w:rPr>
          <w:color w:val="000000"/>
        </w:rPr>
        <w:t xml:space="preserve"> set down in: </w:t>
      </w:r>
    </w:p>
    <w:p w14:paraId="21191FE7"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the Cabinet Office Statement of Practice on Staff Transfers in the Public Sector of January 2000, revised December 2013; </w:t>
      </w:r>
    </w:p>
    <w:p w14:paraId="5BE9B61C"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Old Fair Deal; and/or </w:t>
      </w:r>
    </w:p>
    <w:p w14:paraId="2FFC3E2B"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 xml:space="preserve">the New Fair Deal. </w:t>
      </w:r>
    </w:p>
    <w:p w14:paraId="7AE9C3F8"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acknowledges, in respect of those Transferring Client Employees who we</w:t>
      </w:r>
      <w:r>
        <w:rPr>
          <w:color w:val="000000"/>
        </w:rPr>
        <w:t>re eligible for compensation under the terms of Civil Service Compensation Scheme ("</w:t>
      </w:r>
      <w:r>
        <w:rPr>
          <w:b/>
          <w:bCs/>
          <w:color w:val="000000"/>
        </w:rPr>
        <w:t>CSCS</w:t>
      </w:r>
      <w:r>
        <w:rPr>
          <w:color w:val="000000"/>
        </w:rPr>
        <w:t xml:space="preserve">") immediately prior to transfer, that the right to benefits calculated in accordance with the terms of the CSCS will transfer under the Employment Regulations. The </w:t>
      </w:r>
      <w:r>
        <w:rPr>
          <w:i/>
          <w:iCs/>
          <w:color w:val="000000"/>
        </w:rPr>
        <w:t>Service Provider</w:t>
      </w:r>
      <w:r>
        <w:rPr>
          <w:color w:val="000000"/>
        </w:rPr>
        <w:t xml:space="preserve"> acknowledges and accepts that for any employee who was eligible for compensation under or in accordance with the terms of the CSCS, the right to compensation, is a right to compensation in accordance with the terms of the CSCS applicable a</w:t>
      </w:r>
      <w:r>
        <w:rPr>
          <w:color w:val="000000"/>
        </w:rPr>
        <w:t xml:space="preserve">t the time at which the employee becomes entitled to such compensation (including voluntary or compulsory redundancy). </w:t>
      </w:r>
      <w:r>
        <w:rPr>
          <w:i/>
          <w:iCs/>
          <w:color w:val="000000"/>
        </w:rPr>
        <w:t>Service Providers</w:t>
      </w:r>
      <w:r>
        <w:rPr>
          <w:color w:val="000000"/>
        </w:rPr>
        <w:t xml:space="preserve"> are advised to check the Civil Service Pensions website for the current CSCS terms.</w:t>
      </w:r>
    </w:p>
    <w:p w14:paraId="751004D1" w14:textId="77777777" w:rsidR="007960A8" w:rsidRDefault="00A26397">
      <w:pPr>
        <w:widowControl/>
        <w:numPr>
          <w:ilvl w:val="1"/>
          <w:numId w:val="82"/>
        </w:numPr>
        <w:pBdr>
          <w:top w:val="nil"/>
          <w:left w:val="nil"/>
          <w:bottom w:val="nil"/>
          <w:right w:val="nil"/>
          <w:between w:val="nil"/>
        </w:pBdr>
        <w:spacing w:before="120" w:after="120"/>
        <w:ind w:left="1134" w:hanging="708"/>
        <w:rPr>
          <w:color w:val="000000"/>
        </w:rPr>
      </w:pPr>
      <w:r>
        <w:rPr>
          <w:color w:val="000000"/>
        </w:rPr>
        <w:t>Any changes necessary to the Contra</w:t>
      </w:r>
      <w:r>
        <w:rPr>
          <w:color w:val="000000"/>
        </w:rPr>
        <w:t>ct as a result of the Project Manager issuing an instruction to, or any replacement of, any statement of practice, paper or other guidance that replaces any of the documentation referred to in Paragraphs 5.1 or 5.2 shall be agreed in accordance with the Co</w:t>
      </w:r>
      <w:r>
        <w:rPr>
          <w:color w:val="000000"/>
        </w:rPr>
        <w:t>mpensation Event process.</w:t>
      </w:r>
    </w:p>
    <w:p w14:paraId="0295AC5B" w14:textId="77777777" w:rsidR="007960A8" w:rsidRDefault="00A26397">
      <w:pPr>
        <w:keepNext/>
        <w:widowControl/>
        <w:numPr>
          <w:ilvl w:val="0"/>
          <w:numId w:val="82"/>
        </w:numPr>
        <w:pBdr>
          <w:top w:val="nil"/>
          <w:left w:val="nil"/>
          <w:bottom w:val="nil"/>
          <w:right w:val="nil"/>
          <w:between w:val="nil"/>
        </w:pBdr>
        <w:spacing w:before="120" w:after="120"/>
        <w:ind w:left="426" w:hanging="426"/>
        <w:rPr>
          <w:b/>
          <w:bCs/>
          <w:color w:val="000000"/>
        </w:rPr>
      </w:pPr>
      <w:r>
        <w:rPr>
          <w:b/>
          <w:bCs/>
          <w:color w:val="000000"/>
        </w:rPr>
        <w:t>Pensions</w:t>
      </w:r>
    </w:p>
    <w:p w14:paraId="4301DE39" w14:textId="77777777" w:rsidR="007960A8" w:rsidRDefault="00A26397">
      <w:pPr>
        <w:keepNext/>
        <w:widowControl/>
        <w:numPr>
          <w:ilvl w:val="1"/>
          <w:numId w:val="82"/>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and/or shall procure that each of its Subcontractors shall, comply with:</w:t>
      </w:r>
    </w:p>
    <w:p w14:paraId="39B70F45"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the requirements of Part 1 of the Pensions Act 2008, section 258 of the Pensions Act 2004 and the Transfer of Employment (Pension Protection) Regulations 2005 for all transferring staff; and</w:t>
      </w:r>
    </w:p>
    <w:p w14:paraId="3ED19D63" w14:textId="77777777" w:rsidR="007960A8" w:rsidRDefault="00A26397">
      <w:pPr>
        <w:widowControl/>
        <w:numPr>
          <w:ilvl w:val="2"/>
          <w:numId w:val="82"/>
        </w:numPr>
        <w:pBdr>
          <w:top w:val="nil"/>
          <w:left w:val="nil"/>
          <w:bottom w:val="nil"/>
          <w:right w:val="nil"/>
          <w:between w:val="nil"/>
        </w:pBdr>
        <w:spacing w:before="120" w:after="120"/>
        <w:ind w:left="1985" w:hanging="851"/>
        <w:rPr>
          <w:color w:val="000000"/>
        </w:rPr>
      </w:pPr>
      <w:r>
        <w:rPr>
          <w:color w:val="000000"/>
        </w:rPr>
        <w:t>the provisions in Part D: Pensions (and its Annexes) to this Sche</w:t>
      </w:r>
      <w:r>
        <w:rPr>
          <w:color w:val="000000"/>
        </w:rPr>
        <w:t>dule.</w:t>
      </w:r>
    </w:p>
    <w:p w14:paraId="0A8FB835" w14:textId="77777777" w:rsidR="007960A8" w:rsidRDefault="00A26397">
      <w:pPr>
        <w:pStyle w:val="Heading1"/>
        <w:spacing w:before="120" w:after="120"/>
        <w:ind w:firstLine="220"/>
        <w:rPr>
          <w:sz w:val="36"/>
          <w:szCs w:val="36"/>
        </w:rPr>
      </w:pPr>
      <w:bookmarkStart w:id="34" w:name="_heading=h.z337ya" w:colFirst="0" w:colLast="0"/>
      <w:bookmarkEnd w:id="34"/>
      <w:r>
        <w:br w:type="page"/>
      </w:r>
      <w:r>
        <w:rPr>
          <w:sz w:val="36"/>
          <w:szCs w:val="36"/>
        </w:rPr>
        <w:t xml:space="preserve">Part B: Staff transfer at the </w:t>
      </w:r>
      <w:r>
        <w:rPr>
          <w:i/>
          <w:iCs/>
          <w:sz w:val="36"/>
          <w:szCs w:val="36"/>
        </w:rPr>
        <w:t>Starting Date</w:t>
      </w:r>
      <w:r>
        <w:rPr>
          <w:sz w:val="36"/>
          <w:szCs w:val="36"/>
        </w:rPr>
        <w:t xml:space="preserve"> </w:t>
      </w:r>
    </w:p>
    <w:p w14:paraId="469A898B" w14:textId="77777777" w:rsidR="007960A8" w:rsidRDefault="00A26397">
      <w:pPr>
        <w:pStyle w:val="Heading1"/>
        <w:spacing w:before="120" w:after="120"/>
        <w:ind w:firstLine="220"/>
        <w:rPr>
          <w:smallCaps/>
          <w:sz w:val="36"/>
          <w:szCs w:val="36"/>
        </w:rPr>
      </w:pPr>
      <w:r>
        <w:rPr>
          <w:sz w:val="36"/>
          <w:szCs w:val="36"/>
        </w:rPr>
        <w:t>Transfer from a former Service Provider on a re-procurement</w:t>
      </w:r>
    </w:p>
    <w:p w14:paraId="319B6D7E" w14:textId="77777777" w:rsidR="007960A8" w:rsidRDefault="007960A8"/>
    <w:p w14:paraId="32C44601"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color w:val="000000"/>
        </w:rPr>
      </w:pPr>
      <w:r>
        <w:rPr>
          <w:b/>
          <w:bCs/>
          <w:color w:val="000000"/>
        </w:rPr>
        <w:t>What is a relevant transfer</w:t>
      </w:r>
    </w:p>
    <w:p w14:paraId="2EBE55ED"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and the </w:t>
      </w:r>
      <w:r>
        <w:rPr>
          <w:i/>
          <w:iCs/>
          <w:color w:val="000000"/>
        </w:rPr>
        <w:t>Service Provider</w:t>
      </w:r>
      <w:r>
        <w:rPr>
          <w:color w:val="000000"/>
        </w:rPr>
        <w:t xml:space="preserve"> agree that:</w:t>
      </w:r>
    </w:p>
    <w:p w14:paraId="56F33C7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the commencement of the provision of the </w:t>
      </w:r>
      <w:r>
        <w:rPr>
          <w:i/>
          <w:iCs/>
          <w:color w:val="000000"/>
        </w:rPr>
        <w:t>services</w:t>
      </w:r>
      <w:r>
        <w:rPr>
          <w:color w:val="000000"/>
        </w:rPr>
        <w:t xml:space="preserve"> or of any relevant part of the </w:t>
      </w:r>
      <w:r>
        <w:rPr>
          <w:i/>
          <w:iCs/>
          <w:color w:val="000000"/>
        </w:rPr>
        <w:t>services</w:t>
      </w:r>
      <w:r>
        <w:rPr>
          <w:color w:val="000000"/>
        </w:rPr>
        <w:t xml:space="preserve"> will be a Relevant Transfer in relation to the Transferring Former Service Provider Employees; and </w:t>
      </w:r>
    </w:p>
    <w:p w14:paraId="4C637320"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as a result of the operation of the Employment Regulations, the co</w:t>
      </w:r>
      <w:r>
        <w:rPr>
          <w:color w:val="000000"/>
        </w:rPr>
        <w:t xml:space="preserve">ntracts of employment between each Former Service Provider and the Transferring Former Service Provider Employees (except in relation to any terms disapplied through the operation of regulation 10(2) of the Employment Regulations) shall have effect on and </w:t>
      </w:r>
      <w:r>
        <w:rPr>
          <w:color w:val="000000"/>
        </w:rPr>
        <w:t xml:space="preserve">from the Relevant Transfer Date as if originally made between the </w:t>
      </w:r>
      <w:r>
        <w:rPr>
          <w:i/>
          <w:iCs/>
          <w:color w:val="000000"/>
        </w:rPr>
        <w:t>Service Provider</w:t>
      </w:r>
      <w:r>
        <w:rPr>
          <w:color w:val="000000"/>
        </w:rPr>
        <w:t xml:space="preserve"> and/or any Subcontractor and each such Transferring Former Service Provider Employee.</w:t>
      </w:r>
    </w:p>
    <w:p w14:paraId="1E4480EC"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bookmarkStart w:id="35" w:name="_heading=h.3j2qqm3" w:colFirst="0" w:colLast="0"/>
      <w:bookmarkEnd w:id="35"/>
      <w:r>
        <w:rPr>
          <w:color w:val="000000"/>
        </w:rPr>
        <w:t xml:space="preserve">The </w:t>
      </w:r>
      <w:r>
        <w:rPr>
          <w:i/>
          <w:iCs/>
          <w:color w:val="000000"/>
        </w:rPr>
        <w:t>Client</w:t>
      </w:r>
      <w:r>
        <w:rPr>
          <w:color w:val="000000"/>
        </w:rPr>
        <w:t xml:space="preserve"> shall procure that each Former Service Provider shall comply with all its obligations under the Employment Regulations and shall perform and discharge all its obligations in respect of all the Transferring Former Service Provider Employees in respect of t</w:t>
      </w:r>
      <w:r>
        <w:rPr>
          <w:color w:val="000000"/>
        </w:rPr>
        <w:t>he period up to (but not including) the Relevant Transfer Date including the payment of all remuneration, benefits, entitlements and outgoings, all wages, accrued but untaken holiday pay, bonuses, commissions, payments of PAYE, national insurance contribut</w:t>
      </w:r>
      <w:r>
        <w:rPr>
          <w:color w:val="000000"/>
        </w:rPr>
        <w:t xml:space="preserve">ions and pension contributions which in any case are attributable in whole or in part in respect of the period up to (but not including) the Relevant Transfer Date) and the </w:t>
      </w:r>
      <w:r>
        <w:rPr>
          <w:i/>
          <w:iCs/>
          <w:color w:val="000000"/>
        </w:rPr>
        <w:t>Service Provider</w:t>
      </w:r>
      <w:r>
        <w:rPr>
          <w:color w:val="000000"/>
        </w:rPr>
        <w:t xml:space="preserve"> shall make, and the </w:t>
      </w:r>
      <w:r>
        <w:rPr>
          <w:i/>
          <w:iCs/>
          <w:color w:val="000000"/>
        </w:rPr>
        <w:t>Client</w:t>
      </w:r>
      <w:r>
        <w:rPr>
          <w:color w:val="000000"/>
        </w:rPr>
        <w:t xml:space="preserve"> shall procure that each Former Service </w:t>
      </w:r>
      <w:r>
        <w:rPr>
          <w:color w:val="000000"/>
        </w:rPr>
        <w:t>Provider makes, any necessary apportionments in respect of any periodic payments.</w:t>
      </w:r>
    </w:p>
    <w:p w14:paraId="45129F99"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bookmarkStart w:id="36" w:name="_heading=h.1y810tw" w:colFirst="0" w:colLast="0"/>
      <w:bookmarkEnd w:id="36"/>
      <w:r>
        <w:rPr>
          <w:b/>
          <w:bCs/>
          <w:color w:val="000000"/>
        </w:rPr>
        <w:t>Indemnities given by the Former Service Provider</w:t>
      </w:r>
    </w:p>
    <w:p w14:paraId="76817D75"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Subject to Paragraph 2.2, the </w:t>
      </w:r>
      <w:r>
        <w:rPr>
          <w:i/>
          <w:iCs/>
          <w:color w:val="000000"/>
        </w:rPr>
        <w:t>Service Provider</w:t>
      </w:r>
      <w:r>
        <w:rPr>
          <w:color w:val="000000"/>
        </w:rPr>
        <w:t xml:space="preserve"> shall procure that each Former Service Provider shall indemnify the </w:t>
      </w:r>
      <w:r>
        <w:rPr>
          <w:i/>
          <w:iCs/>
          <w:color w:val="000000"/>
        </w:rPr>
        <w:t>Service Provider</w:t>
      </w:r>
      <w:r>
        <w:rPr>
          <w:color w:val="000000"/>
        </w:rPr>
        <w:t xml:space="preserve"> and any Subcontractor against any Employee Liabilities arising from or as a result of: </w:t>
      </w:r>
    </w:p>
    <w:p w14:paraId="60B6D94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any act or omission by the Former Service Provider in respect of any Transferring </w:t>
      </w:r>
      <w:r>
        <w:rPr>
          <w:color w:val="000000"/>
        </w:rPr>
        <w:t>Former Service Provider Employee or any appropriate employee representative (as defined in the Employment Regulations) of any Transferring Former Service Provider Employee arising before the Relevant Transfer Date;</w:t>
      </w:r>
    </w:p>
    <w:p w14:paraId="61BA68A9"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the breach or non-observance by the Forme</w:t>
      </w:r>
      <w:r>
        <w:rPr>
          <w:color w:val="000000"/>
        </w:rPr>
        <w:t>r Service Provider arising before the Relevant Transfer Date of:</w:t>
      </w:r>
    </w:p>
    <w:p w14:paraId="474DFC80"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 xml:space="preserve">any collective agreement applicable to the Transferring Former Service Provider Employees; and/or </w:t>
      </w:r>
    </w:p>
    <w:p w14:paraId="15DCA3ED"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 xml:space="preserve">any custom or practice in respect of any Transferring Former Service Provider Employees which the Former Service Provider is contractually bound to honour; </w:t>
      </w:r>
    </w:p>
    <w:p w14:paraId="4C898461"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proceeding, claim or demand by HMRC or other statutory authority in respect of any financial obligation including, but not limited to, PAYE and primary and secondary national insurance contributions:</w:t>
      </w:r>
    </w:p>
    <w:p w14:paraId="52A84971"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in relation to any Transferring Former Service Provi</w:t>
      </w:r>
      <w:r>
        <w:rPr>
          <w:color w:val="000000"/>
        </w:rPr>
        <w:t>der Employee, to the extent that the proceeding, claim or demand by HMRC or other statutory authority relates to financial obligations arising before the Relevant Transfer Date; and</w:t>
      </w:r>
    </w:p>
    <w:p w14:paraId="1D16437A"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in relation to any employee who is not a Transferring Former Service Provi</w:t>
      </w:r>
      <w:r>
        <w:rPr>
          <w:color w:val="000000"/>
        </w:rPr>
        <w:t xml:space="preserve">der Employee and in respect of whom it is later alleged or determined that the Employment Regulations applied so as to transfer their employment from the Former Service Provider to the </w:t>
      </w:r>
      <w:r>
        <w:rPr>
          <w:i/>
          <w:iCs/>
          <w:color w:val="000000"/>
        </w:rPr>
        <w:t>Service Provider</w:t>
      </w:r>
      <w:r>
        <w:rPr>
          <w:color w:val="000000"/>
        </w:rPr>
        <w:t xml:space="preserve"> and/or any Notified Subcontractor as appropriate, to t</w:t>
      </w:r>
      <w:r>
        <w:rPr>
          <w:color w:val="000000"/>
        </w:rPr>
        <w:t>he extent that the proceeding, claim or demand by HMRC or other statutory authority relates to financial obligations in respect of the period to (but excluding) the Relevant Transfer Date;</w:t>
      </w:r>
    </w:p>
    <w:p w14:paraId="7A276779"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 failure of the Former Service Provider to discharge or procure th</w:t>
      </w:r>
      <w:r>
        <w:rPr>
          <w:color w:val="000000"/>
        </w:rPr>
        <w:t>e discharge of all wages, salaries and all other benefits and all PAYE tax deductions and national insurance contributions relating to the Transferring Former Service Provider Employees in respect of the period to (but excluding) the Relevant Transfer Date</w:t>
      </w:r>
      <w:r>
        <w:rPr>
          <w:color w:val="000000"/>
        </w:rPr>
        <w:t>;</w:t>
      </w:r>
    </w:p>
    <w:p w14:paraId="54B98A16"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any claim made by or in respect of any person employed or formerly employed by the Former Service Provider other than a Transferring Former Service Provider Employee for whom it is alleged the </w:t>
      </w:r>
      <w:r>
        <w:rPr>
          <w:i/>
          <w:iCs/>
          <w:color w:val="000000"/>
        </w:rPr>
        <w:t>Service Provider</w:t>
      </w:r>
      <w:r>
        <w:rPr>
          <w:color w:val="000000"/>
        </w:rPr>
        <w:t xml:space="preserve"> and/or any Notified Subcontractor as appropr</w:t>
      </w:r>
      <w:r>
        <w:rPr>
          <w:color w:val="000000"/>
        </w:rPr>
        <w:t>iate may be liable by virtue of the relevant Contract and/or the Employment Regulations; and</w:t>
      </w:r>
    </w:p>
    <w:p w14:paraId="6CF35504"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claim made by or in respect of a Transferring Former Service Provider Employee or any appropriate employee representative (as defined in the Employment Regulat</w:t>
      </w:r>
      <w:r>
        <w:rPr>
          <w:color w:val="000000"/>
        </w:rPr>
        <w:t xml:space="preserve">ions) of any Transferring Former Service Provider Employee relating to any act or omission of the Former Service Provider in relation to its obligations under regulation 13 of the Employment Regulations, except to the extent that the liability arises from </w:t>
      </w:r>
      <w:r>
        <w:rPr>
          <w:color w:val="000000"/>
        </w:rPr>
        <w:t xml:space="preserve">the failure by the </w:t>
      </w:r>
      <w:r>
        <w:rPr>
          <w:i/>
          <w:iCs/>
          <w:color w:val="000000"/>
        </w:rPr>
        <w:t>Service Provider</w:t>
      </w:r>
      <w:r>
        <w:rPr>
          <w:color w:val="000000"/>
        </w:rPr>
        <w:t xml:space="preserve"> or any Subcontractor to comply with regulation 13(4) of the Employment Regulations.</w:t>
      </w:r>
    </w:p>
    <w:p w14:paraId="4E11714A"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bookmarkStart w:id="37" w:name="_heading=h.4i7ojhp" w:colFirst="0" w:colLast="0"/>
      <w:bookmarkEnd w:id="37"/>
      <w:r>
        <w:rPr>
          <w:color w:val="000000"/>
        </w:rPr>
        <w:t xml:space="preserve">The indemnities in Paragraph 2.1 shall not apply to the extent that the Employee Liabilities arise or are attributable to an act or omission of the </w:t>
      </w:r>
      <w:r>
        <w:rPr>
          <w:i/>
          <w:iCs/>
          <w:color w:val="000000"/>
        </w:rPr>
        <w:t>Service Provider</w:t>
      </w:r>
      <w:r>
        <w:rPr>
          <w:color w:val="000000"/>
        </w:rPr>
        <w:t xml:space="preserve"> or any Subcontractor whether occurring or having its origin before, on or after the Relevan</w:t>
      </w:r>
      <w:r>
        <w:rPr>
          <w:color w:val="000000"/>
        </w:rPr>
        <w:t>t Transfer Date including, without limitation, any Employee Liabilities:</w:t>
      </w:r>
    </w:p>
    <w:p w14:paraId="0E340106"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arising out of the resignation of any Transferring Former Service Provider Employee before the Relevant Transfer Date on account of substantial detrimental changes to his/her working </w:t>
      </w:r>
      <w:r>
        <w:rPr>
          <w:color w:val="000000"/>
        </w:rPr>
        <w:t xml:space="preserve">conditions proposed by the </w:t>
      </w:r>
      <w:r>
        <w:rPr>
          <w:i/>
          <w:iCs/>
          <w:color w:val="000000"/>
        </w:rPr>
        <w:t>Service Provider</w:t>
      </w:r>
      <w:r>
        <w:rPr>
          <w:color w:val="000000"/>
        </w:rPr>
        <w:t xml:space="preserve"> or any Subcontractor to occur in the period from (and including) the Relevant Transfer Date; or</w:t>
      </w:r>
    </w:p>
    <w:p w14:paraId="7C17EE2F"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arising from the failure by the </w:t>
      </w:r>
      <w:r>
        <w:rPr>
          <w:i/>
          <w:iCs/>
          <w:color w:val="000000"/>
        </w:rPr>
        <w:t>Service Provider</w:t>
      </w:r>
      <w:r>
        <w:rPr>
          <w:color w:val="000000"/>
        </w:rPr>
        <w:t xml:space="preserve"> and/or any Subcontractor to comply with its obligations under the E</w:t>
      </w:r>
      <w:r>
        <w:rPr>
          <w:color w:val="000000"/>
        </w:rPr>
        <w:t>mployment Regulations.</w:t>
      </w:r>
    </w:p>
    <w:p w14:paraId="3D198B51"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bookmarkStart w:id="38" w:name="_heading=h.2xcytpi" w:colFirst="0" w:colLast="0"/>
      <w:bookmarkEnd w:id="38"/>
      <w:r>
        <w:rPr>
          <w:color w:val="000000"/>
        </w:rPr>
        <w:t>If any person who is not identified by the Former Service Provider as a Transferring Former Service Provider Employee claims, or it is determined in relation to any person who is not identified by the Former Service Provider as a Tra</w:t>
      </w:r>
      <w:r>
        <w:rPr>
          <w:color w:val="000000"/>
        </w:rPr>
        <w:t xml:space="preserve">nsferring Former Service Provider Employee, that his/her contract of employment has been transferred from a Former Service Provider to the </w:t>
      </w:r>
      <w:r>
        <w:rPr>
          <w:i/>
          <w:iCs/>
          <w:color w:val="000000"/>
        </w:rPr>
        <w:t>Service Provider</w:t>
      </w:r>
      <w:r>
        <w:rPr>
          <w:color w:val="000000"/>
        </w:rPr>
        <w:t xml:space="preserve"> and/or any Subcontractor pursuant to the Employment Regulations or the Acquired Rights Directive the</w:t>
      </w:r>
      <w:r>
        <w:rPr>
          <w:color w:val="000000"/>
        </w:rPr>
        <w:t xml:space="preserve">n: </w:t>
      </w:r>
    </w:p>
    <w:p w14:paraId="18028136"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bookmarkStart w:id="39" w:name="_heading=h.1ci93xb" w:colFirst="0" w:colLast="0"/>
      <w:bookmarkEnd w:id="39"/>
      <w:r>
        <w:rPr>
          <w:color w:val="000000"/>
        </w:rPr>
        <w:t xml:space="preserve">the </w:t>
      </w:r>
      <w:r>
        <w:rPr>
          <w:i/>
          <w:iCs/>
          <w:color w:val="000000"/>
        </w:rPr>
        <w:t>Service Provider</w:t>
      </w:r>
      <w:r>
        <w:rPr>
          <w:color w:val="000000"/>
        </w:rPr>
        <w:t xml:space="preserve"> shall, or shall procure that the Subcontractor shall, within 5 Working Days of becoming aware of that fact, notify the </w:t>
      </w:r>
      <w:r>
        <w:rPr>
          <w:i/>
          <w:iCs/>
          <w:color w:val="000000"/>
        </w:rPr>
        <w:t>Client</w:t>
      </w:r>
      <w:r>
        <w:rPr>
          <w:color w:val="000000"/>
        </w:rPr>
        <w:t xml:space="preserve"> and in writing and, where required by the </w:t>
      </w:r>
      <w:r>
        <w:rPr>
          <w:i/>
          <w:iCs/>
          <w:color w:val="000000"/>
        </w:rPr>
        <w:t>Client</w:t>
      </w:r>
      <w:r>
        <w:rPr>
          <w:color w:val="000000"/>
        </w:rPr>
        <w:t>, notify the relevant Former Service Provider in writing;</w:t>
      </w:r>
      <w:r>
        <w:rPr>
          <w:color w:val="000000"/>
        </w:rPr>
        <w:t xml:space="preserve"> and</w:t>
      </w:r>
    </w:p>
    <w:p w14:paraId="3323C5D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bookmarkStart w:id="40" w:name="_heading=h.3whwml4" w:colFirst="0" w:colLast="0"/>
      <w:bookmarkEnd w:id="40"/>
      <w:r>
        <w:rPr>
          <w:color w:val="000000"/>
        </w:rPr>
        <w:t>the Former Service Provider may offer (or may procure that a third party may offer) employment to such person, or take such other steps as the Former Service Provider considers appropriate to deal with the matter provided always that such steps are in</w:t>
      </w:r>
      <w:r>
        <w:rPr>
          <w:color w:val="000000"/>
        </w:rPr>
        <w:t xml:space="preserve"> compliance with </w:t>
      </w:r>
      <w:r>
        <w:rPr>
          <w:i/>
          <w:iCs/>
          <w:color w:val="000000"/>
        </w:rPr>
        <w:t>applicable Law</w:t>
      </w:r>
      <w:r>
        <w:rPr>
          <w:color w:val="000000"/>
        </w:rPr>
        <w:t xml:space="preserve">, within 15 Working Days of receipt of notice from the </w:t>
      </w:r>
      <w:r>
        <w:rPr>
          <w:i/>
          <w:iCs/>
          <w:color w:val="000000"/>
        </w:rPr>
        <w:t>Service Provider</w:t>
      </w:r>
      <w:r>
        <w:rPr>
          <w:color w:val="000000"/>
        </w:rPr>
        <w:t xml:space="preserve"> and/or the Subcontractor (as appropriate).</w:t>
      </w:r>
    </w:p>
    <w:p w14:paraId="7E699F0B"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r>
        <w:rPr>
          <w:color w:val="000000"/>
        </w:rPr>
        <w:t>If an offer referred to in Paragraph 2.3.2 is accepted, or if the situation has otherwise been resolved by the</w:t>
      </w:r>
      <w:r>
        <w:rPr>
          <w:color w:val="000000"/>
        </w:rPr>
        <w:t xml:space="preserve"> Former Service Provider and/or the </w:t>
      </w:r>
      <w:r>
        <w:rPr>
          <w:i/>
          <w:iCs/>
          <w:color w:val="000000"/>
        </w:rPr>
        <w:t>Client</w:t>
      </w:r>
      <w:r>
        <w:rPr>
          <w:color w:val="000000"/>
        </w:rPr>
        <w:t xml:space="preserve">, the </w:t>
      </w:r>
      <w:r>
        <w:rPr>
          <w:i/>
          <w:iCs/>
          <w:color w:val="000000"/>
        </w:rPr>
        <w:t>Service Provider</w:t>
      </w:r>
      <w:r>
        <w:rPr>
          <w:color w:val="000000"/>
        </w:rPr>
        <w:t xml:space="preserve"> shall, or shall procure that the Subcontractor shall, immediately release the person from his/her employment or alleged employment.</w:t>
      </w:r>
    </w:p>
    <w:p w14:paraId="35077650"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bookmarkStart w:id="41" w:name="_heading=h.2bn6wsx" w:colFirst="0" w:colLast="0"/>
      <w:bookmarkEnd w:id="41"/>
      <w:r>
        <w:rPr>
          <w:color w:val="000000"/>
        </w:rPr>
        <w:t>If by the end of the 15 Working Day period referred to in P</w:t>
      </w:r>
      <w:r>
        <w:rPr>
          <w:color w:val="000000"/>
        </w:rPr>
        <w:t xml:space="preserve">aragraph 2.3.2: </w:t>
      </w:r>
    </w:p>
    <w:p w14:paraId="7A52A4B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 no such offer of employment has been made;</w:t>
      </w:r>
    </w:p>
    <w:p w14:paraId="4F85EF86"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such offer has been made but not accepted; or</w:t>
      </w:r>
    </w:p>
    <w:p w14:paraId="6042C903"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the situation has not otherwise been resolved, </w:t>
      </w:r>
    </w:p>
    <w:p w14:paraId="7D26500D" w14:textId="77777777" w:rsidR="007960A8" w:rsidRDefault="00A26397">
      <w:pPr>
        <w:pBdr>
          <w:top w:val="nil"/>
          <w:left w:val="nil"/>
          <w:bottom w:val="nil"/>
          <w:right w:val="nil"/>
          <w:between w:val="nil"/>
        </w:pBdr>
        <w:spacing w:before="120" w:after="120"/>
        <w:ind w:left="1134"/>
        <w:rPr>
          <w:color w:val="000000"/>
        </w:rPr>
      </w:pPr>
      <w:r>
        <w:rPr>
          <w:color w:val="000000"/>
        </w:rPr>
        <w:t xml:space="preserve">the </w:t>
      </w:r>
      <w:r>
        <w:rPr>
          <w:i/>
          <w:iCs/>
          <w:color w:val="000000"/>
        </w:rPr>
        <w:t>Service Provider</w:t>
      </w:r>
      <w:r>
        <w:rPr>
          <w:color w:val="000000"/>
        </w:rPr>
        <w:t xml:space="preserve"> and/or any Subcontractor may within 5 Working Days give notice to terminate the employment or alleged employment of such person;</w:t>
      </w:r>
    </w:p>
    <w:p w14:paraId="41DA0C5E"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Subject to the </w:t>
      </w:r>
      <w:r>
        <w:rPr>
          <w:i/>
          <w:iCs/>
          <w:color w:val="000000"/>
        </w:rPr>
        <w:t>Service Provider</w:t>
      </w:r>
      <w:r>
        <w:rPr>
          <w:color w:val="000000"/>
        </w:rPr>
        <w:t xml:space="preserve"> and/or any Subcontractor acting in accordance with the provisions of Paragraphs 2.3 to 2.5 and</w:t>
      </w:r>
      <w:r>
        <w:rPr>
          <w:color w:val="000000"/>
        </w:rPr>
        <w:t xml:space="preserve"> in accordance with all applicable proper employment procedures set out in Law and subject also to Paragraph 2.7, the </w:t>
      </w:r>
      <w:r>
        <w:rPr>
          <w:i/>
          <w:iCs/>
          <w:color w:val="000000"/>
        </w:rPr>
        <w:t>Client</w:t>
      </w:r>
      <w:r>
        <w:rPr>
          <w:color w:val="000000"/>
        </w:rPr>
        <w:t xml:space="preserve"> shall procure that the Former Service Provider will indemnify the </w:t>
      </w:r>
      <w:r>
        <w:rPr>
          <w:i/>
          <w:iCs/>
          <w:color w:val="000000"/>
        </w:rPr>
        <w:t>Service Provider</w:t>
      </w:r>
      <w:r>
        <w:rPr>
          <w:color w:val="000000"/>
        </w:rPr>
        <w:t xml:space="preserve"> and/or the relevant Subcontractor against all Em</w:t>
      </w:r>
      <w:r>
        <w:rPr>
          <w:color w:val="000000"/>
        </w:rPr>
        <w:t xml:space="preserve">ployee Liabilities arising out of the termination of the employment pursuant to the provisions of Paragraph 2.5 provided that the </w:t>
      </w:r>
      <w:r>
        <w:rPr>
          <w:i/>
          <w:iCs/>
          <w:color w:val="000000"/>
        </w:rPr>
        <w:t>Service Provider</w:t>
      </w:r>
      <w:r>
        <w:rPr>
          <w:color w:val="000000"/>
        </w:rPr>
        <w:t xml:space="preserve"> takes, or shall procure that the Subcontractor takes, all reasonable steps to minimise any such Employee Liab</w:t>
      </w:r>
      <w:r>
        <w:rPr>
          <w:color w:val="000000"/>
        </w:rPr>
        <w:t xml:space="preserve">ilities. </w:t>
      </w:r>
    </w:p>
    <w:p w14:paraId="65193F8C"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bookmarkStart w:id="42" w:name="_heading=h.qsh70q" w:colFirst="0" w:colLast="0"/>
      <w:bookmarkEnd w:id="42"/>
      <w:r>
        <w:rPr>
          <w:color w:val="000000"/>
        </w:rPr>
        <w:t xml:space="preserve">The indemnity in Paragraph 2.6: </w:t>
      </w:r>
    </w:p>
    <w:p w14:paraId="14A7D00E"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shall not apply to: </w:t>
      </w:r>
    </w:p>
    <w:p w14:paraId="04E555AC"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any claim for:</w:t>
      </w:r>
    </w:p>
    <w:p w14:paraId="6D145DE1" w14:textId="77777777" w:rsidR="007960A8" w:rsidRDefault="00A26397">
      <w:pPr>
        <w:pBdr>
          <w:top w:val="nil"/>
          <w:left w:val="nil"/>
          <w:bottom w:val="nil"/>
          <w:right w:val="nil"/>
          <w:between w:val="nil"/>
        </w:pBdr>
        <w:spacing w:before="120" w:after="120"/>
        <w:ind w:left="3686" w:hanging="851"/>
        <w:rPr>
          <w:color w:val="000000"/>
        </w:rPr>
      </w:pPr>
      <w:r>
        <w:rPr>
          <w:color w:val="000000"/>
        </w:rPr>
        <w:t xml:space="preserve">(i)  </w:t>
      </w:r>
      <w:r>
        <w:rPr>
          <w:color w:val="000000"/>
        </w:rPr>
        <w:tab/>
        <w:t xml:space="preserve">any contravention of the Equality Act 2010 (or predecessor/successor legislation; or </w:t>
      </w:r>
    </w:p>
    <w:p w14:paraId="41627BFF" w14:textId="77777777" w:rsidR="007960A8" w:rsidRDefault="00A26397">
      <w:pPr>
        <w:pBdr>
          <w:top w:val="nil"/>
          <w:left w:val="nil"/>
          <w:bottom w:val="nil"/>
          <w:right w:val="nil"/>
          <w:between w:val="nil"/>
        </w:pBdr>
        <w:spacing w:before="120" w:after="120"/>
        <w:ind w:left="3686" w:hanging="851"/>
        <w:rPr>
          <w:color w:val="000000"/>
        </w:rPr>
      </w:pPr>
      <w:r>
        <w:rPr>
          <w:color w:val="000000"/>
        </w:rPr>
        <w:t xml:space="preserve">(ii) </w:t>
      </w:r>
      <w:r>
        <w:rPr>
          <w:color w:val="000000"/>
        </w:rPr>
        <w:tab/>
      </w:r>
      <w:r>
        <w:rPr>
          <w:color w:val="000000"/>
        </w:rPr>
        <w:t xml:space="preserve">equal pay or compensation for less favourable treatment of part-time workers or fixed-term employees; </w:t>
      </w:r>
    </w:p>
    <w:p w14:paraId="7A3BB7D4" w14:textId="77777777" w:rsidR="007960A8" w:rsidRDefault="00A26397">
      <w:pPr>
        <w:pBdr>
          <w:top w:val="nil"/>
          <w:left w:val="nil"/>
          <w:bottom w:val="nil"/>
          <w:right w:val="nil"/>
          <w:between w:val="nil"/>
        </w:pBdr>
        <w:spacing w:before="120" w:after="120"/>
        <w:ind w:left="2835"/>
        <w:rPr>
          <w:color w:val="000000"/>
        </w:rPr>
      </w:pPr>
      <w:r>
        <w:rPr>
          <w:color w:val="000000"/>
        </w:rPr>
        <w:t xml:space="preserve">arising as a result of any alleged act or omission of the </w:t>
      </w:r>
      <w:r>
        <w:rPr>
          <w:i/>
          <w:iCs/>
          <w:color w:val="000000"/>
        </w:rPr>
        <w:t>Service Provider</w:t>
      </w:r>
      <w:r>
        <w:rPr>
          <w:color w:val="000000"/>
        </w:rPr>
        <w:t xml:space="preserve"> and/or any Subcontractor; or</w:t>
      </w:r>
    </w:p>
    <w:p w14:paraId="60084A2F"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 xml:space="preserve">any claim that the termination of employment was </w:t>
      </w:r>
      <w:r>
        <w:rPr>
          <w:color w:val="000000"/>
        </w:rPr>
        <w:t xml:space="preserve">unfair because the </w:t>
      </w:r>
      <w:r>
        <w:rPr>
          <w:i/>
          <w:iCs/>
          <w:color w:val="000000"/>
        </w:rPr>
        <w:t>Service Provider</w:t>
      </w:r>
      <w:r>
        <w:rPr>
          <w:color w:val="000000"/>
        </w:rPr>
        <w:t xml:space="preserve"> and/or Subcontractor neglected to follow a fair dismissal procedure; and</w:t>
      </w:r>
    </w:p>
    <w:p w14:paraId="3912C4D1" w14:textId="77777777" w:rsidR="007960A8" w:rsidRDefault="00A26397">
      <w:pPr>
        <w:widowControl/>
        <w:pBdr>
          <w:top w:val="nil"/>
          <w:left w:val="nil"/>
          <w:bottom w:val="nil"/>
          <w:right w:val="nil"/>
          <w:between w:val="nil"/>
        </w:pBdr>
        <w:spacing w:before="120" w:after="120"/>
        <w:ind w:left="1985"/>
        <w:rPr>
          <w:color w:val="000000"/>
        </w:rPr>
      </w:pPr>
      <w:r>
        <w:rPr>
          <w:color w:val="000000"/>
        </w:rPr>
        <w:t xml:space="preserve">shall apply only where the notification referred to in Paragraph 2.3.1 is made by the </w:t>
      </w:r>
      <w:r>
        <w:rPr>
          <w:i/>
          <w:iCs/>
          <w:color w:val="000000"/>
        </w:rPr>
        <w:t>Service Provider</w:t>
      </w:r>
      <w:r>
        <w:rPr>
          <w:color w:val="000000"/>
        </w:rPr>
        <w:t xml:space="preserve"> and/or any Subcontractor (as appropriate) to the </w:t>
      </w:r>
      <w:r>
        <w:rPr>
          <w:i/>
          <w:iCs/>
          <w:color w:val="000000"/>
        </w:rPr>
        <w:t>Client</w:t>
      </w:r>
      <w:r>
        <w:rPr>
          <w:color w:val="000000"/>
        </w:rPr>
        <w:t xml:space="preserve"> and, if applicable, the Former Service Provider, within 6 months of the </w:t>
      </w:r>
      <w:r>
        <w:rPr>
          <w:i/>
          <w:iCs/>
          <w:color w:val="000000"/>
        </w:rPr>
        <w:t>Starting Date</w:t>
      </w:r>
      <w:r>
        <w:rPr>
          <w:color w:val="000000"/>
        </w:rPr>
        <w:t xml:space="preserve">. </w:t>
      </w:r>
    </w:p>
    <w:p w14:paraId="2015544E"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If any su</w:t>
      </w:r>
      <w:r>
        <w:rPr>
          <w:color w:val="000000"/>
        </w:rPr>
        <w:t xml:space="preserve">ch person as is described in Paragraph 2.3 is neither re-employed by the Former Service Provider nor dismissed by the </w:t>
      </w:r>
      <w:r>
        <w:rPr>
          <w:i/>
          <w:iCs/>
          <w:color w:val="000000"/>
        </w:rPr>
        <w:t>Service Provider</w:t>
      </w:r>
      <w:r>
        <w:rPr>
          <w:color w:val="000000"/>
        </w:rPr>
        <w:t xml:space="preserve"> and/or any Subcontractor within the timescales set out in Paragraph 2.5, such person shall be treated as having transferr</w:t>
      </w:r>
      <w:r>
        <w:rPr>
          <w:color w:val="000000"/>
        </w:rPr>
        <w:t xml:space="preserve">ed to the </w:t>
      </w:r>
      <w:r>
        <w:rPr>
          <w:i/>
          <w:iCs/>
          <w:color w:val="000000"/>
        </w:rPr>
        <w:t>Service Provider</w:t>
      </w:r>
      <w:r>
        <w:rPr>
          <w:color w:val="000000"/>
        </w:rPr>
        <w:t xml:space="preserve"> and/or any Subcontractor and the </w:t>
      </w:r>
      <w:r>
        <w:rPr>
          <w:i/>
          <w:iCs/>
          <w:color w:val="000000"/>
        </w:rPr>
        <w:t>Service Provider</w:t>
      </w:r>
      <w:r>
        <w:rPr>
          <w:color w:val="000000"/>
        </w:rPr>
        <w:t xml:space="preserve"> shall, or shall procure that the Subcontractor shall, comply with such obligations as may be imposed upon it under </w:t>
      </w:r>
      <w:r>
        <w:rPr>
          <w:i/>
          <w:iCs/>
          <w:color w:val="000000"/>
        </w:rPr>
        <w:t>applicable Law</w:t>
      </w:r>
      <w:r>
        <w:rPr>
          <w:color w:val="000000"/>
        </w:rPr>
        <w:t>.</w:t>
      </w:r>
    </w:p>
    <w:p w14:paraId="6D4FE7A9"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bookmarkStart w:id="43" w:name="_heading=h.3as4poj" w:colFirst="0" w:colLast="0"/>
      <w:bookmarkEnd w:id="43"/>
      <w:r>
        <w:rPr>
          <w:b/>
          <w:bCs/>
          <w:color w:val="000000"/>
        </w:rPr>
        <w:t>Indemnities the Service Provider must give and i</w:t>
      </w:r>
      <w:r>
        <w:rPr>
          <w:b/>
          <w:bCs/>
          <w:color w:val="000000"/>
        </w:rPr>
        <w:t>ts obligations</w:t>
      </w:r>
    </w:p>
    <w:p w14:paraId="2D77287F"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Subject to Paragraph 3.2, the </w:t>
      </w:r>
      <w:r>
        <w:rPr>
          <w:i/>
          <w:iCs/>
          <w:color w:val="000000"/>
        </w:rPr>
        <w:t>Service Provider</w:t>
      </w:r>
      <w:r>
        <w:rPr>
          <w:color w:val="000000"/>
        </w:rPr>
        <w:t xml:space="preserve"> shall indemnify the </w:t>
      </w:r>
      <w:r>
        <w:rPr>
          <w:i/>
          <w:iCs/>
          <w:color w:val="000000"/>
        </w:rPr>
        <w:t>Client</w:t>
      </w:r>
      <w:r>
        <w:rPr>
          <w:color w:val="000000"/>
        </w:rPr>
        <w:t xml:space="preserve"> and/or the Former Service Provider against any Employee Liabilities arising from or as a result of: </w:t>
      </w:r>
    </w:p>
    <w:p w14:paraId="4F594B68"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any act or omission by the </w:t>
      </w:r>
      <w:r>
        <w:rPr>
          <w:i/>
          <w:iCs/>
          <w:color w:val="000000"/>
        </w:rPr>
        <w:t>Service Provider</w:t>
      </w:r>
      <w:r>
        <w:rPr>
          <w:color w:val="000000"/>
        </w:rPr>
        <w:t xml:space="preserve"> or any Subcontractor in respect of any Transferring Former Service Provider Employee or any appropriate employee representative (as defined in the Employment Regulations) of any Transferring Former Service Provider Employee whether occurring before, on or</w:t>
      </w:r>
      <w:r>
        <w:rPr>
          <w:color w:val="000000"/>
        </w:rPr>
        <w:t xml:space="preserve"> after the Relevant Transfer Date;</w:t>
      </w:r>
    </w:p>
    <w:p w14:paraId="2FAEA242"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the breach or non-observance by the </w:t>
      </w:r>
      <w:r>
        <w:rPr>
          <w:i/>
          <w:iCs/>
          <w:color w:val="000000"/>
        </w:rPr>
        <w:t>Service Provider</w:t>
      </w:r>
      <w:r>
        <w:rPr>
          <w:color w:val="000000"/>
        </w:rPr>
        <w:t xml:space="preserve"> or any Subcontractor on or after the Relevant Transfer Date of:</w:t>
      </w:r>
    </w:p>
    <w:p w14:paraId="599390C5"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any collective agreement applicable to the Transferring Former Service Provider Employee; and/or</w:t>
      </w:r>
    </w:p>
    <w:p w14:paraId="0D25CAC2"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any cus</w:t>
      </w:r>
      <w:r>
        <w:rPr>
          <w:color w:val="000000"/>
        </w:rPr>
        <w:t xml:space="preserve">tom or practice in respect of any Transferring Former Service Provider Employees which the </w:t>
      </w:r>
      <w:r>
        <w:rPr>
          <w:i/>
          <w:iCs/>
          <w:color w:val="000000"/>
        </w:rPr>
        <w:t>Service Provider</w:t>
      </w:r>
      <w:r>
        <w:rPr>
          <w:color w:val="000000"/>
        </w:rPr>
        <w:t xml:space="preserve"> or any Subcontractor is contractually bound to honour;</w:t>
      </w:r>
    </w:p>
    <w:p w14:paraId="7DE02B3F"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claim by any trade union or other body or person representing any Transferring Former Ser</w:t>
      </w:r>
      <w:r>
        <w:rPr>
          <w:color w:val="000000"/>
        </w:rPr>
        <w:t xml:space="preserve">vice Provider Employees arising from or connected with any failure by the </w:t>
      </w:r>
      <w:r>
        <w:rPr>
          <w:i/>
          <w:iCs/>
          <w:color w:val="000000"/>
        </w:rPr>
        <w:t>Service Provider</w:t>
      </w:r>
      <w:r>
        <w:rPr>
          <w:color w:val="000000"/>
        </w:rPr>
        <w:t xml:space="preserve"> or a Subcontractor to comply with any legal obligation to such trade union, body or person arising on or after the Relevant Transfer Date;</w:t>
      </w:r>
    </w:p>
    <w:p w14:paraId="1BE807A0"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any proposal by the </w:t>
      </w:r>
      <w:r>
        <w:rPr>
          <w:i/>
          <w:iCs/>
          <w:color w:val="000000"/>
        </w:rPr>
        <w:t>Servic</w:t>
      </w:r>
      <w:r>
        <w:rPr>
          <w:i/>
          <w:iCs/>
          <w:color w:val="000000"/>
        </w:rPr>
        <w:t>e Provider</w:t>
      </w:r>
      <w:r>
        <w:rPr>
          <w:color w:val="000000"/>
        </w:rPr>
        <w:t xml:space="preserve"> or a Subcontractor prior to the Relevant Transfer Date to make changes to the terms and conditions of employment or working conditions of any Transferring Former Service Provider Employees to their material detriment on or after their transfer t</w:t>
      </w:r>
      <w:r>
        <w:rPr>
          <w:color w:val="000000"/>
        </w:rPr>
        <w:t xml:space="preserve">o the </w:t>
      </w:r>
      <w:r>
        <w:rPr>
          <w:i/>
          <w:iCs/>
          <w:color w:val="000000"/>
        </w:rPr>
        <w:t>Service Provider</w:t>
      </w:r>
      <w:r>
        <w:rPr>
          <w:color w:val="000000"/>
        </w:rPr>
        <w:t xml:space="preserve"> or a Subcontractor (as the case may be) on the Relevant Transfer Date, or to change the terms and conditions of employment or working conditions of any person who would have been a Transferring Former Service Provider Employee but for their resignation (o</w:t>
      </w:r>
      <w:r>
        <w:rPr>
          <w:color w:val="000000"/>
        </w:rPr>
        <w:t xml:space="preserve">r decision to treat their employment as terminated under regulation 4(9) of the Employment Regulations) before the Relevant Transfer Date as a result of or for a reason connected to such proposed changes; </w:t>
      </w:r>
    </w:p>
    <w:p w14:paraId="2F7942CB"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statement communicated to or action undertaken</w:t>
      </w:r>
      <w:r>
        <w:rPr>
          <w:color w:val="000000"/>
        </w:rPr>
        <w:t xml:space="preserve"> by the </w:t>
      </w:r>
      <w:r>
        <w:rPr>
          <w:i/>
          <w:iCs/>
          <w:color w:val="000000"/>
        </w:rPr>
        <w:t>Service Provider</w:t>
      </w:r>
      <w:r>
        <w:rPr>
          <w:color w:val="000000"/>
        </w:rPr>
        <w:t xml:space="preserve"> or a Subcontractor to, or in respect of, any Transferring Former Service Provider Employee before the Relevant Transfer Date regarding the Relevant Transfer which has not been agreed in advance with the </w:t>
      </w:r>
      <w:r>
        <w:rPr>
          <w:i/>
          <w:iCs/>
          <w:color w:val="000000"/>
        </w:rPr>
        <w:t>Client</w:t>
      </w:r>
      <w:r>
        <w:rPr>
          <w:color w:val="000000"/>
        </w:rPr>
        <w:t xml:space="preserve"> and/or the Former Ser</w:t>
      </w:r>
      <w:r>
        <w:rPr>
          <w:color w:val="000000"/>
        </w:rPr>
        <w:t>vice Provider in writing;</w:t>
      </w:r>
    </w:p>
    <w:p w14:paraId="5A042C0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proceeding, claim or demand by HMRC or other statutory authority in respect of any financial obligation including, but not limited to, PAYE and primary and secondary national insurance contributions:</w:t>
      </w:r>
    </w:p>
    <w:p w14:paraId="6D19F0EA"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in relation to any Transfe</w:t>
      </w:r>
      <w:r>
        <w:rPr>
          <w:color w:val="000000"/>
        </w:rPr>
        <w:t>rring Former Service Provider Employee, to the extent that the proceeding, claim or demand by HMRC or other statutory authority relates to financial obligations arising on or after the Relevant Transfer Date; and</w:t>
      </w:r>
    </w:p>
    <w:p w14:paraId="173C4230" w14:textId="77777777" w:rsidR="007960A8" w:rsidRDefault="00A26397">
      <w:pPr>
        <w:widowControl/>
        <w:numPr>
          <w:ilvl w:val="3"/>
          <w:numId w:val="83"/>
        </w:numPr>
        <w:pBdr>
          <w:top w:val="nil"/>
          <w:left w:val="nil"/>
          <w:bottom w:val="nil"/>
          <w:right w:val="nil"/>
          <w:between w:val="nil"/>
        </w:pBdr>
        <w:spacing w:before="120" w:after="120"/>
        <w:ind w:left="2835" w:hanging="850"/>
        <w:rPr>
          <w:color w:val="000000"/>
        </w:rPr>
      </w:pPr>
      <w:r>
        <w:rPr>
          <w:color w:val="000000"/>
        </w:rPr>
        <w:t>in relation to any employee who is not a Tr</w:t>
      </w:r>
      <w:r>
        <w:rPr>
          <w:color w:val="000000"/>
        </w:rPr>
        <w:t xml:space="preserve">ansferring Former Service Provider Employee, and in respect of whom it is later alleged or determined that the Employment Regulations applied so as to transfer his/her employment from the Former Service Provider to the </w:t>
      </w:r>
      <w:r>
        <w:rPr>
          <w:i/>
          <w:iCs/>
          <w:color w:val="000000"/>
        </w:rPr>
        <w:t>Service Provider</w:t>
      </w:r>
      <w:r>
        <w:rPr>
          <w:color w:val="000000"/>
        </w:rPr>
        <w:t xml:space="preserve"> or a Subcontractor, </w:t>
      </w:r>
      <w:r>
        <w:rPr>
          <w:color w:val="000000"/>
        </w:rPr>
        <w:t>to the extent that the proceeding, claim or demand by the HMRC or other statutory authority relates to financial obligations arising on or after the Relevant Transfer Date;</w:t>
      </w:r>
    </w:p>
    <w:p w14:paraId="7DC3E49B"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 failure of the </w:t>
      </w:r>
      <w:r>
        <w:rPr>
          <w:i/>
          <w:iCs/>
          <w:color w:val="000000"/>
        </w:rPr>
        <w:t>Service Provider</w:t>
      </w:r>
      <w:r>
        <w:rPr>
          <w:color w:val="000000"/>
        </w:rPr>
        <w:t xml:space="preserve"> or any Subcontractor to discharge or procure the </w:t>
      </w:r>
      <w:r>
        <w:rPr>
          <w:color w:val="000000"/>
        </w:rPr>
        <w:t>discharge of all wages, salaries and all other benefits and all PAYE tax deductions and national insurance contributions relating to the Transferring Former Service Provider Employees in respect of the period from (and including) the Relevant Transfer Date</w:t>
      </w:r>
      <w:r>
        <w:rPr>
          <w:color w:val="000000"/>
        </w:rPr>
        <w:t xml:space="preserve">; </w:t>
      </w:r>
    </w:p>
    <w:p w14:paraId="5F25FED9"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any claim made by or in respect of a Transferring Former Service Provider Employee or any appropriate employee representative (as defined in the Employment Regulations) of any Transferring Former Service Provider Employee relating to any act or omission</w:t>
      </w:r>
      <w:r>
        <w:rPr>
          <w:color w:val="000000"/>
        </w:rPr>
        <w:t xml:space="preserve"> of the </w:t>
      </w:r>
      <w:r>
        <w:rPr>
          <w:i/>
          <w:iCs/>
          <w:color w:val="000000"/>
        </w:rPr>
        <w:t>Service Provider</w:t>
      </w:r>
      <w:r>
        <w:rPr>
          <w:color w:val="000000"/>
        </w:rPr>
        <w:t xml:space="preserve"> or any Subcontractor in relation to obligations under regulation 13 of the Employment Regulations, except to the extent that the liability arises from the Former Service Provider's failure to comply with its obligations under regul</w:t>
      </w:r>
      <w:r>
        <w:rPr>
          <w:color w:val="000000"/>
        </w:rPr>
        <w:t>ation 13 of the Employment Regulations; and</w:t>
      </w:r>
    </w:p>
    <w:p w14:paraId="4FAEC471"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a failure by the </w:t>
      </w:r>
      <w:r>
        <w:rPr>
          <w:i/>
          <w:iCs/>
          <w:color w:val="000000"/>
        </w:rPr>
        <w:t>Service Provider</w:t>
      </w:r>
      <w:r>
        <w:rPr>
          <w:color w:val="000000"/>
        </w:rPr>
        <w:t xml:space="preserve"> or any Subcontractor to comply with its obligations under Paragraph 2.8 above</w:t>
      </w:r>
    </w:p>
    <w:p w14:paraId="7EB2F552"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bookmarkStart w:id="44" w:name="_heading=h.1pxezwc" w:colFirst="0" w:colLast="0"/>
      <w:bookmarkEnd w:id="44"/>
      <w:r>
        <w:rPr>
          <w:color w:val="000000"/>
        </w:rPr>
        <w:t>The indemnities in Paragraph 3.1 shall not apply to the extent that the Employee Liabilities arise or are attributable to an act or omission of the Former Service Provider whether occurring or having its origin before, on or after the Relevant Transfer Dat</w:t>
      </w:r>
      <w:r>
        <w:rPr>
          <w:color w:val="000000"/>
        </w:rPr>
        <w:t>e including, without limitation, any Employee Liabilities arising from the Former Service Provider’s failure to comply with its obligations under the Employment Regulations.</w:t>
      </w:r>
    </w:p>
    <w:p w14:paraId="327A3590"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comply, and shall procure that each Subcontractor shall</w:t>
      </w:r>
      <w:r>
        <w:rPr>
          <w:color w:val="000000"/>
        </w:rPr>
        <w:t xml:space="preserve"> comply, with all its obligations under the Employment Regulations (including without limitation its obligation to inform and consult in accordance with regulation 13 of the Employment Regulations) and shall perform and discharge all its obligations in res</w:t>
      </w:r>
      <w:r>
        <w:rPr>
          <w:color w:val="000000"/>
        </w:rPr>
        <w:t>pect of all the Transferring Former Service Provider Employees, on and from the Relevant Transfer Date (including (without limit) the payment of all remuneration, benefits, entitlements, and outgoings, all wages, accrued but untaken holiday pay, bonuses, c</w:t>
      </w:r>
      <w:r>
        <w:rPr>
          <w:color w:val="000000"/>
        </w:rPr>
        <w:t>ommissions, payments of PAYE, national insurance contributions and pension contributions and all such sums due under the Admission Agreement which in any case are attributable in whole or in part to the period from (and including) the Relevant Transfer Dat</w:t>
      </w:r>
      <w:r>
        <w:rPr>
          <w:color w:val="000000"/>
        </w:rPr>
        <w:t xml:space="preserve">e) and any necessary apportionments in respect of any periodic payments shall be made between the </w:t>
      </w:r>
      <w:r>
        <w:rPr>
          <w:i/>
          <w:iCs/>
          <w:color w:val="000000"/>
        </w:rPr>
        <w:t>Service Provider</w:t>
      </w:r>
      <w:r>
        <w:rPr>
          <w:color w:val="000000"/>
        </w:rPr>
        <w:t xml:space="preserve"> and the Former Service Provider.</w:t>
      </w:r>
    </w:p>
    <w:p w14:paraId="1565A903"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r>
        <w:rPr>
          <w:b/>
          <w:bCs/>
          <w:color w:val="000000"/>
        </w:rPr>
        <w:t>Information the Service Provider must give</w:t>
      </w:r>
    </w:p>
    <w:p w14:paraId="78118771" w14:textId="77777777" w:rsidR="007960A8" w:rsidRDefault="00A26397">
      <w:pPr>
        <w:spacing w:before="120" w:after="120"/>
        <w:ind w:left="426"/>
      </w:pPr>
      <w:r>
        <w:t xml:space="preserve">The </w:t>
      </w:r>
      <w:r>
        <w:rPr>
          <w:i/>
          <w:iCs/>
        </w:rPr>
        <w:t>Service Provider</w:t>
      </w:r>
      <w:r>
        <w:t xml:space="preserve"> shall, and shall procure that each Subcontra</w:t>
      </w:r>
      <w:r>
        <w:t xml:space="preserve">ctor shall, promptly provide to the </w:t>
      </w:r>
      <w:r>
        <w:rPr>
          <w:i/>
          <w:iCs/>
        </w:rPr>
        <w:t>Client</w:t>
      </w:r>
      <w:r>
        <w:t xml:space="preserve"> and/or at the </w:t>
      </w:r>
      <w:r>
        <w:rPr>
          <w:i/>
          <w:iCs/>
        </w:rPr>
        <w:t>Client’s</w:t>
      </w:r>
      <w:r>
        <w:t xml:space="preserve"> direction, the Former Service Provider, in writing such information as is necessary to enable the </w:t>
      </w:r>
      <w:r>
        <w:rPr>
          <w:i/>
          <w:iCs/>
        </w:rPr>
        <w:t>Client</w:t>
      </w:r>
      <w:r>
        <w:t xml:space="preserve"> and/or the Former Service Provider to carry out their respective duties under regulat</w:t>
      </w:r>
      <w:r>
        <w:t xml:space="preserve">ion 13 of the Employment Regulations. The </w:t>
      </w:r>
      <w:r>
        <w:rPr>
          <w:i/>
          <w:iCs/>
        </w:rPr>
        <w:t>Client</w:t>
      </w:r>
      <w:r>
        <w:t xml:space="preserve"> shall procure that the Former Service Provider shall promptly provide to the </w:t>
      </w:r>
      <w:r>
        <w:rPr>
          <w:i/>
          <w:iCs/>
        </w:rPr>
        <w:t>Service Provider</w:t>
      </w:r>
      <w:r>
        <w:t xml:space="preserve"> and any Subcontractor in writing such information as is necessary to enable the </w:t>
      </w:r>
      <w:r>
        <w:rPr>
          <w:i/>
          <w:iCs/>
        </w:rPr>
        <w:t>Service Provider</w:t>
      </w:r>
      <w:r>
        <w:t xml:space="preserve"> and any Subcontr</w:t>
      </w:r>
      <w:r>
        <w:t>actor to carry out their respective duties under regulation 13 of the Employment Regulations.</w:t>
      </w:r>
    </w:p>
    <w:p w14:paraId="5385F276"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r>
        <w:rPr>
          <w:b/>
          <w:bCs/>
          <w:color w:val="000000"/>
        </w:rPr>
        <w:t>Cabinet Office requirements</w:t>
      </w:r>
    </w:p>
    <w:p w14:paraId="54B36ECF"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 shall procure that each Subcontractor shall, comply with any requirement notified to it by the </w:t>
      </w:r>
      <w:r>
        <w:rPr>
          <w:i/>
          <w:iCs/>
          <w:color w:val="000000"/>
        </w:rPr>
        <w:t>Client</w:t>
      </w:r>
      <w:r>
        <w:rPr>
          <w:color w:val="000000"/>
        </w:rPr>
        <w:t xml:space="preserve"> </w:t>
      </w:r>
      <w:r>
        <w:rPr>
          <w:color w:val="000000"/>
        </w:rPr>
        <w:t xml:space="preserve">relating to pensions in respect of any Transferring Former Service Provider Employee as set down in: </w:t>
      </w:r>
    </w:p>
    <w:p w14:paraId="02AEE228"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the Cabinet Office Statement of Practice on Staff Transfers in the Public Sector of January 2000, revised 2007; </w:t>
      </w:r>
    </w:p>
    <w:p w14:paraId="0A26BBAD"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Old Fair Deal; and/or</w:t>
      </w:r>
    </w:p>
    <w:p w14:paraId="0AFA9699"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 xml:space="preserve">The New Fair Deal. </w:t>
      </w:r>
    </w:p>
    <w:p w14:paraId="4A701F46" w14:textId="77777777" w:rsidR="007960A8" w:rsidRDefault="00A26397">
      <w:pPr>
        <w:widowControl/>
        <w:numPr>
          <w:ilvl w:val="1"/>
          <w:numId w:val="83"/>
        </w:numPr>
        <w:pBdr>
          <w:top w:val="nil"/>
          <w:left w:val="nil"/>
          <w:bottom w:val="nil"/>
          <w:right w:val="nil"/>
          <w:between w:val="nil"/>
        </w:pBdr>
        <w:spacing w:before="120" w:after="120"/>
        <w:ind w:left="1134" w:hanging="708"/>
        <w:rPr>
          <w:color w:val="000000"/>
        </w:rPr>
      </w:pPr>
      <w:r>
        <w:rPr>
          <w:color w:val="000000"/>
        </w:rPr>
        <w:t>Any changes embodied in any statement of practice, paper or other guidance that replaces any of the d</w:t>
      </w:r>
      <w:r>
        <w:rPr>
          <w:color w:val="000000"/>
        </w:rPr>
        <w:t>ocumentation referred to in Paragraph 5.1 shall be agreed in accordance with the Compensation Event procedure.</w:t>
      </w:r>
    </w:p>
    <w:p w14:paraId="4A6C97C0"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r>
        <w:rPr>
          <w:b/>
          <w:bCs/>
          <w:color w:val="000000"/>
        </w:rPr>
        <w:t>Limits on the Former Service Provider’s obligations</w:t>
      </w:r>
    </w:p>
    <w:p w14:paraId="43067319" w14:textId="77777777" w:rsidR="007960A8" w:rsidRDefault="00A26397">
      <w:pPr>
        <w:spacing w:before="120" w:after="120"/>
        <w:ind w:left="426"/>
      </w:pPr>
      <w:r>
        <w:t xml:space="preserve">Notwithstanding any other provisions of this Part B, where in this Part B the </w:t>
      </w:r>
      <w:r>
        <w:rPr>
          <w:i/>
          <w:iCs/>
        </w:rPr>
        <w:t>Client</w:t>
      </w:r>
      <w:r>
        <w:t xml:space="preserve"> accepts an obligation to procure that a Former Service Provider does or does not do something, such obligation shall be limited so that it extends only to the extent that the </w:t>
      </w:r>
      <w:r>
        <w:rPr>
          <w:i/>
          <w:iCs/>
        </w:rPr>
        <w:t>Client’s</w:t>
      </w:r>
      <w:r>
        <w:t xml:space="preserve"> contract with the Former Service Provider contains a contractual right </w:t>
      </w:r>
      <w:r>
        <w:t xml:space="preserve">in that regard which the </w:t>
      </w:r>
      <w:r>
        <w:rPr>
          <w:i/>
          <w:iCs/>
        </w:rPr>
        <w:t>Client</w:t>
      </w:r>
      <w:r>
        <w:t xml:space="preserve"> may enforce, or otherwise so that it requires only that the </w:t>
      </w:r>
      <w:r>
        <w:rPr>
          <w:i/>
          <w:iCs/>
        </w:rPr>
        <w:t>Client</w:t>
      </w:r>
      <w:r>
        <w:t xml:space="preserve"> must use reasonable endeavours to procure that the Former Service Provider does or does not act accordingly. </w:t>
      </w:r>
    </w:p>
    <w:p w14:paraId="697A5175" w14:textId="77777777" w:rsidR="007960A8" w:rsidRDefault="00A26397">
      <w:pPr>
        <w:keepNext/>
        <w:widowControl/>
        <w:numPr>
          <w:ilvl w:val="0"/>
          <w:numId w:val="83"/>
        </w:numPr>
        <w:pBdr>
          <w:top w:val="nil"/>
          <w:left w:val="nil"/>
          <w:bottom w:val="nil"/>
          <w:right w:val="nil"/>
          <w:between w:val="nil"/>
        </w:pBdr>
        <w:spacing w:before="120" w:after="120"/>
        <w:ind w:left="426" w:hanging="426"/>
        <w:rPr>
          <w:b/>
          <w:bCs/>
          <w:smallCaps/>
          <w:color w:val="000000"/>
        </w:rPr>
      </w:pPr>
      <w:r>
        <w:rPr>
          <w:b/>
          <w:bCs/>
          <w:smallCaps/>
          <w:color w:val="000000"/>
        </w:rPr>
        <w:t>P</w:t>
      </w:r>
      <w:r>
        <w:rPr>
          <w:b/>
          <w:bCs/>
          <w:color w:val="000000"/>
        </w:rPr>
        <w:t>ensions</w:t>
      </w:r>
    </w:p>
    <w:p w14:paraId="1493EB5E" w14:textId="77777777" w:rsidR="007960A8" w:rsidRDefault="00A26397">
      <w:pPr>
        <w:keepNext/>
        <w:widowControl/>
        <w:numPr>
          <w:ilvl w:val="1"/>
          <w:numId w:val="83"/>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 shall procure that each Subcontractor shall, comply with:</w:t>
      </w:r>
    </w:p>
    <w:p w14:paraId="09B94447"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the requirements of Part 1 of the Pensions Act 2008, section 258 of the Pensions Act 2004 and the Transfer of Employment (Pension Protection) Regulations 2005 for all transferring staff;</w:t>
      </w:r>
      <w:r>
        <w:rPr>
          <w:color w:val="000000"/>
        </w:rPr>
        <w:t xml:space="preserve"> and</w:t>
      </w:r>
    </w:p>
    <w:p w14:paraId="237D0414" w14:textId="77777777" w:rsidR="007960A8" w:rsidRDefault="00A26397">
      <w:pPr>
        <w:widowControl/>
        <w:numPr>
          <w:ilvl w:val="2"/>
          <w:numId w:val="83"/>
        </w:numPr>
        <w:pBdr>
          <w:top w:val="nil"/>
          <w:left w:val="nil"/>
          <w:bottom w:val="nil"/>
          <w:right w:val="nil"/>
          <w:between w:val="nil"/>
        </w:pBdr>
        <w:spacing w:before="120" w:after="120"/>
        <w:ind w:left="1985" w:hanging="851"/>
        <w:rPr>
          <w:color w:val="000000"/>
        </w:rPr>
      </w:pPr>
      <w:r>
        <w:rPr>
          <w:color w:val="000000"/>
        </w:rPr>
        <w:t>Part D: Pensions (and its Annexes) to this Schedule.</w:t>
      </w:r>
    </w:p>
    <w:p w14:paraId="0E123428" w14:textId="77777777" w:rsidR="007960A8" w:rsidRDefault="007960A8">
      <w:pPr>
        <w:spacing w:before="120" w:after="120"/>
      </w:pPr>
    </w:p>
    <w:p w14:paraId="6B67A18B" w14:textId="77777777" w:rsidR="007960A8" w:rsidRDefault="007960A8">
      <w:pPr>
        <w:spacing w:before="120" w:after="120"/>
      </w:pPr>
    </w:p>
    <w:p w14:paraId="01AD487D" w14:textId="77777777" w:rsidR="007960A8" w:rsidRDefault="00A26397">
      <w:pPr>
        <w:pStyle w:val="Heading1"/>
        <w:spacing w:before="120" w:after="120"/>
        <w:ind w:firstLine="220"/>
        <w:rPr>
          <w:sz w:val="36"/>
          <w:szCs w:val="36"/>
        </w:rPr>
      </w:pPr>
      <w:r>
        <w:br w:type="page"/>
      </w:r>
      <w:r>
        <w:rPr>
          <w:sz w:val="36"/>
          <w:szCs w:val="36"/>
        </w:rPr>
        <w:t xml:space="preserve">Part C: No Staff Transfer on the </w:t>
      </w:r>
      <w:r>
        <w:rPr>
          <w:i/>
          <w:iCs/>
          <w:sz w:val="36"/>
          <w:szCs w:val="36"/>
        </w:rPr>
        <w:t>Starting Date</w:t>
      </w:r>
    </w:p>
    <w:p w14:paraId="6FC2819B" w14:textId="77777777" w:rsidR="007960A8" w:rsidRDefault="00A26397">
      <w:pPr>
        <w:keepNext/>
        <w:widowControl/>
        <w:numPr>
          <w:ilvl w:val="0"/>
          <w:numId w:val="85"/>
        </w:numPr>
        <w:pBdr>
          <w:top w:val="nil"/>
          <w:left w:val="nil"/>
          <w:bottom w:val="nil"/>
          <w:right w:val="nil"/>
          <w:between w:val="nil"/>
        </w:pBdr>
        <w:spacing w:before="120" w:after="120"/>
        <w:ind w:left="426" w:hanging="426"/>
        <w:rPr>
          <w:b/>
          <w:bCs/>
          <w:smallCaps/>
          <w:color w:val="000000"/>
        </w:rPr>
      </w:pPr>
      <w:r>
        <w:rPr>
          <w:b/>
          <w:bCs/>
          <w:color w:val="000000"/>
        </w:rPr>
        <w:t>What happens if there is a staff transfer</w:t>
      </w:r>
    </w:p>
    <w:p w14:paraId="13F2F8DF" w14:textId="77777777" w:rsidR="007960A8" w:rsidRDefault="00A26397">
      <w:pPr>
        <w:widowControl/>
        <w:numPr>
          <w:ilvl w:val="1"/>
          <w:numId w:val="85"/>
        </w:numPr>
        <w:pBdr>
          <w:top w:val="nil"/>
          <w:left w:val="nil"/>
          <w:bottom w:val="nil"/>
          <w:right w:val="nil"/>
          <w:between w:val="nil"/>
        </w:pBdr>
        <w:spacing w:before="120" w:after="120"/>
        <w:ind w:left="1134" w:hanging="708"/>
        <w:rPr>
          <w:color w:val="000000"/>
        </w:rPr>
      </w:pPr>
      <w:bookmarkStart w:id="45" w:name="_heading=h.49x2ik5" w:colFirst="0" w:colLast="0"/>
      <w:bookmarkEnd w:id="45"/>
      <w:r>
        <w:rPr>
          <w:color w:val="000000"/>
        </w:rPr>
        <w:t xml:space="preserve">The </w:t>
      </w:r>
      <w:r>
        <w:rPr>
          <w:i/>
          <w:iCs/>
          <w:color w:val="000000"/>
        </w:rPr>
        <w:t>Client</w:t>
      </w:r>
      <w:r>
        <w:rPr>
          <w:color w:val="000000"/>
        </w:rPr>
        <w:t xml:space="preserve"> and the </w:t>
      </w:r>
      <w:r>
        <w:rPr>
          <w:i/>
          <w:iCs/>
          <w:color w:val="000000"/>
        </w:rPr>
        <w:t>Service Provider</w:t>
      </w:r>
      <w:r>
        <w:rPr>
          <w:color w:val="000000"/>
        </w:rPr>
        <w:t xml:space="preserve"> agree that the commencement of the provision of the </w:t>
      </w:r>
      <w:r>
        <w:rPr>
          <w:i/>
          <w:iCs/>
          <w:color w:val="000000"/>
        </w:rPr>
        <w:t>services</w:t>
      </w:r>
      <w:r>
        <w:rPr>
          <w:color w:val="000000"/>
        </w:rPr>
        <w:t xml:space="preserve"> or of any part of the </w:t>
      </w:r>
      <w:r>
        <w:rPr>
          <w:i/>
          <w:iCs/>
          <w:color w:val="000000"/>
        </w:rPr>
        <w:t>services</w:t>
      </w:r>
      <w:r>
        <w:rPr>
          <w:color w:val="000000"/>
        </w:rPr>
        <w:t xml:space="preserve"> will not be a Relevant Transfer in relation to any employees of the </w:t>
      </w:r>
      <w:r>
        <w:rPr>
          <w:i/>
          <w:iCs/>
          <w:color w:val="000000"/>
        </w:rPr>
        <w:t>Client</w:t>
      </w:r>
      <w:r>
        <w:rPr>
          <w:color w:val="000000"/>
        </w:rPr>
        <w:t xml:space="preserve"> and/or any Former Service Provider.</w:t>
      </w:r>
    </w:p>
    <w:p w14:paraId="6B423A3B" w14:textId="77777777" w:rsidR="007960A8" w:rsidRDefault="00A26397">
      <w:pPr>
        <w:keepNext/>
        <w:widowControl/>
        <w:numPr>
          <w:ilvl w:val="1"/>
          <w:numId w:val="85"/>
        </w:numPr>
        <w:pBdr>
          <w:top w:val="nil"/>
          <w:left w:val="nil"/>
          <w:bottom w:val="nil"/>
          <w:right w:val="nil"/>
          <w:between w:val="nil"/>
        </w:pBdr>
        <w:spacing w:before="120" w:after="120"/>
        <w:ind w:left="1134" w:hanging="708"/>
        <w:rPr>
          <w:color w:val="000000"/>
        </w:rPr>
      </w:pPr>
      <w:bookmarkStart w:id="46" w:name="_heading=h.2p2csry" w:colFirst="0" w:colLast="0"/>
      <w:bookmarkEnd w:id="46"/>
      <w:r>
        <w:rPr>
          <w:color w:val="000000"/>
        </w:rPr>
        <w:t xml:space="preserve">If any employee of the </w:t>
      </w:r>
      <w:r>
        <w:rPr>
          <w:i/>
          <w:iCs/>
          <w:color w:val="000000"/>
        </w:rPr>
        <w:t>Client</w:t>
      </w:r>
      <w:r>
        <w:rPr>
          <w:color w:val="000000"/>
        </w:rPr>
        <w:t xml:space="preserve"> and/or a Former Servic</w:t>
      </w:r>
      <w:r>
        <w:rPr>
          <w:color w:val="000000"/>
        </w:rPr>
        <w:t xml:space="preserve">e Provider claims, or it is determined in relation to any employee of the </w:t>
      </w:r>
      <w:r>
        <w:rPr>
          <w:i/>
          <w:iCs/>
          <w:color w:val="000000"/>
        </w:rPr>
        <w:t>Client</w:t>
      </w:r>
      <w:r>
        <w:rPr>
          <w:color w:val="000000"/>
        </w:rPr>
        <w:t xml:space="preserve"> and/or a Former Service Provider, that his/her contract of employment has been transferred from the </w:t>
      </w:r>
      <w:r>
        <w:rPr>
          <w:i/>
          <w:iCs/>
          <w:color w:val="000000"/>
        </w:rPr>
        <w:t>Client</w:t>
      </w:r>
      <w:r>
        <w:rPr>
          <w:color w:val="000000"/>
        </w:rPr>
        <w:t xml:space="preserve"> and/or the Former Service Provider to the </w:t>
      </w:r>
      <w:r>
        <w:rPr>
          <w:i/>
          <w:iCs/>
          <w:color w:val="000000"/>
        </w:rPr>
        <w:t>Client</w:t>
      </w:r>
      <w:r>
        <w:rPr>
          <w:color w:val="000000"/>
        </w:rPr>
        <w:t xml:space="preserve"> and/or any Subcontr</w:t>
      </w:r>
      <w:r>
        <w:rPr>
          <w:color w:val="000000"/>
        </w:rPr>
        <w:t>actor pursuant to the Employment Regulations or the Acquired Rights Directive then:</w:t>
      </w:r>
    </w:p>
    <w:p w14:paraId="66C0E49D" w14:textId="77777777" w:rsidR="007960A8" w:rsidRDefault="00A26397">
      <w:pPr>
        <w:widowControl/>
        <w:numPr>
          <w:ilvl w:val="2"/>
          <w:numId w:val="85"/>
        </w:numPr>
        <w:pBdr>
          <w:top w:val="nil"/>
          <w:left w:val="nil"/>
          <w:bottom w:val="nil"/>
          <w:right w:val="nil"/>
          <w:between w:val="nil"/>
        </w:pBdr>
        <w:spacing w:before="120" w:after="120"/>
        <w:rPr>
          <w:color w:val="000000"/>
        </w:rPr>
      </w:pPr>
      <w:bookmarkStart w:id="47" w:name="_heading=h.147n2zr" w:colFirst="0" w:colLast="0"/>
      <w:bookmarkEnd w:id="47"/>
      <w:r>
        <w:rPr>
          <w:color w:val="000000"/>
        </w:rPr>
        <w:t xml:space="preserve">the </w:t>
      </w:r>
      <w:r>
        <w:rPr>
          <w:i/>
          <w:iCs/>
          <w:color w:val="000000"/>
        </w:rPr>
        <w:t>Service Provider</w:t>
      </w:r>
      <w:r>
        <w:rPr>
          <w:color w:val="000000"/>
        </w:rPr>
        <w:t xml:space="preserve"> shall, and shall procure that the relevant Subcontractor shall, within 5 Working Days of becoming aware of that fact, notify the </w:t>
      </w:r>
      <w:r>
        <w:rPr>
          <w:i/>
          <w:iCs/>
          <w:color w:val="000000"/>
        </w:rPr>
        <w:t>Client</w:t>
      </w:r>
      <w:r>
        <w:rPr>
          <w:color w:val="000000"/>
        </w:rPr>
        <w:t xml:space="preserve"> in writing and, where required by the </w:t>
      </w:r>
      <w:r>
        <w:rPr>
          <w:i/>
          <w:iCs/>
          <w:color w:val="000000"/>
        </w:rPr>
        <w:t>Client</w:t>
      </w:r>
      <w:r>
        <w:rPr>
          <w:color w:val="000000"/>
        </w:rPr>
        <w:t>, notify the Former Service Provider in writing; and</w:t>
      </w:r>
    </w:p>
    <w:p w14:paraId="110F4C8E" w14:textId="77777777" w:rsidR="007960A8" w:rsidRDefault="00A26397">
      <w:pPr>
        <w:widowControl/>
        <w:numPr>
          <w:ilvl w:val="2"/>
          <w:numId w:val="85"/>
        </w:numPr>
        <w:pBdr>
          <w:top w:val="nil"/>
          <w:left w:val="nil"/>
          <w:bottom w:val="nil"/>
          <w:right w:val="nil"/>
          <w:between w:val="nil"/>
        </w:pBdr>
        <w:spacing w:before="120" w:after="120"/>
        <w:rPr>
          <w:color w:val="000000"/>
        </w:rPr>
      </w:pPr>
      <w:bookmarkStart w:id="48" w:name="_heading=h.3o7alnk" w:colFirst="0" w:colLast="0"/>
      <w:bookmarkEnd w:id="48"/>
      <w:r>
        <w:rPr>
          <w:color w:val="000000"/>
        </w:rPr>
        <w:t xml:space="preserve">the </w:t>
      </w:r>
      <w:r>
        <w:rPr>
          <w:i/>
          <w:iCs/>
          <w:color w:val="000000"/>
        </w:rPr>
        <w:t>Client</w:t>
      </w:r>
      <w:r>
        <w:rPr>
          <w:color w:val="000000"/>
        </w:rPr>
        <w:t xml:space="preserve"> and/or the Former Service Provider may offer (or may procure that a third party may offer) employment to such person within 15 Working Days of the notification from the </w:t>
      </w:r>
      <w:r>
        <w:rPr>
          <w:i/>
          <w:iCs/>
          <w:color w:val="000000"/>
        </w:rPr>
        <w:t>Service Provider</w:t>
      </w:r>
      <w:r>
        <w:rPr>
          <w:color w:val="000000"/>
        </w:rPr>
        <w:t xml:space="preserve"> or the</w:t>
      </w:r>
      <w:r>
        <w:rPr>
          <w:color w:val="000000"/>
        </w:rPr>
        <w:t xml:space="preserve"> Subcontractor (as appropriate) or take such other reasonable steps as the </w:t>
      </w:r>
      <w:r>
        <w:rPr>
          <w:i/>
          <w:iCs/>
          <w:color w:val="000000"/>
        </w:rPr>
        <w:t>Client</w:t>
      </w:r>
      <w:r>
        <w:rPr>
          <w:color w:val="000000"/>
        </w:rPr>
        <w:t xml:space="preserve"> or Former Service Provider (as the case may be) it considers appropriate to deal with the matter provided always that such steps are in compliance with </w:t>
      </w:r>
      <w:r>
        <w:rPr>
          <w:i/>
          <w:iCs/>
          <w:color w:val="000000"/>
        </w:rPr>
        <w:t>applicable Law</w:t>
      </w:r>
      <w:r>
        <w:rPr>
          <w:color w:val="000000"/>
        </w:rPr>
        <w:t>.</w:t>
      </w:r>
    </w:p>
    <w:p w14:paraId="12F89E2F" w14:textId="77777777" w:rsidR="007960A8" w:rsidRDefault="00A26397">
      <w:pPr>
        <w:widowControl/>
        <w:numPr>
          <w:ilvl w:val="1"/>
          <w:numId w:val="85"/>
        </w:numPr>
        <w:pBdr>
          <w:top w:val="nil"/>
          <w:left w:val="nil"/>
          <w:bottom w:val="nil"/>
          <w:right w:val="nil"/>
          <w:between w:val="nil"/>
        </w:pBdr>
        <w:spacing w:before="120" w:after="120"/>
        <w:ind w:left="1134" w:hanging="708"/>
        <w:rPr>
          <w:color w:val="000000"/>
        </w:rPr>
      </w:pPr>
      <w:r>
        <w:rPr>
          <w:color w:val="000000"/>
        </w:rPr>
        <w:t xml:space="preserve">If an </w:t>
      </w:r>
      <w:r>
        <w:rPr>
          <w:color w:val="000000"/>
        </w:rPr>
        <w:t xml:space="preserve">offer referred to in Paragraph 1.2.2 is accepted (or if the situation has otherwise been resolved by the </w:t>
      </w:r>
      <w:r>
        <w:rPr>
          <w:i/>
          <w:iCs/>
          <w:color w:val="000000"/>
        </w:rPr>
        <w:t>Client</w:t>
      </w:r>
      <w:r>
        <w:rPr>
          <w:color w:val="000000"/>
        </w:rPr>
        <w:t xml:space="preserve"> and/or the Former Service Provider), the </w:t>
      </w:r>
      <w:r>
        <w:rPr>
          <w:i/>
          <w:iCs/>
          <w:color w:val="000000"/>
        </w:rPr>
        <w:t>Service Provider</w:t>
      </w:r>
      <w:r>
        <w:rPr>
          <w:color w:val="000000"/>
        </w:rPr>
        <w:t xml:space="preserve"> shall, or shall procure that the Subcontractor shall, immediately release the person f</w:t>
      </w:r>
      <w:r>
        <w:rPr>
          <w:color w:val="000000"/>
        </w:rPr>
        <w:t>rom his/her employment or alleged employment.</w:t>
      </w:r>
    </w:p>
    <w:p w14:paraId="66D92632" w14:textId="77777777" w:rsidR="007960A8" w:rsidRDefault="00A26397">
      <w:pPr>
        <w:widowControl/>
        <w:numPr>
          <w:ilvl w:val="1"/>
          <w:numId w:val="85"/>
        </w:numPr>
        <w:pBdr>
          <w:top w:val="nil"/>
          <w:left w:val="nil"/>
          <w:bottom w:val="nil"/>
          <w:right w:val="nil"/>
          <w:between w:val="nil"/>
        </w:pBdr>
        <w:spacing w:before="120" w:after="120"/>
        <w:ind w:left="1134" w:hanging="708"/>
        <w:rPr>
          <w:color w:val="000000"/>
        </w:rPr>
      </w:pPr>
      <w:bookmarkStart w:id="49" w:name="_heading=h.23ckvvd" w:colFirst="0" w:colLast="0"/>
      <w:bookmarkEnd w:id="49"/>
      <w:r>
        <w:rPr>
          <w:color w:val="000000"/>
        </w:rPr>
        <w:t xml:space="preserve">If by the end of the 15 Working Day period referred to in Paragraph 1.2.2: </w:t>
      </w:r>
    </w:p>
    <w:p w14:paraId="339B440D"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 xml:space="preserve">no such offer of employment has been made; </w:t>
      </w:r>
    </w:p>
    <w:p w14:paraId="668E722C"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such offer has been made but not accepted; or</w:t>
      </w:r>
    </w:p>
    <w:p w14:paraId="01BEFED2"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the situation has not otherwise been resolve</w:t>
      </w:r>
      <w:r>
        <w:rPr>
          <w:color w:val="000000"/>
        </w:rPr>
        <w:t>d,</w:t>
      </w:r>
    </w:p>
    <w:p w14:paraId="174262EF" w14:textId="77777777" w:rsidR="007960A8" w:rsidRDefault="00A26397">
      <w:pPr>
        <w:pBdr>
          <w:top w:val="nil"/>
          <w:left w:val="nil"/>
          <w:bottom w:val="nil"/>
          <w:right w:val="nil"/>
          <w:between w:val="nil"/>
        </w:pBdr>
        <w:spacing w:before="120" w:after="120"/>
        <w:ind w:left="1134"/>
        <w:rPr>
          <w:color w:val="000000"/>
        </w:rPr>
      </w:pPr>
      <w:r>
        <w:rPr>
          <w:color w:val="000000"/>
        </w:rPr>
        <w:t xml:space="preserve">the </w:t>
      </w:r>
      <w:r>
        <w:rPr>
          <w:i/>
          <w:iCs/>
          <w:color w:val="000000"/>
        </w:rPr>
        <w:t>Service Provider</w:t>
      </w:r>
      <w:r>
        <w:rPr>
          <w:color w:val="000000"/>
        </w:rPr>
        <w:t xml:space="preserve"> may within 5 Working Days give notice to terminate the employment or alleged employment of such person.</w:t>
      </w:r>
    </w:p>
    <w:p w14:paraId="68DA177B" w14:textId="77777777" w:rsidR="007960A8" w:rsidRDefault="00A26397">
      <w:pPr>
        <w:widowControl/>
        <w:numPr>
          <w:ilvl w:val="1"/>
          <w:numId w:val="85"/>
        </w:numPr>
        <w:pBdr>
          <w:top w:val="nil"/>
          <w:left w:val="nil"/>
          <w:bottom w:val="nil"/>
          <w:right w:val="nil"/>
          <w:between w:val="nil"/>
        </w:pBdr>
        <w:spacing w:before="120" w:after="120"/>
        <w:ind w:left="1134" w:hanging="708"/>
        <w:rPr>
          <w:color w:val="000000"/>
        </w:rPr>
      </w:pPr>
      <w:r>
        <w:rPr>
          <w:color w:val="000000"/>
        </w:rPr>
        <w:t xml:space="preserve">Subject to the </w:t>
      </w:r>
      <w:r>
        <w:rPr>
          <w:i/>
          <w:iCs/>
          <w:color w:val="000000"/>
        </w:rPr>
        <w:t>Service Provider</w:t>
      </w:r>
      <w:r>
        <w:rPr>
          <w:color w:val="000000"/>
        </w:rPr>
        <w:t xml:space="preserve"> and/or the relevant Subcontractor acting in accordance with the provisions of Paragraphs 1.2 to 1.4 and in accordance with all applicable employment procedures set out in </w:t>
      </w:r>
      <w:r>
        <w:rPr>
          <w:i/>
          <w:iCs/>
          <w:color w:val="000000"/>
        </w:rPr>
        <w:t>applicable Law</w:t>
      </w:r>
      <w:r>
        <w:rPr>
          <w:color w:val="000000"/>
        </w:rPr>
        <w:t xml:space="preserve"> and subject also to Paragraph 1.8 the </w:t>
      </w:r>
      <w:r>
        <w:rPr>
          <w:i/>
          <w:iCs/>
          <w:color w:val="000000"/>
        </w:rPr>
        <w:t>Client</w:t>
      </w:r>
      <w:r>
        <w:rPr>
          <w:color w:val="000000"/>
        </w:rPr>
        <w:t xml:space="preserve"> shall:</w:t>
      </w:r>
    </w:p>
    <w:p w14:paraId="11C3C46B"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 xml:space="preserve">indemnify the </w:t>
      </w:r>
      <w:r>
        <w:rPr>
          <w:i/>
          <w:iCs/>
          <w:color w:val="000000"/>
        </w:rPr>
        <w:t>Ser</w:t>
      </w:r>
      <w:r>
        <w:rPr>
          <w:i/>
          <w:iCs/>
          <w:color w:val="000000"/>
        </w:rPr>
        <w:t>vice Provider</w:t>
      </w:r>
      <w:r>
        <w:rPr>
          <w:color w:val="000000"/>
        </w:rPr>
        <w:t xml:space="preserve"> and/or the relevant Subcontractor against all Employee Liabilities arising out of the termination of the employment of any of the </w:t>
      </w:r>
      <w:r>
        <w:rPr>
          <w:i/>
          <w:iCs/>
          <w:color w:val="000000"/>
        </w:rPr>
        <w:t>Client's</w:t>
      </w:r>
      <w:r>
        <w:rPr>
          <w:color w:val="000000"/>
        </w:rPr>
        <w:t xml:space="preserve"> employees referred to in Paragraph 1.2 made pursuant to the provisions of Paragraph 1.4 provided that t</w:t>
      </w:r>
      <w:r>
        <w:rPr>
          <w:color w:val="000000"/>
        </w:rPr>
        <w:t xml:space="preserve">he </w:t>
      </w:r>
      <w:r>
        <w:rPr>
          <w:i/>
          <w:iCs/>
          <w:color w:val="000000"/>
        </w:rPr>
        <w:t>Service Provider</w:t>
      </w:r>
      <w:r>
        <w:rPr>
          <w:color w:val="000000"/>
        </w:rPr>
        <w:t xml:space="preserve"> takes, or shall procure that the Subcontractor takes, all reasonable steps to minimise any such Employee Liabilities; and </w:t>
      </w:r>
    </w:p>
    <w:p w14:paraId="1E530494"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 xml:space="preserve">procure that the Former Service Provider indemnifies the </w:t>
      </w:r>
      <w:r>
        <w:rPr>
          <w:i/>
          <w:iCs/>
          <w:color w:val="000000"/>
        </w:rPr>
        <w:t>Service Provider</w:t>
      </w:r>
      <w:r>
        <w:rPr>
          <w:color w:val="000000"/>
        </w:rPr>
        <w:t xml:space="preserve"> and/or any Subcontractor against all Em</w:t>
      </w:r>
      <w:r>
        <w:rPr>
          <w:color w:val="000000"/>
        </w:rPr>
        <w:t xml:space="preserve">ployee Liabilities arising out of termination of the employment of the employees of the Former Service Provider referred to in Paragraph 1.2 made pursuant to the provisions of Paragraph 1.4 provided that the </w:t>
      </w:r>
      <w:r>
        <w:rPr>
          <w:i/>
          <w:iCs/>
          <w:color w:val="000000"/>
        </w:rPr>
        <w:t>Service Provider</w:t>
      </w:r>
      <w:r>
        <w:rPr>
          <w:color w:val="000000"/>
        </w:rPr>
        <w:t xml:space="preserve"> takes, or shall procure that th</w:t>
      </w:r>
      <w:r>
        <w:rPr>
          <w:color w:val="000000"/>
        </w:rPr>
        <w:t>e relevant Subcontractor takes, all reasonable steps to minimise any such Employee Liabilities.</w:t>
      </w:r>
    </w:p>
    <w:p w14:paraId="71E37515" w14:textId="77777777" w:rsidR="007960A8" w:rsidRDefault="00A26397">
      <w:pPr>
        <w:keepNext/>
        <w:widowControl/>
        <w:numPr>
          <w:ilvl w:val="1"/>
          <w:numId w:val="85"/>
        </w:numPr>
        <w:pBdr>
          <w:top w:val="nil"/>
          <w:left w:val="nil"/>
          <w:bottom w:val="nil"/>
          <w:right w:val="nil"/>
          <w:between w:val="nil"/>
        </w:pBdr>
        <w:spacing w:before="120" w:after="120"/>
        <w:ind w:left="1134" w:hanging="708"/>
        <w:rPr>
          <w:color w:val="000000"/>
        </w:rPr>
      </w:pPr>
      <w:r>
        <w:rPr>
          <w:color w:val="000000"/>
        </w:rPr>
        <w:t xml:space="preserve">If any such person as is described in Paragraph 1.2 is neither re employed by the </w:t>
      </w:r>
      <w:r>
        <w:rPr>
          <w:i/>
          <w:iCs/>
          <w:color w:val="000000"/>
        </w:rPr>
        <w:t>Client</w:t>
      </w:r>
      <w:r>
        <w:rPr>
          <w:color w:val="000000"/>
        </w:rPr>
        <w:t xml:space="preserve"> and/or the Former Service Provider as appropriate nor dismissed by the </w:t>
      </w:r>
      <w:r>
        <w:rPr>
          <w:i/>
          <w:iCs/>
          <w:color w:val="000000"/>
        </w:rPr>
        <w:t>Service Provider</w:t>
      </w:r>
      <w:r>
        <w:rPr>
          <w:color w:val="000000"/>
        </w:rPr>
        <w:t xml:space="preserve"> and/or any Subcontractor within the period(s) referred to in Paragraph 1.4 such</w:t>
      </w:r>
      <w:r>
        <w:rPr>
          <w:color w:val="000000"/>
        </w:rPr>
        <w:t xml:space="preserve"> person shall be treated as having transferred to the </w:t>
      </w:r>
      <w:r>
        <w:rPr>
          <w:i/>
          <w:iCs/>
          <w:color w:val="000000"/>
        </w:rPr>
        <w:t>Service Provider</w:t>
      </w:r>
      <w:r>
        <w:rPr>
          <w:color w:val="000000"/>
        </w:rPr>
        <w:t xml:space="preserve"> and/or the Subcontractor (as appropriate) and the </w:t>
      </w:r>
      <w:r>
        <w:rPr>
          <w:i/>
          <w:iCs/>
          <w:color w:val="000000"/>
        </w:rPr>
        <w:t>Service Provider</w:t>
      </w:r>
      <w:r>
        <w:rPr>
          <w:color w:val="000000"/>
        </w:rPr>
        <w:t xml:space="preserve"> shall, or shall procure that the Subcontractor shall, comply with such obligations as may be imposed upon it under Law</w:t>
      </w:r>
      <w:r>
        <w:rPr>
          <w:color w:val="000000"/>
        </w:rPr>
        <w:t>.</w:t>
      </w:r>
    </w:p>
    <w:p w14:paraId="3E0FA63B" w14:textId="77777777" w:rsidR="007960A8" w:rsidRDefault="00A26397">
      <w:pPr>
        <w:keepNext/>
        <w:widowControl/>
        <w:numPr>
          <w:ilvl w:val="1"/>
          <w:numId w:val="85"/>
        </w:numPr>
        <w:pBdr>
          <w:top w:val="nil"/>
          <w:left w:val="nil"/>
          <w:bottom w:val="nil"/>
          <w:right w:val="nil"/>
          <w:between w:val="nil"/>
        </w:pBdr>
        <w:spacing w:before="120" w:after="120"/>
        <w:ind w:left="1134" w:hanging="708"/>
        <w:rPr>
          <w:color w:val="000000"/>
        </w:rPr>
      </w:pPr>
      <w:r>
        <w:rPr>
          <w:color w:val="000000"/>
        </w:rPr>
        <w:t xml:space="preserve">Where any person remains employed by the </w:t>
      </w:r>
      <w:r>
        <w:rPr>
          <w:i/>
          <w:iCs/>
          <w:color w:val="000000"/>
        </w:rPr>
        <w:t>Service Provider</w:t>
      </w:r>
      <w:r>
        <w:rPr>
          <w:color w:val="000000"/>
        </w:rPr>
        <w:t xml:space="preserve"> and/or any Subcontractor pursuant to Paragraph 1.6, all Employee Liabilities in relation to such employee shall remain with the </w:t>
      </w:r>
      <w:r>
        <w:rPr>
          <w:i/>
          <w:iCs/>
          <w:color w:val="000000"/>
        </w:rPr>
        <w:t>Service Provider</w:t>
      </w:r>
      <w:r>
        <w:rPr>
          <w:color w:val="000000"/>
        </w:rPr>
        <w:t xml:space="preserve"> and/or the Subcontractor and the </w:t>
      </w:r>
      <w:r>
        <w:rPr>
          <w:i/>
          <w:iCs/>
          <w:color w:val="000000"/>
        </w:rPr>
        <w:t>Service Provider</w:t>
      </w:r>
      <w:r>
        <w:rPr>
          <w:color w:val="000000"/>
        </w:rPr>
        <w:t xml:space="preserve"> s</w:t>
      </w:r>
      <w:r>
        <w:rPr>
          <w:color w:val="000000"/>
        </w:rPr>
        <w:t xml:space="preserve">hall indemnify the </w:t>
      </w:r>
      <w:r>
        <w:rPr>
          <w:i/>
          <w:iCs/>
          <w:color w:val="000000"/>
        </w:rPr>
        <w:t>Client</w:t>
      </w:r>
      <w:r>
        <w:rPr>
          <w:color w:val="000000"/>
        </w:rPr>
        <w:t xml:space="preserve"> and any Former Service Provider, and shall procure that the Subcontractor shall indemnify the </w:t>
      </w:r>
      <w:r>
        <w:rPr>
          <w:i/>
          <w:iCs/>
          <w:color w:val="000000"/>
        </w:rPr>
        <w:t>Client</w:t>
      </w:r>
      <w:r>
        <w:rPr>
          <w:color w:val="000000"/>
        </w:rPr>
        <w:t xml:space="preserve"> and any Former Service Provider, against any Employee Liabilities that either of them may incur in respect of any such employees </w:t>
      </w:r>
      <w:r>
        <w:rPr>
          <w:color w:val="000000"/>
        </w:rPr>
        <w:t xml:space="preserve">of the </w:t>
      </w:r>
      <w:r>
        <w:rPr>
          <w:i/>
          <w:iCs/>
          <w:color w:val="000000"/>
        </w:rPr>
        <w:t>Service Provider</w:t>
      </w:r>
      <w:r>
        <w:rPr>
          <w:color w:val="000000"/>
        </w:rPr>
        <w:t xml:space="preserve"> and/or employees of the Subcontractor.</w:t>
      </w:r>
    </w:p>
    <w:p w14:paraId="79690C28" w14:textId="77777777" w:rsidR="007960A8" w:rsidRDefault="00A26397">
      <w:pPr>
        <w:keepNext/>
        <w:widowControl/>
        <w:numPr>
          <w:ilvl w:val="1"/>
          <w:numId w:val="85"/>
        </w:numPr>
        <w:pBdr>
          <w:top w:val="nil"/>
          <w:left w:val="nil"/>
          <w:bottom w:val="nil"/>
          <w:right w:val="nil"/>
          <w:between w:val="nil"/>
        </w:pBdr>
        <w:spacing w:before="120" w:after="120"/>
        <w:ind w:left="1134" w:hanging="708"/>
        <w:rPr>
          <w:color w:val="000000"/>
        </w:rPr>
      </w:pPr>
      <w:bookmarkStart w:id="50" w:name="_heading=h.ihv636" w:colFirst="0" w:colLast="0"/>
      <w:bookmarkEnd w:id="50"/>
      <w:r>
        <w:rPr>
          <w:color w:val="000000"/>
        </w:rPr>
        <w:t xml:space="preserve">The indemnities in Paragraph 1.5: </w:t>
      </w:r>
    </w:p>
    <w:p w14:paraId="4E045BDB"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 xml:space="preserve">shall not apply to: </w:t>
      </w:r>
    </w:p>
    <w:p w14:paraId="1844CE2E" w14:textId="77777777" w:rsidR="007960A8" w:rsidRDefault="00A26397">
      <w:pPr>
        <w:widowControl/>
        <w:numPr>
          <w:ilvl w:val="3"/>
          <w:numId w:val="85"/>
        </w:numPr>
        <w:pBdr>
          <w:top w:val="nil"/>
          <w:left w:val="nil"/>
          <w:bottom w:val="nil"/>
          <w:right w:val="nil"/>
          <w:between w:val="nil"/>
        </w:pBdr>
        <w:spacing w:before="120" w:after="120"/>
        <w:ind w:left="2835" w:hanging="850"/>
        <w:rPr>
          <w:color w:val="000000"/>
        </w:rPr>
      </w:pPr>
      <w:r>
        <w:rPr>
          <w:color w:val="000000"/>
        </w:rPr>
        <w:t>any claim for:</w:t>
      </w:r>
    </w:p>
    <w:p w14:paraId="22A68A96" w14:textId="77777777" w:rsidR="007960A8" w:rsidRDefault="00A26397">
      <w:pPr>
        <w:pBdr>
          <w:top w:val="nil"/>
          <w:left w:val="nil"/>
          <w:bottom w:val="nil"/>
          <w:right w:val="nil"/>
          <w:between w:val="nil"/>
        </w:pBdr>
        <w:tabs>
          <w:tab w:val="left" w:pos="3686"/>
        </w:tabs>
        <w:spacing w:before="120" w:after="120"/>
        <w:ind w:left="3686" w:hanging="851"/>
        <w:rPr>
          <w:color w:val="000000"/>
        </w:rPr>
      </w:pPr>
      <w:r>
        <w:rPr>
          <w:color w:val="000000"/>
        </w:rPr>
        <w:t xml:space="preserve">(i)   </w:t>
      </w:r>
      <w:r>
        <w:rPr>
          <w:color w:val="000000"/>
        </w:rPr>
        <w:tab/>
      </w:r>
      <w:r>
        <w:rPr>
          <w:color w:val="000000"/>
        </w:rPr>
        <w:t xml:space="preserve">discrimination, including on the grounds of sex, race, disability, age, gender reassignment, marriage or civil partnership, pregnancy and maternity or sexual orientation, religion or belief; or </w:t>
      </w:r>
    </w:p>
    <w:p w14:paraId="6A1F6818" w14:textId="77777777" w:rsidR="007960A8" w:rsidRDefault="00A26397">
      <w:pPr>
        <w:pBdr>
          <w:top w:val="nil"/>
          <w:left w:val="nil"/>
          <w:bottom w:val="nil"/>
          <w:right w:val="nil"/>
          <w:between w:val="nil"/>
        </w:pBdr>
        <w:tabs>
          <w:tab w:val="left" w:pos="3686"/>
        </w:tabs>
        <w:spacing w:before="120" w:after="120"/>
        <w:ind w:left="3686" w:hanging="851"/>
        <w:rPr>
          <w:color w:val="000000"/>
        </w:rPr>
      </w:pPr>
      <w:r>
        <w:rPr>
          <w:color w:val="000000"/>
        </w:rPr>
        <w:t>(ii)</w:t>
      </w:r>
      <w:r>
        <w:rPr>
          <w:color w:val="000000"/>
        </w:rPr>
        <w:tab/>
        <w:t xml:space="preserve">equal pay or compensation for less favourable treatment </w:t>
      </w:r>
      <w:r>
        <w:rPr>
          <w:color w:val="000000"/>
        </w:rPr>
        <w:t xml:space="preserve">of part-time workers or fixed-term employees, </w:t>
      </w:r>
    </w:p>
    <w:p w14:paraId="51E9451F" w14:textId="77777777" w:rsidR="007960A8" w:rsidRDefault="00A26397">
      <w:pPr>
        <w:pBdr>
          <w:top w:val="nil"/>
          <w:left w:val="nil"/>
          <w:bottom w:val="nil"/>
          <w:right w:val="nil"/>
          <w:between w:val="nil"/>
        </w:pBdr>
        <w:spacing w:before="120" w:after="120"/>
        <w:ind w:left="2835"/>
        <w:rPr>
          <w:color w:val="000000"/>
        </w:rPr>
      </w:pPr>
      <w:r>
        <w:rPr>
          <w:color w:val="000000"/>
        </w:rPr>
        <w:t xml:space="preserve">in any case in relation to any alleged act or omission of the </w:t>
      </w:r>
      <w:r>
        <w:rPr>
          <w:i/>
          <w:iCs/>
          <w:color w:val="000000"/>
        </w:rPr>
        <w:t>Service Provider</w:t>
      </w:r>
      <w:r>
        <w:rPr>
          <w:color w:val="000000"/>
        </w:rPr>
        <w:t xml:space="preserve"> and/or Subcontractor; or</w:t>
      </w:r>
    </w:p>
    <w:p w14:paraId="7D0D9F62" w14:textId="77777777" w:rsidR="007960A8" w:rsidRDefault="00A26397">
      <w:pPr>
        <w:widowControl/>
        <w:numPr>
          <w:ilvl w:val="3"/>
          <w:numId w:val="85"/>
        </w:numPr>
        <w:pBdr>
          <w:top w:val="nil"/>
          <w:left w:val="nil"/>
          <w:bottom w:val="nil"/>
          <w:right w:val="nil"/>
          <w:between w:val="nil"/>
        </w:pBdr>
        <w:spacing w:before="120" w:after="120"/>
        <w:ind w:left="2835" w:hanging="850"/>
        <w:rPr>
          <w:color w:val="000000"/>
        </w:rPr>
      </w:pPr>
      <w:r>
        <w:rPr>
          <w:color w:val="000000"/>
        </w:rPr>
        <w:t xml:space="preserve">any claim that the termination of employment was unfair because the </w:t>
      </w:r>
      <w:r>
        <w:rPr>
          <w:i/>
          <w:iCs/>
          <w:color w:val="000000"/>
        </w:rPr>
        <w:t>Service Provider</w:t>
      </w:r>
      <w:r>
        <w:rPr>
          <w:color w:val="000000"/>
        </w:rPr>
        <w:t xml:space="preserve"> and/or any Subcontractor neglected to follow a fair dismissal procedure; and </w:t>
      </w:r>
    </w:p>
    <w:p w14:paraId="0EA86CBD" w14:textId="77777777" w:rsidR="007960A8" w:rsidRDefault="00A26397">
      <w:pPr>
        <w:widowControl/>
        <w:numPr>
          <w:ilvl w:val="2"/>
          <w:numId w:val="85"/>
        </w:numPr>
        <w:pBdr>
          <w:top w:val="nil"/>
          <w:left w:val="nil"/>
          <w:bottom w:val="nil"/>
          <w:right w:val="nil"/>
          <w:between w:val="nil"/>
        </w:pBdr>
        <w:spacing w:before="120" w:after="120"/>
        <w:ind w:left="1985" w:hanging="851"/>
        <w:rPr>
          <w:color w:val="000000"/>
        </w:rPr>
      </w:pPr>
      <w:r>
        <w:rPr>
          <w:color w:val="000000"/>
        </w:rPr>
        <w:t xml:space="preserve">shall apply only where the notification referred to in Paragraph 1.2.1 is made by the </w:t>
      </w:r>
      <w:r>
        <w:rPr>
          <w:i/>
          <w:iCs/>
          <w:color w:val="000000"/>
        </w:rPr>
        <w:t>Service Provider</w:t>
      </w:r>
      <w:r>
        <w:rPr>
          <w:color w:val="000000"/>
        </w:rPr>
        <w:t xml:space="preserve"> and/or any Subcontractor to the </w:t>
      </w:r>
      <w:r>
        <w:rPr>
          <w:i/>
          <w:iCs/>
          <w:color w:val="000000"/>
        </w:rPr>
        <w:t>Client</w:t>
      </w:r>
      <w:r>
        <w:rPr>
          <w:color w:val="000000"/>
        </w:rPr>
        <w:t xml:space="preserve"> and, if applicable, Former Service Provider within 6 months of the </w:t>
      </w:r>
      <w:r>
        <w:rPr>
          <w:i/>
          <w:iCs/>
          <w:color w:val="000000"/>
        </w:rPr>
        <w:t>Starting Date</w:t>
      </w:r>
      <w:r>
        <w:rPr>
          <w:color w:val="000000"/>
        </w:rPr>
        <w:t xml:space="preserve">. </w:t>
      </w:r>
    </w:p>
    <w:p w14:paraId="6E604521" w14:textId="77777777" w:rsidR="007960A8" w:rsidRDefault="00A26397">
      <w:pPr>
        <w:widowControl/>
        <w:numPr>
          <w:ilvl w:val="1"/>
          <w:numId w:val="85"/>
        </w:numPr>
        <w:pBdr>
          <w:top w:val="nil"/>
          <w:left w:val="nil"/>
          <w:bottom w:val="nil"/>
          <w:right w:val="nil"/>
          <w:between w:val="nil"/>
        </w:pBdr>
        <w:spacing w:before="120" w:after="120"/>
        <w:ind w:left="1134" w:hanging="708"/>
        <w:rPr>
          <w:color w:val="000000"/>
        </w:rPr>
      </w:pPr>
      <w:bookmarkStart w:id="51" w:name="_heading=h.32hioqz" w:colFirst="0" w:colLast="0"/>
      <w:bookmarkEnd w:id="51"/>
      <w:r>
        <w:rPr>
          <w:color w:val="000000"/>
        </w:rPr>
        <w:t xml:space="preserve">If the </w:t>
      </w:r>
      <w:r>
        <w:rPr>
          <w:i/>
          <w:iCs/>
          <w:color w:val="000000"/>
        </w:rPr>
        <w:t>Service Provider</w:t>
      </w:r>
      <w:r>
        <w:rPr>
          <w:color w:val="000000"/>
        </w:rPr>
        <w:t xml:space="preserve"> and/or </w:t>
      </w:r>
      <w:r>
        <w:rPr>
          <w:color w:val="000000"/>
        </w:rPr>
        <w:t xml:space="preserve">the Subcontractor does not comply with Paragraph 1.2, all Employee Liabilities in relation to such employees shall remain with the </w:t>
      </w:r>
      <w:r>
        <w:rPr>
          <w:i/>
          <w:iCs/>
          <w:color w:val="000000"/>
        </w:rPr>
        <w:t>Service Provider</w:t>
      </w:r>
      <w:r>
        <w:rPr>
          <w:color w:val="000000"/>
        </w:rPr>
        <w:t xml:space="preserve"> and/or the Subcontractor and the </w:t>
      </w:r>
      <w:r>
        <w:rPr>
          <w:i/>
          <w:iCs/>
          <w:color w:val="000000"/>
        </w:rPr>
        <w:t>Service Provider</w:t>
      </w:r>
      <w:r>
        <w:rPr>
          <w:color w:val="000000"/>
        </w:rPr>
        <w:t xml:space="preserve"> shall (i) comply with the provisions of Part D: Pensions o</w:t>
      </w:r>
      <w:r>
        <w:rPr>
          <w:color w:val="000000"/>
        </w:rPr>
        <w:t xml:space="preserve">f this Schedule, and (ii) indemnify the </w:t>
      </w:r>
      <w:r>
        <w:rPr>
          <w:i/>
          <w:iCs/>
          <w:color w:val="000000"/>
        </w:rPr>
        <w:t>Client</w:t>
      </w:r>
      <w:r>
        <w:rPr>
          <w:color w:val="000000"/>
        </w:rPr>
        <w:t xml:space="preserve"> and any Former Service Provider against any Employee Liabilities that either of them may incur in respect of any such employees of the </w:t>
      </w:r>
      <w:r>
        <w:rPr>
          <w:i/>
          <w:iCs/>
          <w:color w:val="000000"/>
        </w:rPr>
        <w:t>Service Provider</w:t>
      </w:r>
      <w:r>
        <w:rPr>
          <w:color w:val="000000"/>
        </w:rPr>
        <w:t xml:space="preserve"> and/or employees of the Subcontractor.</w:t>
      </w:r>
    </w:p>
    <w:p w14:paraId="7E490536" w14:textId="77777777" w:rsidR="007960A8" w:rsidRDefault="00A26397">
      <w:pPr>
        <w:keepNext/>
        <w:widowControl/>
        <w:numPr>
          <w:ilvl w:val="0"/>
          <w:numId w:val="85"/>
        </w:numPr>
        <w:pBdr>
          <w:top w:val="nil"/>
          <w:left w:val="nil"/>
          <w:bottom w:val="nil"/>
          <w:right w:val="nil"/>
          <w:between w:val="nil"/>
        </w:pBdr>
        <w:spacing w:before="120" w:after="120"/>
        <w:ind w:left="426" w:hanging="426"/>
        <w:rPr>
          <w:b/>
          <w:bCs/>
          <w:smallCaps/>
          <w:color w:val="000000"/>
        </w:rPr>
      </w:pPr>
      <w:r>
        <w:rPr>
          <w:b/>
          <w:bCs/>
          <w:color w:val="000000"/>
        </w:rPr>
        <w:t>Limits on the Form</w:t>
      </w:r>
      <w:r>
        <w:rPr>
          <w:b/>
          <w:bCs/>
          <w:color w:val="000000"/>
        </w:rPr>
        <w:t>er Service Provider’s obligations</w:t>
      </w:r>
    </w:p>
    <w:p w14:paraId="5259DD21" w14:textId="77777777" w:rsidR="007960A8" w:rsidRDefault="00A26397">
      <w:pPr>
        <w:spacing w:before="120" w:after="120"/>
        <w:ind w:left="426"/>
      </w:pPr>
      <w:r>
        <w:t xml:space="preserve">Where in this Part C the </w:t>
      </w:r>
      <w:r>
        <w:rPr>
          <w:i/>
          <w:iCs/>
        </w:rPr>
        <w:t>Client</w:t>
      </w:r>
      <w:r>
        <w:t xml:space="preserve"> accepts an obligation to procure that a Former Service Provider does or does not do something, such obligation shall be limited so that it extends only to the extent that the </w:t>
      </w:r>
      <w:r>
        <w:rPr>
          <w:i/>
          <w:iCs/>
        </w:rPr>
        <w:t>Client's</w:t>
      </w:r>
      <w:r>
        <w:t xml:space="preserve"> contra</w:t>
      </w:r>
      <w:r>
        <w:t xml:space="preserve">ct with the Former Service Provider contains a contractual right in that regard which the </w:t>
      </w:r>
      <w:r>
        <w:rPr>
          <w:i/>
          <w:iCs/>
        </w:rPr>
        <w:t>Client</w:t>
      </w:r>
      <w:r>
        <w:t xml:space="preserve"> may enforce, or otherwise so that it requires only that the </w:t>
      </w:r>
      <w:r>
        <w:rPr>
          <w:i/>
          <w:iCs/>
        </w:rPr>
        <w:t>Client</w:t>
      </w:r>
      <w:r>
        <w:t xml:space="preserve"> must use reasonable endeavours to procure that the Former Service Provider does or does not </w:t>
      </w:r>
      <w:r>
        <w:t>act accordingly.</w:t>
      </w:r>
    </w:p>
    <w:p w14:paraId="5C852636" w14:textId="77777777" w:rsidR="007960A8" w:rsidRDefault="00A26397">
      <w:pPr>
        <w:pStyle w:val="Heading1"/>
        <w:keepNext/>
        <w:spacing w:before="120" w:after="120"/>
        <w:ind w:firstLine="220"/>
        <w:rPr>
          <w:sz w:val="36"/>
          <w:szCs w:val="36"/>
        </w:rPr>
      </w:pPr>
      <w:r>
        <w:br w:type="page"/>
      </w:r>
      <w:r>
        <w:rPr>
          <w:sz w:val="36"/>
          <w:szCs w:val="36"/>
        </w:rPr>
        <w:t>Part D: Pensions</w:t>
      </w:r>
    </w:p>
    <w:p w14:paraId="7B17BCAE" w14:textId="77777777" w:rsidR="007960A8" w:rsidRDefault="00A26397">
      <w:pPr>
        <w:spacing w:before="120" w:after="120"/>
        <w:rPr>
          <w:i/>
          <w:iCs/>
        </w:rPr>
      </w:pPr>
      <w:r>
        <w:rPr>
          <w:b/>
          <w:bCs/>
          <w:i/>
          <w:iCs/>
          <w:highlight w:val="yellow"/>
        </w:rPr>
        <w:t>[Client Guidance: You should take specific legal advice on this Part D. Please also note that this Part D is drafted to reflect the requirements of New Fair Deal. Accordingly, where a contracting authority is a best value authority it will be subject to th</w:t>
      </w:r>
      <w:r>
        <w:rPr>
          <w:b/>
          <w:bCs/>
          <w:i/>
          <w:iCs/>
          <w:highlight w:val="yellow"/>
        </w:rPr>
        <w:t>e requirements of the Best Value Authorities Staff Transfers (Pensions) Direction 2007 (or the Welsh Authorities Staff Transfers (Pensions) Direction 2012 if appropriate) and should take further specific legal advice to ensure compliance with those Directi</w:t>
      </w:r>
      <w:r>
        <w:rPr>
          <w:b/>
          <w:bCs/>
          <w:i/>
          <w:iCs/>
          <w:highlight w:val="yellow"/>
        </w:rPr>
        <w:t>ons.]</w:t>
      </w:r>
      <w:r>
        <w:rPr>
          <w:b/>
          <w:bCs/>
          <w:i/>
          <w:iCs/>
        </w:rPr>
        <w:t xml:space="preserve">  </w:t>
      </w:r>
    </w:p>
    <w:p w14:paraId="58AE61F6"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color w:val="000000"/>
        </w:rPr>
        <w:t>Definitions</w:t>
      </w:r>
    </w:p>
    <w:p w14:paraId="34F0F2DC" w14:textId="77777777" w:rsidR="007960A8" w:rsidRDefault="00A26397">
      <w:pPr>
        <w:keepNext/>
        <w:spacing w:before="120" w:after="120"/>
        <w:ind w:left="426"/>
      </w:pPr>
      <w:r>
        <w:t>In this Part D and Part E, the following words have the following meanings and they shall supplement the additional defined terms in clause 11.3, and shall be deemed to include the definitions set out in the Annexes to this Part D:</w:t>
      </w:r>
    </w:p>
    <w:tbl>
      <w:tblPr>
        <w:tblStyle w:val="a4"/>
        <w:tblW w:w="9026" w:type="dxa"/>
        <w:tblInd w:w="-115" w:type="dxa"/>
        <w:tblLayout w:type="fixed"/>
        <w:tblLook w:val="0400" w:firstRow="0" w:lastRow="0" w:firstColumn="0" w:lastColumn="0" w:noHBand="0" w:noVBand="1"/>
      </w:tblPr>
      <w:tblGrid>
        <w:gridCol w:w="3404"/>
        <w:gridCol w:w="5622"/>
      </w:tblGrid>
      <w:tr w:rsidR="007960A8" w14:paraId="25FCC4FD" w14:textId="77777777">
        <w:tc>
          <w:tcPr>
            <w:tcW w:w="3404" w:type="dxa"/>
          </w:tcPr>
          <w:p w14:paraId="1AA1A942" w14:textId="77777777" w:rsidR="007960A8" w:rsidRDefault="00A26397">
            <w:pPr>
              <w:spacing w:before="120" w:after="120"/>
              <w:ind w:left="720"/>
              <w:rPr>
                <w:b/>
                <w:bCs/>
              </w:rPr>
            </w:pPr>
            <w:r>
              <w:rPr>
                <w:b/>
                <w:bCs/>
              </w:rPr>
              <w:t>"Actuary"</w:t>
            </w:r>
          </w:p>
        </w:tc>
        <w:tc>
          <w:tcPr>
            <w:tcW w:w="5622" w:type="dxa"/>
          </w:tcPr>
          <w:p w14:paraId="46E6F974" w14:textId="77777777" w:rsidR="007960A8" w:rsidRDefault="00A26397">
            <w:pPr>
              <w:spacing w:before="120" w:after="120"/>
              <w:rPr>
                <w:color w:val="000000"/>
              </w:rPr>
            </w:pPr>
            <w:r>
              <w:rPr>
                <w:color w:val="000000"/>
              </w:rPr>
              <w:t>a Fellow of the Institute and Faculty of Actuaries;</w:t>
            </w:r>
          </w:p>
        </w:tc>
      </w:tr>
      <w:tr w:rsidR="007960A8" w14:paraId="11D96EA5" w14:textId="77777777">
        <w:tc>
          <w:tcPr>
            <w:tcW w:w="3404" w:type="dxa"/>
          </w:tcPr>
          <w:p w14:paraId="6D1DDC53" w14:textId="77777777" w:rsidR="007960A8" w:rsidRDefault="00A26397">
            <w:pPr>
              <w:spacing w:before="120" w:after="120"/>
              <w:ind w:left="720"/>
              <w:rPr>
                <w:b/>
                <w:bCs/>
              </w:rPr>
            </w:pPr>
            <w:r>
              <w:rPr>
                <w:b/>
                <w:bCs/>
              </w:rPr>
              <w:t>"Admission Agreement"</w:t>
            </w:r>
          </w:p>
        </w:tc>
        <w:tc>
          <w:tcPr>
            <w:tcW w:w="5622" w:type="dxa"/>
          </w:tcPr>
          <w:p w14:paraId="2D9A41C2" w14:textId="77777777" w:rsidR="007960A8" w:rsidRDefault="00A26397">
            <w:pPr>
              <w:spacing w:before="120" w:after="120"/>
            </w:pPr>
            <w:r>
              <w:t>either or both of the CSPS Admission Agreement (as defined in Annex D1: CSPS) or the LGPS Admission Agreement (as defined in Annex D3: LGPS), as the context requires;</w:t>
            </w:r>
          </w:p>
        </w:tc>
      </w:tr>
      <w:tr w:rsidR="007960A8" w14:paraId="0657AA00" w14:textId="77777777">
        <w:tc>
          <w:tcPr>
            <w:tcW w:w="3404" w:type="dxa"/>
          </w:tcPr>
          <w:p w14:paraId="5D766823" w14:textId="77777777" w:rsidR="007960A8" w:rsidRDefault="00A26397">
            <w:pPr>
              <w:spacing w:before="120" w:after="120"/>
              <w:ind w:left="720"/>
              <w:rPr>
                <w:b/>
                <w:bCs/>
              </w:rPr>
            </w:pPr>
            <w:r>
              <w:rPr>
                <w:b/>
                <w:bCs/>
              </w:rPr>
              <w:t>“Be</w:t>
            </w:r>
            <w:r>
              <w:rPr>
                <w:b/>
                <w:bCs/>
              </w:rPr>
              <w:t>st Value Direction”</w:t>
            </w:r>
          </w:p>
        </w:tc>
        <w:tc>
          <w:tcPr>
            <w:tcW w:w="5622" w:type="dxa"/>
          </w:tcPr>
          <w:p w14:paraId="2285E966" w14:textId="77777777" w:rsidR="007960A8" w:rsidRDefault="00A26397">
            <w:pPr>
              <w:spacing w:before="120" w:after="120"/>
            </w:pPr>
            <w:r>
              <w:t>the Best Value Authorities Staff Transfers (Pensions) Direction 2007 or the Welsh Authorities Staff Transfers (Pensions) Direction 2012 (as appropriate);</w:t>
            </w:r>
          </w:p>
        </w:tc>
      </w:tr>
      <w:tr w:rsidR="007960A8" w14:paraId="63DD0A51" w14:textId="77777777">
        <w:tc>
          <w:tcPr>
            <w:tcW w:w="3404" w:type="dxa"/>
          </w:tcPr>
          <w:p w14:paraId="6C218176" w14:textId="77777777" w:rsidR="007960A8" w:rsidRDefault="00A26397">
            <w:pPr>
              <w:spacing w:before="120" w:after="120"/>
              <w:ind w:left="720"/>
              <w:rPr>
                <w:b/>
                <w:bCs/>
              </w:rPr>
            </w:pPr>
            <w:r>
              <w:rPr>
                <w:b/>
                <w:bCs/>
              </w:rPr>
              <w:t>"Broadly Comparable"</w:t>
            </w:r>
          </w:p>
        </w:tc>
        <w:tc>
          <w:tcPr>
            <w:tcW w:w="5622" w:type="dxa"/>
          </w:tcPr>
          <w:p w14:paraId="5C70864C" w14:textId="77777777" w:rsidR="007960A8" w:rsidRDefault="00A26397">
            <w:pPr>
              <w:numPr>
                <w:ilvl w:val="0"/>
                <w:numId w:val="72"/>
              </w:numPr>
              <w:spacing w:before="120" w:after="120"/>
              <w:ind w:left="691" w:hanging="648"/>
            </w:pPr>
            <w:r>
              <w:t>in respect of a pension scheme, a status satisfying the condition that there are no identifiable employees who will suffer material detriment overall in terms of future accrual of pension benefits as assessed in accordance with Annex A of New Fair Deal and</w:t>
            </w:r>
            <w:r>
              <w:t xml:space="preserve"> demonstrated by the issue by the Government Actuary’s Department of a broad comparability certificate; and/or</w:t>
            </w:r>
          </w:p>
        </w:tc>
      </w:tr>
      <w:tr w:rsidR="007960A8" w14:paraId="2526689D" w14:textId="77777777">
        <w:tc>
          <w:tcPr>
            <w:tcW w:w="3404" w:type="dxa"/>
          </w:tcPr>
          <w:p w14:paraId="31E1B72B" w14:textId="77777777" w:rsidR="007960A8" w:rsidRDefault="007960A8">
            <w:pPr>
              <w:spacing w:before="120" w:after="120"/>
              <w:ind w:left="720"/>
              <w:rPr>
                <w:b/>
                <w:bCs/>
              </w:rPr>
            </w:pPr>
          </w:p>
        </w:tc>
        <w:tc>
          <w:tcPr>
            <w:tcW w:w="5622" w:type="dxa"/>
          </w:tcPr>
          <w:p w14:paraId="3B3CBC1F" w14:textId="77777777" w:rsidR="007960A8" w:rsidRDefault="00A26397">
            <w:pPr>
              <w:numPr>
                <w:ilvl w:val="0"/>
                <w:numId w:val="72"/>
              </w:numPr>
              <w:spacing w:before="120" w:after="120"/>
              <w:ind w:left="695" w:hanging="646"/>
            </w:pPr>
            <w:r>
              <w:t>in respect of benefits provided for or in respect of a member under a pension scheme, benefits that are consistent with that pension scheme’s c</w:t>
            </w:r>
            <w:r>
              <w:t>ertificate of broad comparability issued by the Government Actuary’s Department,</w:t>
            </w:r>
          </w:p>
          <w:p w14:paraId="2409C063" w14:textId="77777777" w:rsidR="007960A8" w:rsidRDefault="00A26397">
            <w:pPr>
              <w:spacing w:before="120" w:after="120"/>
            </w:pPr>
            <w:r>
              <w:t>and "</w:t>
            </w:r>
            <w:r>
              <w:rPr>
                <w:b/>
                <w:bCs/>
              </w:rPr>
              <w:t>Broad Comparability</w:t>
            </w:r>
            <w:r>
              <w:t>" shall be construed accordingly;</w:t>
            </w:r>
          </w:p>
        </w:tc>
      </w:tr>
      <w:tr w:rsidR="007960A8" w14:paraId="29724729" w14:textId="77777777">
        <w:tc>
          <w:tcPr>
            <w:tcW w:w="3404" w:type="dxa"/>
          </w:tcPr>
          <w:p w14:paraId="4D880FEC" w14:textId="77777777" w:rsidR="007960A8" w:rsidRDefault="00A26397">
            <w:pPr>
              <w:spacing w:before="120" w:after="120"/>
              <w:ind w:left="720"/>
              <w:rPr>
                <w:b/>
                <w:bCs/>
              </w:rPr>
            </w:pPr>
            <w:r>
              <w:rPr>
                <w:b/>
                <w:bCs/>
              </w:rPr>
              <w:t>"CSPS"</w:t>
            </w:r>
          </w:p>
        </w:tc>
        <w:tc>
          <w:tcPr>
            <w:tcW w:w="5622" w:type="dxa"/>
          </w:tcPr>
          <w:p w14:paraId="77D7B61C" w14:textId="77777777" w:rsidR="007960A8" w:rsidRDefault="00A26397">
            <w:pPr>
              <w:spacing w:before="120" w:after="120"/>
            </w:pPr>
            <w:r>
              <w:t xml:space="preserve">the schemes as defined in Annex D1 to this Part D; </w:t>
            </w:r>
          </w:p>
        </w:tc>
      </w:tr>
      <w:tr w:rsidR="007960A8" w14:paraId="01B712B1" w14:textId="77777777">
        <w:tc>
          <w:tcPr>
            <w:tcW w:w="3404" w:type="dxa"/>
          </w:tcPr>
          <w:p w14:paraId="2020B475" w14:textId="77777777" w:rsidR="007960A8" w:rsidRDefault="00A26397">
            <w:pPr>
              <w:spacing w:before="120" w:after="120"/>
              <w:ind w:left="720"/>
              <w:rPr>
                <w:b/>
                <w:bCs/>
              </w:rPr>
            </w:pPr>
            <w:r>
              <w:rPr>
                <w:b/>
                <w:bCs/>
              </w:rPr>
              <w:t>“Direction Letter/Determination”</w:t>
            </w:r>
          </w:p>
        </w:tc>
        <w:tc>
          <w:tcPr>
            <w:tcW w:w="5622" w:type="dxa"/>
          </w:tcPr>
          <w:p w14:paraId="21B7A7B3" w14:textId="77777777" w:rsidR="007960A8" w:rsidRDefault="00A26397">
            <w:pPr>
              <w:spacing w:before="120" w:after="120"/>
            </w:pPr>
            <w:r>
              <w:t>has the meaning in Anne</w:t>
            </w:r>
            <w:r>
              <w:t>x D2 to this Part D;</w:t>
            </w:r>
          </w:p>
          <w:p w14:paraId="1DA9448A" w14:textId="77777777" w:rsidR="007960A8" w:rsidRDefault="007960A8">
            <w:pPr>
              <w:spacing w:before="120" w:after="120"/>
            </w:pPr>
          </w:p>
        </w:tc>
      </w:tr>
      <w:tr w:rsidR="007960A8" w14:paraId="069666BF" w14:textId="77777777">
        <w:tc>
          <w:tcPr>
            <w:tcW w:w="3404" w:type="dxa"/>
          </w:tcPr>
          <w:p w14:paraId="6754B863" w14:textId="77777777" w:rsidR="007960A8" w:rsidRDefault="00A26397">
            <w:pPr>
              <w:spacing w:before="120" w:after="120"/>
              <w:ind w:left="720"/>
              <w:rPr>
                <w:b/>
                <w:bCs/>
              </w:rPr>
            </w:pPr>
            <w:r>
              <w:rPr>
                <w:b/>
                <w:bCs/>
              </w:rPr>
              <w:t xml:space="preserve">“Fair Deal Eligible “Employees” </w:t>
            </w:r>
          </w:p>
        </w:tc>
        <w:tc>
          <w:tcPr>
            <w:tcW w:w="5622" w:type="dxa"/>
          </w:tcPr>
          <w:p w14:paraId="38328EA0" w14:textId="77777777" w:rsidR="007960A8" w:rsidRDefault="00A26397">
            <w:pPr>
              <w:spacing w:before="120" w:after="120"/>
            </w:pPr>
            <w:r>
              <w:t>each of the CSPS Eligible Employees, the NHSPS Eligible Employees and/or the LGPS Eligible Employees (as applicable) (and shall include any such employee who has been admitted to and/or remains eligible to join a Broadly Comparable pension scheme at the re</w:t>
            </w:r>
            <w:r>
              <w:t>levant time in accordance with Paragraph 10 or 11 of this Part D);</w:t>
            </w:r>
          </w:p>
        </w:tc>
      </w:tr>
      <w:tr w:rsidR="007960A8" w14:paraId="4B1F057C" w14:textId="77777777">
        <w:tc>
          <w:tcPr>
            <w:tcW w:w="3404" w:type="dxa"/>
          </w:tcPr>
          <w:p w14:paraId="52F05FF6" w14:textId="77777777" w:rsidR="007960A8" w:rsidRDefault="00A26397">
            <w:pPr>
              <w:spacing w:before="120" w:after="120"/>
              <w:ind w:left="720"/>
              <w:rPr>
                <w:b/>
                <w:bCs/>
              </w:rPr>
            </w:pPr>
            <w:r>
              <w:rPr>
                <w:b/>
                <w:bCs/>
              </w:rPr>
              <w:t>"Fair Deal Employees"</w:t>
            </w:r>
          </w:p>
        </w:tc>
        <w:tc>
          <w:tcPr>
            <w:tcW w:w="5622" w:type="dxa"/>
          </w:tcPr>
          <w:p w14:paraId="6A9E5182" w14:textId="77777777" w:rsidR="007960A8" w:rsidRDefault="00A26397">
            <w:pPr>
              <w:spacing w:before="120" w:after="120"/>
            </w:pPr>
            <w:r>
              <w:t>any of:</w:t>
            </w:r>
          </w:p>
          <w:p w14:paraId="56A9CCB4" w14:textId="77777777" w:rsidR="007960A8" w:rsidRDefault="00A26397">
            <w:pPr>
              <w:numPr>
                <w:ilvl w:val="0"/>
                <w:numId w:val="71"/>
              </w:numPr>
              <w:spacing w:before="120" w:after="120"/>
              <w:ind w:left="743" w:hanging="709"/>
            </w:pPr>
            <w:r>
              <w:t xml:space="preserve">Transferring Client Employees; </w:t>
            </w:r>
          </w:p>
        </w:tc>
      </w:tr>
      <w:tr w:rsidR="007960A8" w14:paraId="3DD80BFA" w14:textId="77777777">
        <w:tc>
          <w:tcPr>
            <w:tcW w:w="3404" w:type="dxa"/>
          </w:tcPr>
          <w:p w14:paraId="002235B3" w14:textId="77777777" w:rsidR="007960A8" w:rsidRDefault="007960A8">
            <w:pPr>
              <w:spacing w:before="120" w:after="120"/>
              <w:ind w:left="720"/>
              <w:rPr>
                <w:b/>
                <w:bCs/>
              </w:rPr>
            </w:pPr>
          </w:p>
        </w:tc>
        <w:tc>
          <w:tcPr>
            <w:tcW w:w="5622" w:type="dxa"/>
          </w:tcPr>
          <w:p w14:paraId="3B72CABA" w14:textId="77777777" w:rsidR="007960A8" w:rsidRDefault="00A26397">
            <w:pPr>
              <w:numPr>
                <w:ilvl w:val="0"/>
                <w:numId w:val="71"/>
              </w:numPr>
              <w:spacing w:before="120" w:after="120"/>
              <w:ind w:left="695" w:hanging="646"/>
            </w:pPr>
            <w:r>
              <w:t xml:space="preserve">Transferring Former Service Provider Employees; </w:t>
            </w:r>
          </w:p>
        </w:tc>
      </w:tr>
      <w:tr w:rsidR="007960A8" w14:paraId="71C1ADE3" w14:textId="77777777">
        <w:tc>
          <w:tcPr>
            <w:tcW w:w="3404" w:type="dxa"/>
          </w:tcPr>
          <w:p w14:paraId="245045D9" w14:textId="77777777" w:rsidR="007960A8" w:rsidRDefault="007960A8">
            <w:pPr>
              <w:spacing w:before="120" w:after="120"/>
              <w:ind w:left="720"/>
              <w:rPr>
                <w:b/>
                <w:bCs/>
              </w:rPr>
            </w:pPr>
          </w:p>
        </w:tc>
        <w:tc>
          <w:tcPr>
            <w:tcW w:w="5622" w:type="dxa"/>
          </w:tcPr>
          <w:p w14:paraId="36944902" w14:textId="77777777" w:rsidR="007960A8" w:rsidRDefault="00A26397">
            <w:pPr>
              <w:numPr>
                <w:ilvl w:val="0"/>
                <w:numId w:val="71"/>
              </w:numPr>
              <w:spacing w:before="120" w:after="120"/>
              <w:ind w:left="695" w:hanging="646"/>
            </w:pPr>
            <w:r>
              <w:t>employees who are not Transferring Client Employees or Transferring Forme</w:t>
            </w:r>
            <w:r>
              <w:t xml:space="preserve">r Service Provider Employees but to whom the Employment Regulations apply on the Relevant Transfer Date to transfer their employment to the </w:t>
            </w:r>
            <w:r>
              <w:rPr>
                <w:i/>
                <w:iCs/>
              </w:rPr>
              <w:t>Service Provider</w:t>
            </w:r>
            <w:r>
              <w:t xml:space="preserve"> or a Subcontractor, and whose employment is not terminated in accordance with the provisions of Par</w:t>
            </w:r>
            <w:r>
              <w:t>agraphs 2.5 of Parts A or B or Paragraph 1.4 of Part C;</w:t>
            </w:r>
          </w:p>
        </w:tc>
      </w:tr>
      <w:tr w:rsidR="007960A8" w14:paraId="77C27396" w14:textId="77777777">
        <w:tc>
          <w:tcPr>
            <w:tcW w:w="3404" w:type="dxa"/>
          </w:tcPr>
          <w:p w14:paraId="2E38C757" w14:textId="77777777" w:rsidR="007960A8" w:rsidRDefault="007960A8">
            <w:pPr>
              <w:keepNext/>
              <w:spacing w:before="120" w:after="120"/>
              <w:ind w:left="720"/>
              <w:rPr>
                <w:b/>
                <w:bCs/>
              </w:rPr>
            </w:pPr>
          </w:p>
        </w:tc>
        <w:tc>
          <w:tcPr>
            <w:tcW w:w="5622" w:type="dxa"/>
          </w:tcPr>
          <w:p w14:paraId="53442168" w14:textId="77777777" w:rsidR="007960A8" w:rsidRDefault="00A26397">
            <w:pPr>
              <w:numPr>
                <w:ilvl w:val="0"/>
                <w:numId w:val="71"/>
              </w:numPr>
              <w:spacing w:before="120" w:after="120"/>
              <w:ind w:left="695" w:hanging="646"/>
            </w:pPr>
            <w:r>
              <w:t xml:space="preserve">where the </w:t>
            </w:r>
            <w:r>
              <w:rPr>
                <w:i/>
                <w:iCs/>
              </w:rPr>
              <w:t>Service Provider</w:t>
            </w:r>
            <w:r>
              <w:t xml:space="preserve"> or a Subcontractor was the Former Service Provider, the employees of the </w:t>
            </w:r>
            <w:r>
              <w:rPr>
                <w:i/>
                <w:iCs/>
              </w:rPr>
              <w:t>Service Provider</w:t>
            </w:r>
            <w:r>
              <w:t xml:space="preserve"> (or Subcontractor); </w:t>
            </w:r>
          </w:p>
        </w:tc>
      </w:tr>
      <w:tr w:rsidR="007960A8" w14:paraId="3F9E9582" w14:textId="77777777">
        <w:tc>
          <w:tcPr>
            <w:tcW w:w="3404" w:type="dxa"/>
          </w:tcPr>
          <w:p w14:paraId="79D93567" w14:textId="77777777" w:rsidR="007960A8" w:rsidRDefault="007960A8">
            <w:pPr>
              <w:spacing w:before="120" w:after="120"/>
              <w:ind w:left="720"/>
              <w:rPr>
                <w:b/>
                <w:bCs/>
              </w:rPr>
            </w:pPr>
          </w:p>
        </w:tc>
        <w:tc>
          <w:tcPr>
            <w:tcW w:w="5622" w:type="dxa"/>
          </w:tcPr>
          <w:p w14:paraId="1CE2B09F" w14:textId="77777777" w:rsidR="007960A8" w:rsidRDefault="00A26397">
            <w:pPr>
              <w:spacing w:before="120" w:after="120"/>
            </w:pPr>
            <w:r>
              <w:t>who at the Relevant Transfer Date are or become entitled to New Fair Deal or Best Value Direction protection in respect of any of the Statutory Schemes or a Broadly Comparable pension scheme provided in accordance with Paragraph 10 of this Part D as notifi</w:t>
            </w:r>
            <w:r>
              <w:t xml:space="preserve">ed by the </w:t>
            </w:r>
            <w:r>
              <w:rPr>
                <w:i/>
                <w:iCs/>
              </w:rPr>
              <w:t>Client</w:t>
            </w:r>
            <w:r>
              <w:t>;</w:t>
            </w:r>
          </w:p>
        </w:tc>
      </w:tr>
      <w:tr w:rsidR="007960A8" w14:paraId="3922C9B6" w14:textId="77777777">
        <w:tc>
          <w:tcPr>
            <w:tcW w:w="3404" w:type="dxa"/>
          </w:tcPr>
          <w:p w14:paraId="41DA7C96" w14:textId="77777777" w:rsidR="007960A8" w:rsidRDefault="00A26397">
            <w:pPr>
              <w:spacing w:before="120" w:after="120"/>
              <w:ind w:left="720"/>
              <w:rPr>
                <w:b/>
                <w:bCs/>
              </w:rPr>
            </w:pPr>
            <w:r>
              <w:rPr>
                <w:b/>
                <w:bCs/>
              </w:rPr>
              <w:t>"Fund Actuary"</w:t>
            </w:r>
          </w:p>
        </w:tc>
        <w:tc>
          <w:tcPr>
            <w:tcW w:w="5622" w:type="dxa"/>
          </w:tcPr>
          <w:p w14:paraId="75EA5098" w14:textId="77777777" w:rsidR="007960A8" w:rsidRDefault="00A26397">
            <w:pPr>
              <w:spacing w:before="120" w:after="120"/>
            </w:pPr>
            <w:r>
              <w:t>a Fund Actuary as defined in Annex D3 to this Part D;</w:t>
            </w:r>
          </w:p>
        </w:tc>
      </w:tr>
      <w:tr w:rsidR="007960A8" w14:paraId="6E9E7B9A" w14:textId="77777777">
        <w:tc>
          <w:tcPr>
            <w:tcW w:w="3404" w:type="dxa"/>
          </w:tcPr>
          <w:p w14:paraId="06A11394" w14:textId="77777777" w:rsidR="007960A8" w:rsidRDefault="00A26397">
            <w:pPr>
              <w:spacing w:before="120" w:after="120"/>
              <w:ind w:left="720"/>
              <w:rPr>
                <w:b/>
                <w:bCs/>
              </w:rPr>
            </w:pPr>
            <w:r>
              <w:rPr>
                <w:b/>
                <w:bCs/>
              </w:rPr>
              <w:t>"LGPS"</w:t>
            </w:r>
          </w:p>
        </w:tc>
        <w:tc>
          <w:tcPr>
            <w:tcW w:w="5622" w:type="dxa"/>
          </w:tcPr>
          <w:p w14:paraId="6C78BAAD" w14:textId="77777777" w:rsidR="007960A8" w:rsidRDefault="00A26397">
            <w:pPr>
              <w:spacing w:before="120" w:after="120"/>
            </w:pPr>
            <w:r>
              <w:t>the scheme as defined in Annex D3 to this Part D;</w:t>
            </w:r>
          </w:p>
        </w:tc>
      </w:tr>
      <w:tr w:rsidR="007960A8" w14:paraId="7CD1BF49" w14:textId="77777777">
        <w:tc>
          <w:tcPr>
            <w:tcW w:w="3404" w:type="dxa"/>
          </w:tcPr>
          <w:p w14:paraId="50F8AD6B" w14:textId="77777777" w:rsidR="007960A8" w:rsidRDefault="00A26397">
            <w:pPr>
              <w:spacing w:before="120" w:after="120"/>
              <w:ind w:left="720"/>
              <w:rPr>
                <w:b/>
                <w:bCs/>
              </w:rPr>
            </w:pPr>
            <w:r>
              <w:rPr>
                <w:b/>
                <w:bCs/>
              </w:rPr>
              <w:t>"NHSPS"</w:t>
            </w:r>
          </w:p>
        </w:tc>
        <w:tc>
          <w:tcPr>
            <w:tcW w:w="5622" w:type="dxa"/>
          </w:tcPr>
          <w:p w14:paraId="6F21C00E" w14:textId="77777777" w:rsidR="007960A8" w:rsidRDefault="00A26397">
            <w:pPr>
              <w:keepNext/>
              <w:spacing w:before="120" w:after="120"/>
            </w:pPr>
            <w:r>
              <w:t>the schemes as defined in Annex D2 to this Part D; and</w:t>
            </w:r>
          </w:p>
        </w:tc>
      </w:tr>
      <w:tr w:rsidR="007960A8" w14:paraId="4F98738E" w14:textId="77777777">
        <w:tc>
          <w:tcPr>
            <w:tcW w:w="3404" w:type="dxa"/>
          </w:tcPr>
          <w:p w14:paraId="15A44A6F" w14:textId="77777777" w:rsidR="007960A8" w:rsidRDefault="00A26397">
            <w:pPr>
              <w:spacing w:before="120" w:after="120"/>
              <w:ind w:left="720"/>
              <w:rPr>
                <w:b/>
                <w:bCs/>
              </w:rPr>
            </w:pPr>
            <w:r>
              <w:rPr>
                <w:b/>
                <w:bCs/>
              </w:rPr>
              <w:t>"Statutory Schemes"</w:t>
            </w:r>
          </w:p>
        </w:tc>
        <w:tc>
          <w:tcPr>
            <w:tcW w:w="5622" w:type="dxa"/>
          </w:tcPr>
          <w:p w14:paraId="5AC841FD" w14:textId="77777777" w:rsidR="007960A8" w:rsidRDefault="00A26397">
            <w:pPr>
              <w:spacing w:before="120" w:after="120"/>
            </w:pPr>
            <w:r>
              <w:t>the CSPS, NHSPS or LGPS.</w:t>
            </w:r>
          </w:p>
        </w:tc>
      </w:tr>
    </w:tbl>
    <w:p w14:paraId="2695F6F7"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u w:val="single"/>
        </w:rPr>
      </w:pPr>
      <w:r>
        <w:rPr>
          <w:b/>
          <w:bCs/>
          <w:color w:val="000000"/>
        </w:rPr>
        <w:t>Service Provider obligations to participate in the pension schemes</w:t>
      </w:r>
    </w:p>
    <w:p w14:paraId="6230162E"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In respect of all or any Fair Deal Employees each of Annex D1: CSPS, Annex D2: NHSPS and/or Annex D3: LGPS shall apply, as appropriate.</w:t>
      </w:r>
    </w:p>
    <w:p w14:paraId="69CFC23E"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undert</w:t>
      </w:r>
      <w:r>
        <w:rPr>
          <w:color w:val="000000"/>
        </w:rPr>
        <w:t xml:space="preserve">akes to do all such things and execute any documents (including any relevant Admission Agreement and/or Direction Letter/ Determination, if necessary) as may be required to enable the </w:t>
      </w:r>
      <w:r>
        <w:rPr>
          <w:i/>
          <w:iCs/>
          <w:color w:val="000000"/>
        </w:rPr>
        <w:t>Service Provider</w:t>
      </w:r>
      <w:r>
        <w:rPr>
          <w:color w:val="000000"/>
        </w:rPr>
        <w:t xml:space="preserve"> to participate in the appropriate Statutory Scheme in r</w:t>
      </w:r>
      <w:r>
        <w:rPr>
          <w:color w:val="000000"/>
        </w:rPr>
        <w:t>espect of the Fair Deal Employees and shall bear its own costs in such regard.</w:t>
      </w:r>
    </w:p>
    <w:p w14:paraId="625BB510"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undertakes:</w:t>
      </w:r>
    </w:p>
    <w:p w14:paraId="733E2045" w14:textId="77777777" w:rsidR="007960A8" w:rsidRDefault="00A26397">
      <w:pPr>
        <w:widowControl/>
        <w:numPr>
          <w:ilvl w:val="2"/>
          <w:numId w:val="69"/>
        </w:numPr>
        <w:pBdr>
          <w:top w:val="nil"/>
          <w:left w:val="nil"/>
          <w:bottom w:val="nil"/>
          <w:right w:val="nil"/>
          <w:between w:val="nil"/>
        </w:pBdr>
        <w:spacing w:before="120" w:after="120"/>
        <w:rPr>
          <w:color w:val="000000"/>
        </w:rPr>
      </w:pPr>
      <w:r>
        <w:rPr>
          <w:color w:val="000000"/>
        </w:rPr>
        <w:t>to pay to the Statutory Schemes all such amounts as are due under the relevant Admission Agreement and/or Direction Letter/ Determination or otherwise and shall deduct and pay to the Statutory Schemes such employee contributions as are required; and</w:t>
      </w:r>
    </w:p>
    <w:p w14:paraId="3168E1C4" w14:textId="77777777" w:rsidR="007960A8" w:rsidRDefault="00A26397">
      <w:pPr>
        <w:widowControl/>
        <w:numPr>
          <w:ilvl w:val="2"/>
          <w:numId w:val="69"/>
        </w:numPr>
        <w:pBdr>
          <w:top w:val="nil"/>
          <w:left w:val="nil"/>
          <w:bottom w:val="nil"/>
          <w:right w:val="nil"/>
          <w:between w:val="nil"/>
        </w:pBdr>
        <w:spacing w:before="120" w:after="120"/>
        <w:rPr>
          <w:color w:val="000000"/>
        </w:rPr>
      </w:pPr>
      <w:r>
        <w:rPr>
          <w:color w:val="000000"/>
        </w:rPr>
        <w:t>subjec</w:t>
      </w:r>
      <w:r>
        <w:rPr>
          <w:color w:val="000000"/>
        </w:rPr>
        <w:t>t to Paragraph 5 of Annex D3: LGPS to be fully responsible for all other costs, contributions, payments and other amounts relating to its participation in the Statutory Schemes, including for the avoidance of doubt any exit payments and the costs of provid</w:t>
      </w:r>
      <w:r>
        <w:rPr>
          <w:color w:val="000000"/>
        </w:rPr>
        <w:t>ing any bond, indemnity or guarantee required in relation to such participation.</w:t>
      </w:r>
    </w:p>
    <w:p w14:paraId="1FA9E8DB"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Where the </w:t>
      </w:r>
      <w:r>
        <w:rPr>
          <w:i/>
          <w:iCs/>
          <w:color w:val="000000"/>
        </w:rPr>
        <w:t>Service Provider</w:t>
      </w:r>
      <w:r>
        <w:rPr>
          <w:color w:val="000000"/>
        </w:rPr>
        <w:t xml:space="preserve"> is the Former Service Provider (or a Subcontractor is a Subcontractor of the Former Service Provider) and there is no Relevant Transfer of the Fair </w:t>
      </w:r>
      <w:r>
        <w:rPr>
          <w:color w:val="000000"/>
        </w:rPr>
        <w:t xml:space="preserve">Deal Employees because they remain continuously employed by the </w:t>
      </w:r>
      <w:r>
        <w:rPr>
          <w:i/>
          <w:iCs/>
          <w:color w:val="000000"/>
        </w:rPr>
        <w:t>Service Provider</w:t>
      </w:r>
      <w:r>
        <w:rPr>
          <w:color w:val="000000"/>
        </w:rPr>
        <w:t xml:space="preserve"> (or Subcontractor) at the </w:t>
      </w:r>
      <w:r>
        <w:rPr>
          <w:i/>
          <w:iCs/>
          <w:color w:val="000000"/>
        </w:rPr>
        <w:t>Starting Date</w:t>
      </w:r>
      <w:r>
        <w:rPr>
          <w:color w:val="000000"/>
        </w:rPr>
        <w:t xml:space="preserve">, this Part D and its Annexes shall be modified accordingly so that the </w:t>
      </w:r>
      <w:r>
        <w:rPr>
          <w:i/>
          <w:iCs/>
          <w:color w:val="000000"/>
        </w:rPr>
        <w:t>Service Provider</w:t>
      </w:r>
      <w:r>
        <w:rPr>
          <w:color w:val="000000"/>
        </w:rPr>
        <w:t xml:space="preserve"> (or Subcontractor) shall comply with its requir</w:t>
      </w:r>
      <w:r>
        <w:rPr>
          <w:color w:val="000000"/>
        </w:rPr>
        <w:t xml:space="preserve">ements from the </w:t>
      </w:r>
      <w:r>
        <w:rPr>
          <w:i/>
          <w:iCs/>
          <w:color w:val="000000"/>
        </w:rPr>
        <w:t>Starting Date</w:t>
      </w:r>
      <w:r>
        <w:rPr>
          <w:color w:val="000000"/>
        </w:rPr>
        <w:t xml:space="preserve"> or, where it previously provided a Broadly Comparable pension scheme, from the date it is able to close accrual of its Broadly Comparable pension scheme (following appropriate consultation and contractual changes as appropriat</w:t>
      </w:r>
      <w:r>
        <w:rPr>
          <w:color w:val="000000"/>
        </w:rPr>
        <w:t xml:space="preserve">e) if later. The </w:t>
      </w:r>
      <w:r>
        <w:rPr>
          <w:i/>
          <w:iCs/>
          <w:color w:val="000000"/>
        </w:rPr>
        <w:t>Service Provider</w:t>
      </w:r>
      <w:r>
        <w:rPr>
          <w:color w:val="000000"/>
        </w:rPr>
        <w:t xml:space="preserve"> (or Sub-contractor) shall make arrangements for a bulk transfer from its Broadly Comparable pension scheme to the relevant Statutory Scheme in accordance with the requirements of the previous contract with the </w:t>
      </w:r>
      <w:r>
        <w:rPr>
          <w:i/>
          <w:iCs/>
          <w:color w:val="000000"/>
        </w:rPr>
        <w:t>Client</w:t>
      </w:r>
      <w:r>
        <w:rPr>
          <w:color w:val="000000"/>
          <w:vertAlign w:val="superscript"/>
        </w:rPr>
        <w:footnoteReference w:id="7"/>
      </w:r>
      <w:r>
        <w:rPr>
          <w:color w:val="000000"/>
        </w:rPr>
        <w:t>.</w:t>
      </w:r>
    </w:p>
    <w:p w14:paraId="5456EC6E"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color w:val="000000"/>
        </w:rPr>
        <w:t>Service Provider obligation to provide information</w:t>
      </w:r>
    </w:p>
    <w:p w14:paraId="25B90DC1"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undertakes to the </w:t>
      </w:r>
      <w:r>
        <w:rPr>
          <w:i/>
          <w:iCs/>
          <w:color w:val="000000"/>
        </w:rPr>
        <w:t>Client:</w:t>
      </w:r>
    </w:p>
    <w:p w14:paraId="47517E21"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bookmarkStart w:id="52" w:name="_heading=h.1hmsyys" w:colFirst="0" w:colLast="0"/>
      <w:bookmarkEnd w:id="52"/>
      <w:r>
        <w:rPr>
          <w:color w:val="000000"/>
        </w:rPr>
        <w:t xml:space="preserve">to provide all information which the </w:t>
      </w:r>
      <w:r>
        <w:rPr>
          <w:i/>
          <w:iCs/>
          <w:color w:val="000000"/>
        </w:rPr>
        <w:t>Client</w:t>
      </w:r>
      <w:r>
        <w:rPr>
          <w:color w:val="000000"/>
        </w:rPr>
        <w:t xml:space="preserve"> may reasonably request concerning matters referred to in this Part D as expeditiously as possible; and</w:t>
      </w:r>
    </w:p>
    <w:p w14:paraId="1C6089BD"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not to issu</w:t>
      </w:r>
      <w:r>
        <w:rPr>
          <w:color w:val="000000"/>
        </w:rPr>
        <w:t xml:space="preserve">e any announcements to any Fair Deal Employee prior to the Relevant Transfer Date concerning the matters stated in this Part D without the consent in writing of the </w:t>
      </w:r>
      <w:r>
        <w:rPr>
          <w:i/>
          <w:iCs/>
          <w:color w:val="000000"/>
        </w:rPr>
        <w:t>Client</w:t>
      </w:r>
      <w:r>
        <w:rPr>
          <w:color w:val="000000"/>
        </w:rPr>
        <w:t xml:space="preserve"> (such consent not to be unreasonably withheld or delayed);</w:t>
      </w:r>
    </w:p>
    <w:p w14:paraId="3E90D1A8"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retain such records as wo</w:t>
      </w:r>
      <w:r>
        <w:rPr>
          <w:color w:val="000000"/>
        </w:rPr>
        <w:t>uld be necessary to manage the pension aspects in relation to any current or former Fair Deal Eligible Employees arising on expiry or termination of the relevant Contract.</w:t>
      </w:r>
    </w:p>
    <w:p w14:paraId="54C7E422"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color w:val="000000"/>
        </w:rPr>
        <w:t>Indemnities the Service Provider must give</w:t>
      </w:r>
    </w:p>
    <w:p w14:paraId="1387DED8"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indemnify and keep indemnified [</w:t>
      </w:r>
      <w:r>
        <w:rPr>
          <w:color w:val="000000"/>
          <w:highlight w:val="yellow"/>
        </w:rPr>
        <w:t>NHS Pensions</w:t>
      </w:r>
      <w:r>
        <w:rPr>
          <w:color w:val="000000"/>
        </w:rPr>
        <w:t xml:space="preserve">], the </w:t>
      </w:r>
      <w:r>
        <w:rPr>
          <w:i/>
          <w:iCs/>
          <w:color w:val="000000"/>
        </w:rPr>
        <w:t xml:space="preserve">Client </w:t>
      </w:r>
      <w:r>
        <w:rPr>
          <w:color w:val="000000"/>
        </w:rPr>
        <w:t xml:space="preserve">and/or any Replacement Service Provider and/or any Replacement Subcontractor on demand from and against all and any Losses whatsoever suffered or incurred by it or them which: </w:t>
      </w:r>
    </w:p>
    <w:p w14:paraId="5E7CCCEC"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arise out of o</w:t>
      </w:r>
      <w:r>
        <w:rPr>
          <w:color w:val="000000"/>
        </w:rPr>
        <w:t xml:space="preserve">r in connection with any liability towards all and any Fair Deal Employees arising in respect of service on or after the Relevant Transfer Date which arise from any breach by the </w:t>
      </w:r>
      <w:r>
        <w:rPr>
          <w:i/>
          <w:iCs/>
          <w:color w:val="000000"/>
        </w:rPr>
        <w:t>Service Provider</w:t>
      </w:r>
      <w:r>
        <w:rPr>
          <w:color w:val="000000"/>
        </w:rPr>
        <w:t xml:space="preserve"> of this Part D, and/or the CSPS Admission Agreement and/or t</w:t>
      </w:r>
      <w:r>
        <w:rPr>
          <w:color w:val="000000"/>
        </w:rPr>
        <w:t xml:space="preserve">he Direction Letter/Determination and/or the LGPS Admission Agreement; </w:t>
      </w:r>
    </w:p>
    <w:p w14:paraId="74CE6C5F"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relate to the payment of benefits under and/or participation in a pension scheme (as defined in section 150(1) Finance Act 2004) provided by the </w:t>
      </w:r>
      <w:r>
        <w:rPr>
          <w:i/>
          <w:iCs/>
          <w:color w:val="000000"/>
        </w:rPr>
        <w:t>Service Provider</w:t>
      </w:r>
      <w:r>
        <w:rPr>
          <w:color w:val="000000"/>
        </w:rPr>
        <w:t xml:space="preserve"> or a Subcontractor on </w:t>
      </w:r>
      <w:r>
        <w:rPr>
          <w:color w:val="000000"/>
        </w:rPr>
        <w:t xml:space="preserve">and after the Relevant Transfer Date until the date of termination or expiry of the relevant Contract, including the Statutory Schemes or any Broadly Comparable pension scheme provided in accordance with Paragraphs 10 or 11 of this Part D; </w:t>
      </w:r>
    </w:p>
    <w:p w14:paraId="2E207545"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relate to claim</w:t>
      </w:r>
      <w:r>
        <w:rPr>
          <w:color w:val="000000"/>
        </w:rPr>
        <w:t xml:space="preserve">s by Fair Deal Employees of the </w:t>
      </w:r>
      <w:r>
        <w:rPr>
          <w:i/>
          <w:iCs/>
          <w:color w:val="000000"/>
        </w:rPr>
        <w:t>Service Provider</w:t>
      </w:r>
      <w:r>
        <w:rPr>
          <w:color w:val="000000"/>
        </w:rPr>
        <w:t xml:space="preserve"> and/or of any Subcontractor or by any trade unions, elected employee representatives or staff associations in respect of all or any such Fair Deal Employees which Losses:</w:t>
      </w:r>
    </w:p>
    <w:p w14:paraId="2E3F9C2D" w14:textId="77777777" w:rsidR="007960A8" w:rsidRDefault="00A26397">
      <w:pPr>
        <w:widowControl/>
        <w:numPr>
          <w:ilvl w:val="3"/>
          <w:numId w:val="69"/>
        </w:numPr>
        <w:pBdr>
          <w:top w:val="nil"/>
          <w:left w:val="nil"/>
          <w:bottom w:val="nil"/>
          <w:right w:val="nil"/>
          <w:between w:val="nil"/>
        </w:pBdr>
        <w:spacing w:before="120" w:after="120"/>
        <w:ind w:left="2835" w:hanging="850"/>
        <w:rPr>
          <w:color w:val="000000"/>
        </w:rPr>
      </w:pPr>
      <w:bookmarkStart w:id="53" w:name="_heading=h.2grqrue" w:colFirst="0" w:colLast="0"/>
      <w:bookmarkEnd w:id="53"/>
      <w:r>
        <w:rPr>
          <w:color w:val="000000"/>
        </w:rPr>
        <w:t>relate to any rights to benefits und</w:t>
      </w:r>
      <w:r>
        <w:rPr>
          <w:color w:val="000000"/>
        </w:rPr>
        <w:t>er a pension scheme (as defined in section 150(1) Finance Act 2004) in respect of periods of employment on and after the Relevant Transfer Date until the date of termination or expiry of the relevant Contract; or</w:t>
      </w:r>
    </w:p>
    <w:p w14:paraId="59574875" w14:textId="77777777" w:rsidR="007960A8" w:rsidRDefault="00A26397">
      <w:pPr>
        <w:widowControl/>
        <w:numPr>
          <w:ilvl w:val="3"/>
          <w:numId w:val="69"/>
        </w:numPr>
        <w:pBdr>
          <w:top w:val="nil"/>
          <w:left w:val="nil"/>
          <w:bottom w:val="nil"/>
          <w:right w:val="nil"/>
          <w:between w:val="nil"/>
        </w:pBdr>
        <w:spacing w:before="120" w:after="120"/>
        <w:ind w:left="2835" w:hanging="850"/>
        <w:rPr>
          <w:color w:val="000000"/>
        </w:rPr>
      </w:pPr>
      <w:bookmarkStart w:id="54" w:name="_heading=h.vx1227" w:colFirst="0" w:colLast="0"/>
      <w:bookmarkEnd w:id="54"/>
      <w:r>
        <w:rPr>
          <w:color w:val="000000"/>
        </w:rPr>
        <w:t xml:space="preserve">arise out of the failure of the </w:t>
      </w:r>
      <w:r>
        <w:rPr>
          <w:i/>
          <w:iCs/>
          <w:color w:val="000000"/>
        </w:rPr>
        <w:t>Service Pro</w:t>
      </w:r>
      <w:r>
        <w:rPr>
          <w:i/>
          <w:iCs/>
          <w:color w:val="000000"/>
        </w:rPr>
        <w:t>vider</w:t>
      </w:r>
      <w:r>
        <w:rPr>
          <w:color w:val="000000"/>
        </w:rPr>
        <w:t xml:space="preserve"> and/or any relevant Subcontractor to comply with the provisions of this Part D before the date of termination or expiry of the relevant Contract; and/or</w:t>
      </w:r>
    </w:p>
    <w:p w14:paraId="04838FBE"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arise out of or in connection with the </w:t>
      </w:r>
      <w:r>
        <w:rPr>
          <w:i/>
          <w:iCs/>
          <w:color w:val="000000"/>
        </w:rPr>
        <w:t>Service Provider</w:t>
      </w:r>
      <w:r>
        <w:rPr>
          <w:color w:val="000000"/>
        </w:rPr>
        <w:t xml:space="preserve"> (or its Subcontractor) allowing anyone wh</w:t>
      </w:r>
      <w:r>
        <w:rPr>
          <w:color w:val="000000"/>
        </w:rPr>
        <w:t>o is not an NHSPS Fair Deal Employee to join or claim membership of the NHSPS at any time during the s</w:t>
      </w:r>
      <w:r>
        <w:rPr>
          <w:i/>
          <w:iCs/>
          <w:color w:val="000000"/>
        </w:rPr>
        <w:t>ervice period</w:t>
      </w:r>
      <w:r>
        <w:rPr>
          <w:color w:val="000000"/>
        </w:rPr>
        <w:t>.</w:t>
      </w:r>
    </w:p>
    <w:p w14:paraId="462E1A54"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The indemnities in this Part D and its Annexes:</w:t>
      </w:r>
    </w:p>
    <w:p w14:paraId="71B4EC18"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shall survive termination of the relevant Contract; and</w:t>
      </w:r>
    </w:p>
    <w:p w14:paraId="44D23DEB"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shall not be affected by any caps on liability contained in the Contract.</w:t>
      </w:r>
    </w:p>
    <w:p w14:paraId="509E3B1C"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color w:val="000000"/>
        </w:rPr>
        <w:t>What happens if there is a dispute</w:t>
      </w:r>
    </w:p>
    <w:p w14:paraId="614E79BC"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Dispute Resolution Procedure will not apply to any dispute (i) between the </w:t>
      </w:r>
      <w:r>
        <w:rPr>
          <w:i/>
          <w:iCs/>
          <w:color w:val="000000"/>
        </w:rPr>
        <w:t>Client</w:t>
      </w:r>
      <w:r>
        <w:rPr>
          <w:color w:val="000000"/>
        </w:rPr>
        <w:t xml:space="preserve"> and/o</w:t>
      </w:r>
      <w:r>
        <w:rPr>
          <w:color w:val="000000"/>
        </w:rPr>
        <w:t xml:space="preserve">r the </w:t>
      </w:r>
      <w:r>
        <w:rPr>
          <w:i/>
          <w:iCs/>
          <w:color w:val="000000"/>
        </w:rPr>
        <w:t>Service Provider</w:t>
      </w:r>
      <w:r>
        <w:rPr>
          <w:color w:val="000000"/>
        </w:rPr>
        <w:t xml:space="preserve"> or (ii) between their respective actuaries and/or the Fund Actuary about any of the actuarial matters referred to in this Part D and its Annexes shall in the absence of agreement between the </w:t>
      </w:r>
      <w:r>
        <w:rPr>
          <w:i/>
          <w:iCs/>
          <w:color w:val="000000"/>
        </w:rPr>
        <w:t>Client</w:t>
      </w:r>
      <w:r>
        <w:rPr>
          <w:color w:val="000000"/>
        </w:rPr>
        <w:t xml:space="preserve"> and/or the </w:t>
      </w:r>
      <w:r>
        <w:rPr>
          <w:i/>
          <w:iCs/>
          <w:color w:val="000000"/>
        </w:rPr>
        <w:t>Service Provider</w:t>
      </w:r>
      <w:r>
        <w:rPr>
          <w:color w:val="000000"/>
        </w:rPr>
        <w:t xml:space="preserve"> be refe</w:t>
      </w:r>
      <w:r>
        <w:rPr>
          <w:color w:val="000000"/>
        </w:rPr>
        <w:t xml:space="preserve">rred to an independent Actuary: </w:t>
      </w:r>
    </w:p>
    <w:p w14:paraId="1AA115F6"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who will act as an expert and not as an arbitrator; </w:t>
      </w:r>
    </w:p>
    <w:p w14:paraId="30D45117"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whose decision will be final and binding the </w:t>
      </w:r>
      <w:r>
        <w:rPr>
          <w:i/>
          <w:iCs/>
          <w:color w:val="000000"/>
        </w:rPr>
        <w:t>Client</w:t>
      </w:r>
      <w:r>
        <w:rPr>
          <w:color w:val="000000"/>
        </w:rPr>
        <w:t xml:space="preserve"> and/or the </w:t>
      </w:r>
      <w:r>
        <w:rPr>
          <w:i/>
          <w:iCs/>
          <w:color w:val="000000"/>
        </w:rPr>
        <w:t>Service Provider</w:t>
      </w:r>
      <w:r>
        <w:rPr>
          <w:color w:val="000000"/>
        </w:rPr>
        <w:t xml:space="preserve">; and </w:t>
      </w:r>
    </w:p>
    <w:p w14:paraId="5C37A736"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whose expenses shall be borne equally by the </w:t>
      </w:r>
      <w:r>
        <w:rPr>
          <w:i/>
          <w:iCs/>
          <w:color w:val="000000"/>
        </w:rPr>
        <w:t>Client</w:t>
      </w:r>
      <w:r>
        <w:rPr>
          <w:color w:val="000000"/>
        </w:rPr>
        <w:t xml:space="preserve"> and/or the </w:t>
      </w:r>
      <w:r>
        <w:rPr>
          <w:i/>
          <w:iCs/>
          <w:color w:val="000000"/>
        </w:rPr>
        <w:t>Service Provider</w:t>
      </w:r>
      <w:r>
        <w:rPr>
          <w:color w:val="000000"/>
        </w:rPr>
        <w:t xml:space="preserve"> unless the independent Actuary shall otherwise direct.</w:t>
      </w:r>
    </w:p>
    <w:p w14:paraId="5E16A3DF" w14:textId="77777777" w:rsidR="007960A8" w:rsidRDefault="00A26397">
      <w:pPr>
        <w:keepNext/>
        <w:pBdr>
          <w:top w:val="nil"/>
          <w:left w:val="nil"/>
          <w:bottom w:val="nil"/>
          <w:right w:val="nil"/>
          <w:between w:val="nil"/>
        </w:pBdr>
        <w:spacing w:before="120" w:after="120"/>
        <w:ind w:left="1134"/>
        <w:rPr>
          <w:color w:val="000000"/>
        </w:rPr>
      </w:pPr>
      <w:r>
        <w:rPr>
          <w:color w:val="000000"/>
        </w:rPr>
        <w:t>The independent Actuary shall be agreed by the Parties or, failing such agreement the independent Actuary shall be appoin</w:t>
      </w:r>
      <w:r>
        <w:rPr>
          <w:color w:val="000000"/>
        </w:rPr>
        <w:t xml:space="preserve">ted by the President for the time being of the Institute and Faculty of Actuaries on the application by the Parties. </w:t>
      </w:r>
    </w:p>
    <w:p w14:paraId="25999960"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smallCaps/>
          <w:color w:val="000000"/>
        </w:rPr>
      </w:pPr>
      <w:r>
        <w:rPr>
          <w:b/>
          <w:bCs/>
          <w:color w:val="000000"/>
        </w:rPr>
        <w:t>Other people’s rights</w:t>
      </w:r>
    </w:p>
    <w:p w14:paraId="109DB8EA"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The Parties agree secondary option Y(UK)3 applies and that the Contract Rights of Third Parties Act 1999 (“CRPTA”) applies to this Part D to the extent necessary to ensure that any Fair Deal Employee will have the right to enforce any obligation owed to hi</w:t>
      </w:r>
      <w:r>
        <w:rPr>
          <w:color w:val="000000"/>
        </w:rPr>
        <w:t xml:space="preserve">m or her or it by the </w:t>
      </w:r>
      <w:r>
        <w:rPr>
          <w:i/>
          <w:iCs/>
          <w:color w:val="000000"/>
        </w:rPr>
        <w:t>Service Provider</w:t>
      </w:r>
      <w:r>
        <w:rPr>
          <w:color w:val="000000"/>
        </w:rPr>
        <w:t xml:space="preserve"> under this Part D, in his or her or its own right under section 1(1) of the CRTPA. </w:t>
      </w:r>
    </w:p>
    <w:p w14:paraId="0DCBB5F6" w14:textId="77777777" w:rsidR="007960A8" w:rsidRDefault="00A26397">
      <w:pPr>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Further, the </w:t>
      </w:r>
      <w:r>
        <w:rPr>
          <w:i/>
          <w:iCs/>
          <w:color w:val="000000"/>
        </w:rPr>
        <w:t>Service Provider</w:t>
      </w:r>
      <w:r>
        <w:rPr>
          <w:color w:val="000000"/>
        </w:rPr>
        <w:t xml:space="preserve"> must ensure that the CRTPA will apply to any Sub-Contract to the extent necessary to ensure that any Fair Deal Employee will have the right to enforce any obligation owed to them by the Subcontractor in his or her or its own right under section 1(1) of th</w:t>
      </w:r>
      <w:r>
        <w:rPr>
          <w:color w:val="000000"/>
        </w:rPr>
        <w:t>e CRTPA.</w:t>
      </w:r>
    </w:p>
    <w:p w14:paraId="5B1066BF"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smallCaps/>
          <w:color w:val="000000"/>
        </w:rPr>
      </w:pPr>
      <w:r>
        <w:rPr>
          <w:b/>
          <w:bCs/>
          <w:color w:val="000000"/>
        </w:rPr>
        <w:t>What happens if there is a breach of this Part D</w:t>
      </w:r>
    </w:p>
    <w:p w14:paraId="1F429910"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agrees to notify the </w:t>
      </w:r>
      <w:r>
        <w:rPr>
          <w:i/>
          <w:iCs/>
          <w:color w:val="000000"/>
        </w:rPr>
        <w:t>Client</w:t>
      </w:r>
      <w:r>
        <w:rPr>
          <w:color w:val="000000"/>
        </w:rPr>
        <w:t xml:space="preserve"> should it breach any obligations it has under this Part D and agrees that the </w:t>
      </w:r>
      <w:r>
        <w:rPr>
          <w:i/>
          <w:iCs/>
          <w:color w:val="000000"/>
        </w:rPr>
        <w:t>Client</w:t>
      </w:r>
      <w:r>
        <w:rPr>
          <w:color w:val="000000"/>
        </w:rPr>
        <w:t xml:space="preserve"> shall be entitled to terminate its Contract for material Default</w:t>
      </w:r>
      <w:r>
        <w:rPr>
          <w:color w:val="000000"/>
        </w:rPr>
        <w:t xml:space="preserve"> in the event that the </w:t>
      </w:r>
      <w:r>
        <w:rPr>
          <w:i/>
          <w:iCs/>
          <w:color w:val="000000"/>
        </w:rPr>
        <w:t>Service Provider</w:t>
      </w:r>
      <w:r>
        <w:rPr>
          <w:color w:val="000000"/>
        </w:rPr>
        <w:t>:</w:t>
      </w:r>
    </w:p>
    <w:p w14:paraId="58F6AEF6"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commits an irremediable breach of any provision or obligation it has under this Part D; or</w:t>
      </w:r>
    </w:p>
    <w:p w14:paraId="0AA2FD65"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commits a breach of any provision or obligation it has under this Part D which, where capable of remedy, it fails to remedy within a reasonable time and in any event within 28 days of the date of a notice from the </w:t>
      </w:r>
      <w:r>
        <w:rPr>
          <w:i/>
          <w:iCs/>
          <w:color w:val="000000"/>
        </w:rPr>
        <w:t>Client</w:t>
      </w:r>
      <w:r>
        <w:rPr>
          <w:color w:val="000000"/>
        </w:rPr>
        <w:t xml:space="preserve"> giving particulars of the breach an</w:t>
      </w:r>
      <w:r>
        <w:rPr>
          <w:color w:val="000000"/>
        </w:rPr>
        <w:t xml:space="preserve">d requiring the </w:t>
      </w:r>
      <w:r>
        <w:rPr>
          <w:i/>
          <w:iCs/>
          <w:color w:val="000000"/>
        </w:rPr>
        <w:t>Service Provider</w:t>
      </w:r>
      <w:r>
        <w:rPr>
          <w:color w:val="000000"/>
        </w:rPr>
        <w:t xml:space="preserve"> to remedy it.</w:t>
      </w:r>
    </w:p>
    <w:p w14:paraId="29DFBFFE"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smallCaps/>
          <w:color w:val="000000"/>
        </w:rPr>
      </w:pPr>
      <w:r>
        <w:rPr>
          <w:b/>
          <w:bCs/>
          <w:color w:val="000000"/>
        </w:rPr>
        <w:t>Transferring Fair Deal Employees</w:t>
      </w:r>
    </w:p>
    <w:p w14:paraId="07D544E0"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Save on expiry or termination of the relevant Contract, if the employment of any Fair Deal Eligible Employee transfers to another employer (by way of a transfer under the Emplo</w:t>
      </w:r>
      <w:r>
        <w:rPr>
          <w:color w:val="000000"/>
        </w:rPr>
        <w:t xml:space="preserve">yment Regulations or other form of compulsory transfer of employment) the </w:t>
      </w:r>
      <w:r>
        <w:rPr>
          <w:i/>
          <w:iCs/>
          <w:color w:val="000000"/>
        </w:rPr>
        <w:t>Service Provider</w:t>
      </w:r>
      <w:r>
        <w:rPr>
          <w:color w:val="000000"/>
        </w:rPr>
        <w:t xml:space="preserve"> shall or shall procure that any relevant Subcontractor shall:</w:t>
      </w:r>
    </w:p>
    <w:p w14:paraId="1BBFF16F"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notify the </w:t>
      </w:r>
      <w:r>
        <w:rPr>
          <w:i/>
          <w:iCs/>
          <w:color w:val="000000"/>
        </w:rPr>
        <w:t>Client</w:t>
      </w:r>
      <w:r>
        <w:rPr>
          <w:color w:val="000000"/>
        </w:rPr>
        <w:t xml:space="preserve"> as far as reasonably practicable in advance of the transfer to allow the </w:t>
      </w:r>
      <w:r>
        <w:rPr>
          <w:i/>
          <w:iCs/>
          <w:color w:val="000000"/>
        </w:rPr>
        <w:t>Client</w:t>
      </w:r>
      <w:r>
        <w:rPr>
          <w:color w:val="000000"/>
        </w:rPr>
        <w:t xml:space="preserve"> to ma</w:t>
      </w:r>
      <w:r>
        <w:rPr>
          <w:color w:val="000000"/>
        </w:rPr>
        <w:t>ke the necessary arrangements for participation with the relevant Statutory Scheme(s);</w:t>
      </w:r>
    </w:p>
    <w:p w14:paraId="2D9E01AC"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consult with about, and inform those Fair Deal Eligible Employees of the pension provisions relating to that transfer; and</w:t>
      </w:r>
    </w:p>
    <w:p w14:paraId="21B2EEDD"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procure that the employer to which the Fair De</w:t>
      </w:r>
      <w:r>
        <w:rPr>
          <w:color w:val="000000"/>
        </w:rPr>
        <w:t>al Eligible Employees are transferred (the </w:t>
      </w:r>
      <w:r>
        <w:rPr>
          <w:b/>
          <w:bCs/>
          <w:color w:val="000000"/>
        </w:rPr>
        <w:t>"New Employer"</w:t>
      </w:r>
      <w:r>
        <w:rPr>
          <w:color w:val="000000"/>
        </w:rPr>
        <w:t>) complies with the provisions of this Part D and its Annexes provided that references to the "</w:t>
      </w:r>
      <w:r>
        <w:rPr>
          <w:i/>
          <w:iCs/>
          <w:color w:val="000000"/>
        </w:rPr>
        <w:t>Service Provider</w:t>
      </w:r>
      <w:r>
        <w:rPr>
          <w:color w:val="000000"/>
        </w:rPr>
        <w:t>" will become references to the New Employer, references to "Relevant Transfer Date" wil</w:t>
      </w:r>
      <w:r>
        <w:rPr>
          <w:color w:val="000000"/>
        </w:rPr>
        <w:t>l become references to the date of the transfer to the New Employer and references to "Fair Deal Employees" will become references to the Fair Deal Eligible Employees so transferred to the New Employer.</w:t>
      </w:r>
    </w:p>
    <w:p w14:paraId="688263C8"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smallCaps/>
          <w:color w:val="000000"/>
        </w:rPr>
      </w:pPr>
      <w:r>
        <w:rPr>
          <w:b/>
          <w:bCs/>
          <w:smallCaps/>
          <w:color w:val="000000"/>
        </w:rPr>
        <w:t>W</w:t>
      </w:r>
      <w:r>
        <w:rPr>
          <w:b/>
          <w:bCs/>
          <w:color w:val="000000"/>
        </w:rPr>
        <w:t>hat happens to pensions if the Contract ends</w:t>
      </w:r>
    </w:p>
    <w:p w14:paraId="6D3AE524"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The provisions of Part E: Staff Transfer On Exit (Mandatory) apply in relation to pension issues on expiry or termination of the relevant Contract.</w:t>
      </w:r>
    </w:p>
    <w:p w14:paraId="07758F17"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 shall procure that any of its S</w:t>
      </w:r>
      <w:r>
        <w:rPr>
          <w:color w:val="000000"/>
        </w:rPr>
        <w:t xml:space="preserve">ubcontractors shall) prior to the termination of the relevant Contract provide all such co-operation and assistance (including co-operation and assistance from the Broadly Comparable pension scheme’s Actuary) as the Replacement Service Provider and/or NHS </w:t>
      </w:r>
      <w:r>
        <w:rPr>
          <w:color w:val="000000"/>
        </w:rPr>
        <w:t xml:space="preserve">Pension and/or CSPS and/or the relevant Administering Client and/or the </w:t>
      </w:r>
      <w:r>
        <w:rPr>
          <w:i/>
          <w:iCs/>
          <w:color w:val="000000"/>
        </w:rPr>
        <w:t>Client</w:t>
      </w:r>
      <w:r>
        <w:rPr>
          <w:color w:val="000000"/>
        </w:rPr>
        <w:t xml:space="preserve"> may reasonably require, to enable the Replacement Service Provider to participate in the appropriate Statutory Scheme in respect of any Fair Deal Eligible Employee that remains </w:t>
      </w:r>
      <w:r>
        <w:rPr>
          <w:color w:val="000000"/>
        </w:rPr>
        <w:t>eligible for New Fair Deal protection following a Service Transfer.</w:t>
      </w:r>
    </w:p>
    <w:p w14:paraId="43FF2652"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smallCaps/>
          <w:color w:val="000000"/>
        </w:rPr>
        <w:t>B</w:t>
      </w:r>
      <w:r>
        <w:rPr>
          <w:b/>
          <w:bCs/>
          <w:color w:val="000000"/>
        </w:rPr>
        <w:t>roadly Comparable Pension Schemes on the Relevant Transfer Date</w:t>
      </w:r>
    </w:p>
    <w:p w14:paraId="2E6DDDC6"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bookmarkStart w:id="55" w:name="_heading=h.3fwokq0" w:colFirst="0" w:colLast="0"/>
      <w:bookmarkEnd w:id="55"/>
      <w:r>
        <w:rPr>
          <w:color w:val="000000"/>
        </w:rPr>
        <w:t xml:space="preserve">If the terms of any of Paragraphs 4 of Annex D2: NHSPS or 3.1 of Annex D3: LGPS applies, the </w:t>
      </w:r>
      <w:r>
        <w:rPr>
          <w:i/>
          <w:iCs/>
          <w:color w:val="000000"/>
        </w:rPr>
        <w:t>Service Provider</w:t>
      </w:r>
      <w:r>
        <w:rPr>
          <w:color w:val="000000"/>
        </w:rPr>
        <w:t xml:space="preserve"> must (and mus</w:t>
      </w:r>
      <w:r>
        <w:rPr>
          <w:color w:val="000000"/>
        </w:rPr>
        <w:t>t, where relevant, procure that each of its Subcontractors will) ensure that, with effect from the Relevant Transfer Date until the day before the Service Transfer Date, the relevant Fair Deal Employees will be eligible for membership of a pension scheme u</w:t>
      </w:r>
      <w:r>
        <w:rPr>
          <w:color w:val="000000"/>
        </w:rPr>
        <w:t xml:space="preserve">nder which the benefits are Broadly Comparable to those provided under the relevant Statutory Scheme, and then on such terms as may be decided by the </w:t>
      </w:r>
      <w:r>
        <w:rPr>
          <w:i/>
          <w:iCs/>
          <w:color w:val="000000"/>
        </w:rPr>
        <w:t>Client</w:t>
      </w:r>
      <w:r>
        <w:rPr>
          <w:color w:val="000000"/>
        </w:rPr>
        <w:t>.</w:t>
      </w:r>
    </w:p>
    <w:p w14:paraId="47E1C16E"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Such Broadly Comparable pension scheme must be:</w:t>
      </w:r>
    </w:p>
    <w:p w14:paraId="3AC68442"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established by the Relevant Transfer Date</w:t>
      </w:r>
      <w:r>
        <w:rPr>
          <w:color w:val="000000"/>
          <w:vertAlign w:val="superscript"/>
        </w:rPr>
        <w:footnoteReference w:id="8"/>
      </w:r>
      <w:r>
        <w:rPr>
          <w:color w:val="000000"/>
        </w:rPr>
        <w:t>;</w:t>
      </w:r>
    </w:p>
    <w:p w14:paraId="6CCCB602"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a registered pension scheme for the purposes of Part 4 of the Finance Act 2004; </w:t>
      </w:r>
    </w:p>
    <w:p w14:paraId="046F695C"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capable of receiving a bulk transfer payment from the relevant Statutory Scheme or from a Former Service Provider’s Broadly Comparable pension scheme (unless otherwise instruc</w:t>
      </w:r>
      <w:r>
        <w:rPr>
          <w:color w:val="000000"/>
        </w:rPr>
        <w:t xml:space="preserve">ted by the </w:t>
      </w:r>
      <w:r>
        <w:rPr>
          <w:i/>
          <w:iCs/>
          <w:color w:val="000000"/>
        </w:rPr>
        <w:t>Client</w:t>
      </w:r>
      <w:r>
        <w:rPr>
          <w:color w:val="000000"/>
        </w:rPr>
        <w:t xml:space="preserve">); </w:t>
      </w:r>
    </w:p>
    <w:p w14:paraId="4129A100"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capable of paying a bulk transfer payment to the Replacement Service Provider’s Broadly Comparable pension scheme (or the relevant Statutory Scheme if applicable) (unless otherwise instructed by the </w:t>
      </w:r>
      <w:r>
        <w:rPr>
          <w:i/>
          <w:iCs/>
          <w:color w:val="000000"/>
        </w:rPr>
        <w:t>Client</w:t>
      </w:r>
      <w:r>
        <w:rPr>
          <w:color w:val="000000"/>
        </w:rPr>
        <w:t xml:space="preserve">); and </w:t>
      </w:r>
    </w:p>
    <w:p w14:paraId="751247C7"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maintained until such </w:t>
      </w:r>
      <w:r>
        <w:rPr>
          <w:color w:val="000000"/>
        </w:rPr>
        <w:t xml:space="preserve">bulk transfer payments have been received or paid (unless otherwise instructed by the </w:t>
      </w:r>
      <w:r>
        <w:rPr>
          <w:i/>
          <w:iCs/>
          <w:color w:val="000000"/>
        </w:rPr>
        <w:t>Client</w:t>
      </w:r>
      <w:r>
        <w:rPr>
          <w:color w:val="000000"/>
        </w:rPr>
        <w:t>).</w:t>
      </w:r>
    </w:p>
    <w:p w14:paraId="595881C5"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Where the </w:t>
      </w:r>
      <w:r>
        <w:rPr>
          <w:i/>
          <w:iCs/>
          <w:color w:val="000000"/>
        </w:rPr>
        <w:t>Service Provider</w:t>
      </w:r>
      <w:r>
        <w:rPr>
          <w:color w:val="000000"/>
        </w:rPr>
        <w:t xml:space="preserve"> has set up a Broadly Comparable pension scheme pursuant to the provisions of this Paragraph 10, the </w:t>
      </w:r>
      <w:r>
        <w:rPr>
          <w:i/>
          <w:iCs/>
          <w:color w:val="000000"/>
        </w:rPr>
        <w:t>Service Provider</w:t>
      </w:r>
      <w:r>
        <w:rPr>
          <w:color w:val="000000"/>
        </w:rPr>
        <w:t xml:space="preserve"> shall (and shall </w:t>
      </w:r>
      <w:r>
        <w:rPr>
          <w:color w:val="000000"/>
        </w:rPr>
        <w:t>procure that any of its Subcontractors shall):</w:t>
      </w:r>
    </w:p>
    <w:p w14:paraId="337752BC"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supply to the </w:t>
      </w:r>
      <w:r>
        <w:rPr>
          <w:i/>
          <w:iCs/>
          <w:color w:val="000000"/>
        </w:rPr>
        <w:t>Client</w:t>
      </w:r>
      <w:r>
        <w:rPr>
          <w:color w:val="000000"/>
        </w:rPr>
        <w:t xml:space="preserve"> details of its (or its Subcontractor’s) Broadly Comparable pension scheme and provide a full copy of the valid certificate of broad comparability (which remains valid as at the Relevant Tr</w:t>
      </w:r>
      <w:r>
        <w:rPr>
          <w:color w:val="000000"/>
        </w:rPr>
        <w:t>ansfer Date) covering all relevant Fair Deal Employees, as soon as it is able to do so before the Relevant Transfer Date (where possible) and in any event no later than seven (7) days after receipt of the certificate;</w:t>
      </w:r>
    </w:p>
    <w:p w14:paraId="03ADCCEB"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be fully responsible for all costs, co</w:t>
      </w:r>
      <w:r>
        <w:rPr>
          <w:color w:val="000000"/>
        </w:rPr>
        <w:t>ntributions, payments and other amounts relating to the setting up, certification of, ongoing participation in and/or withdrawal and exit from the Broadly Comparable pension scheme, including for the avoidance of doubt any debts arising under section 75 or</w:t>
      </w:r>
      <w:r>
        <w:rPr>
          <w:color w:val="000000"/>
        </w:rPr>
        <w:t xml:space="preserve"> 75A of the Pensions Act 1995;</w:t>
      </w:r>
    </w:p>
    <w:p w14:paraId="3D9B05F3"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instruct any such Broadly Comparable pension scheme’s Actuary to provide all such co-operation and assistance in agreeing bulk transfer process with the Actuary to the Former Service Provider’s Broadly Comparable pension sche</w:t>
      </w:r>
      <w:r>
        <w:rPr>
          <w:color w:val="000000"/>
        </w:rPr>
        <w:t xml:space="preserve">me or the Actuary to the relevant Statutory Scheme (as appropriate) and to provide all such co-operation and assistance with any other Actuary appointed by the </w:t>
      </w:r>
      <w:r>
        <w:rPr>
          <w:i/>
          <w:iCs/>
          <w:color w:val="000000"/>
        </w:rPr>
        <w:t>Client</w:t>
      </w:r>
      <w:r>
        <w:rPr>
          <w:color w:val="000000"/>
        </w:rPr>
        <w:t xml:space="preserve"> (where applicable). This will be with a view to the bulk transfer terms providing day for</w:t>
      </w:r>
      <w:r>
        <w:rPr>
          <w:color w:val="000000"/>
        </w:rPr>
        <w:t xml:space="preserve"> day and/or pound for pound (as applicable) (or actuarially equivalent where there are benefit differences between the two schemes) credits in the Broadly Comparable pension scheme in respect of any Fair Deal Eligible Employee who consents to such a transf</w:t>
      </w:r>
      <w:r>
        <w:rPr>
          <w:color w:val="000000"/>
        </w:rPr>
        <w:t>er</w:t>
      </w:r>
      <w:r>
        <w:rPr>
          <w:color w:val="000000"/>
          <w:vertAlign w:val="superscript"/>
        </w:rPr>
        <w:footnoteReference w:id="9"/>
      </w:r>
      <w:r>
        <w:rPr>
          <w:color w:val="000000"/>
        </w:rPr>
        <w:t>; and</w:t>
      </w:r>
    </w:p>
    <w:p w14:paraId="7F40060D"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provide a replacement Broadly Comparable pension scheme in accordance with this Paragraph 10 with immediate effect for those Fair Deal Eligible Employees who are still employed by the </w:t>
      </w:r>
      <w:r>
        <w:rPr>
          <w:i/>
          <w:iCs/>
          <w:color w:val="000000"/>
        </w:rPr>
        <w:t>Service Provider</w:t>
      </w:r>
      <w:r>
        <w:rPr>
          <w:color w:val="000000"/>
        </w:rPr>
        <w:t xml:space="preserve"> and/or relevant Subcontractor and are still e</w:t>
      </w:r>
      <w:r>
        <w:rPr>
          <w:color w:val="000000"/>
        </w:rPr>
        <w:t xml:space="preserve">ligible for New Fair Deal protection in the event that the </w:t>
      </w:r>
      <w:r>
        <w:rPr>
          <w:i/>
          <w:iCs/>
          <w:color w:val="000000"/>
        </w:rPr>
        <w:t>Service Provider</w:t>
      </w:r>
      <w:r>
        <w:rPr>
          <w:color w:val="000000"/>
        </w:rPr>
        <w:t xml:space="preserve"> and/or Subcontractor's Broadly Comparable pension scheme is terminated. The relevant Fair Deal Eligible Employees must be given the option to transfer their accrued benefits from t</w:t>
      </w:r>
      <w:r>
        <w:rPr>
          <w:color w:val="000000"/>
        </w:rPr>
        <w:t xml:space="preserve">he previous Broadly Comparable pension scheme to the new Broadly Comparable pension scheme on day for day and/or pound for pound terms (as applicable) (or actuarially equivalent where there are benefit differences between the two schemes). </w:t>
      </w:r>
    </w:p>
    <w:p w14:paraId="56352B90"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Where the </w:t>
      </w:r>
      <w:r>
        <w:rPr>
          <w:i/>
          <w:iCs/>
          <w:color w:val="000000"/>
        </w:rPr>
        <w:t>Servi</w:t>
      </w:r>
      <w:r>
        <w:rPr>
          <w:i/>
          <w:iCs/>
          <w:color w:val="000000"/>
        </w:rPr>
        <w:t>ce Provider</w:t>
      </w:r>
      <w:r>
        <w:rPr>
          <w:color w:val="000000"/>
        </w:rPr>
        <w:t xml:space="preserve"> has provided a Broadly Comparable pension scheme pursuant to the provisions of this Paragraph 10, the </w:t>
      </w:r>
      <w:r>
        <w:rPr>
          <w:i/>
          <w:iCs/>
          <w:color w:val="000000"/>
        </w:rPr>
        <w:t>Service</w:t>
      </w:r>
      <w:r>
        <w:rPr>
          <w:color w:val="000000"/>
        </w:rPr>
        <w:t xml:space="preserve"> </w:t>
      </w:r>
      <w:r>
        <w:rPr>
          <w:i/>
          <w:iCs/>
          <w:color w:val="000000"/>
        </w:rPr>
        <w:t>Provider</w:t>
      </w:r>
      <w:r>
        <w:rPr>
          <w:color w:val="000000"/>
        </w:rPr>
        <w:t xml:space="preserve"> shall (and shall procure that any of its Subcontractors shall) prior to the termination of the relevant Contract:</w:t>
      </w:r>
    </w:p>
    <w:p w14:paraId="50D5237B"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allow and m</w:t>
      </w:r>
      <w:r>
        <w:rPr>
          <w:color w:val="000000"/>
        </w:rPr>
        <w:t>ake all necessary arrangements to effect, in respect of any Fair Deal Eligible Employee that remains eligible for New Fair Deal protection, following a Service Transfer, the bulk transfer of past service from any such Broadly Comparable pension scheme into</w:t>
      </w:r>
      <w:r>
        <w:rPr>
          <w:color w:val="000000"/>
        </w:rPr>
        <w:t xml:space="preserve"> the Replacement Service Provider’s Broadly Comparable pension scheme (or the relevant Statutory Scheme if applicable). The bulk transfer terms provided shall be on a past service reserve basis which should be calculated allowing for projected final salary</w:t>
      </w:r>
      <w:r>
        <w:rPr>
          <w:color w:val="000000"/>
        </w:rPr>
        <w:t xml:space="preserve"> at the assumed date of retirement, leaving service or death (in the case of final salary benefits). The actuarial basis for this past service reserve basis should be aligned to the funding requirements of the Broadly Comparable pension scheme in place at </w:t>
      </w:r>
      <w:r>
        <w:rPr>
          <w:color w:val="000000"/>
        </w:rPr>
        <w:t xml:space="preserve">the time the bulk transfer terms are offered. The bulk transfer terms shall be subject to an underpin in relation to any service credits awarded in the Broadly Comparable pension scheme in accordance with Paragraph 10.3.3 such that the element of the past </w:t>
      </w:r>
      <w:r>
        <w:rPr>
          <w:color w:val="000000"/>
        </w:rPr>
        <w:t>service reserve amount which relates to such service credits shall be no lower than that required by the bulk transfer terms that were agreed in accordance with Paragraph 10.3.3 but using the last day of the Fair Deal Eligible Employees’ employment with th</w:t>
      </w:r>
      <w:r>
        <w:rPr>
          <w:color w:val="000000"/>
        </w:rPr>
        <w:t xml:space="preserve">e </w:t>
      </w:r>
      <w:r>
        <w:rPr>
          <w:i/>
          <w:iCs/>
          <w:color w:val="000000"/>
        </w:rPr>
        <w:t>Service Provider</w:t>
      </w:r>
      <w:r>
        <w:rPr>
          <w:color w:val="000000"/>
        </w:rPr>
        <w:t xml:space="preserve"> or Subcontractor (as appropriate) as the date used to determine the actuarial assumptions; and </w:t>
      </w:r>
    </w:p>
    <w:p w14:paraId="1BBEFC4E"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if the transfer payment paid by the trustees of the Broadly Comparable pension scheme is less (in the opinion of the Actuary to the Replaceme</w:t>
      </w:r>
      <w:r>
        <w:rPr>
          <w:color w:val="000000"/>
        </w:rPr>
        <w:t xml:space="preserve">nt Service Provider’s Broadly Comparable pension scheme (or to the relevant Statutory Scheme if applicable)) than the transfer payment which would have been paid had Paragraph 10.4.1 been complied with, the </w:t>
      </w:r>
      <w:r>
        <w:rPr>
          <w:i/>
          <w:iCs/>
          <w:color w:val="000000"/>
        </w:rPr>
        <w:t>Service Provider</w:t>
      </w:r>
      <w:r>
        <w:rPr>
          <w:color w:val="000000"/>
        </w:rPr>
        <w:t xml:space="preserve"> shall (or shall procure that the</w:t>
      </w:r>
      <w:r>
        <w:rPr>
          <w:color w:val="000000"/>
        </w:rPr>
        <w:t xml:space="preserve"> Subcontractor shall) pay the amount of the difference to the Replacement Service Provider’s Broadly Comparable pension scheme (or relevant Statutory Scheme if applicable) or as the </w:t>
      </w:r>
      <w:r>
        <w:rPr>
          <w:i/>
          <w:iCs/>
          <w:color w:val="000000"/>
        </w:rPr>
        <w:t>Client</w:t>
      </w:r>
      <w:r>
        <w:rPr>
          <w:color w:val="000000"/>
        </w:rPr>
        <w:t xml:space="preserve"> shall otherwise direct. The </w:t>
      </w:r>
      <w:r>
        <w:rPr>
          <w:i/>
          <w:iCs/>
          <w:color w:val="000000"/>
        </w:rPr>
        <w:t>Service Provider</w:t>
      </w:r>
      <w:r>
        <w:rPr>
          <w:color w:val="000000"/>
        </w:rPr>
        <w:t xml:space="preserve"> shall indemnify the </w:t>
      </w:r>
      <w:r>
        <w:rPr>
          <w:i/>
          <w:iCs/>
          <w:color w:val="000000"/>
        </w:rPr>
        <w:t>Cl</w:t>
      </w:r>
      <w:r>
        <w:rPr>
          <w:i/>
          <w:iCs/>
          <w:color w:val="000000"/>
        </w:rPr>
        <w:t>ient</w:t>
      </w:r>
      <w:r>
        <w:rPr>
          <w:color w:val="000000"/>
        </w:rPr>
        <w:t xml:space="preserve"> or the Replacement Service Provider’s Broadly Comparable pension scheme (or the relevant Statutory Scheme if applicable) (as the </w:t>
      </w:r>
      <w:r>
        <w:rPr>
          <w:i/>
          <w:iCs/>
          <w:color w:val="000000"/>
        </w:rPr>
        <w:t>Client</w:t>
      </w:r>
      <w:r>
        <w:rPr>
          <w:color w:val="000000"/>
        </w:rPr>
        <w:t xml:space="preserve"> directs) for any failure to pay the difference as required under this Paragraph.</w:t>
      </w:r>
    </w:p>
    <w:p w14:paraId="08E1EEEB"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smallCaps/>
          <w:color w:val="000000"/>
        </w:rPr>
      </w:pPr>
      <w:r>
        <w:rPr>
          <w:b/>
          <w:bCs/>
          <w:color w:val="000000"/>
        </w:rPr>
        <w:t>Broadly Comparable Pension Scheme in Other Circumstances</w:t>
      </w:r>
    </w:p>
    <w:p w14:paraId="5E9751C9"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If the terms of any of Paragraphs 2.2 of Annex D1: CSPS, 5.2 of Annex D2: NHSPS and/or 3.2 of Annex D3: LGPS apply, the </w:t>
      </w:r>
      <w:r>
        <w:rPr>
          <w:i/>
          <w:iCs/>
          <w:color w:val="000000"/>
        </w:rPr>
        <w:t>Service Provider</w:t>
      </w:r>
      <w:r>
        <w:rPr>
          <w:color w:val="000000"/>
        </w:rPr>
        <w:t xml:space="preserve"> must (and must, where relevant, procure that each of its Subco</w:t>
      </w:r>
      <w:r>
        <w:rPr>
          <w:color w:val="000000"/>
        </w:rPr>
        <w:t xml:space="preserve">ntractors will) ensure that, with effect from the cessation of participation in the Statutory Scheme, until the day before the Service Transfer Date, the relevant Fair Deal Eligible Employees will be eligible for membership of a pension scheme under which </w:t>
      </w:r>
      <w:r>
        <w:rPr>
          <w:color w:val="000000"/>
        </w:rPr>
        <w:t xml:space="preserve">the benefits are Broadly Comparable to those provided under the relevant Statutory Scheme at the date of cessation of participation in the relevant Statutory Scheme, and then on such terms as may be decided by the </w:t>
      </w:r>
      <w:r>
        <w:rPr>
          <w:i/>
          <w:iCs/>
          <w:color w:val="000000"/>
        </w:rPr>
        <w:t>Client</w:t>
      </w:r>
      <w:r>
        <w:rPr>
          <w:color w:val="000000"/>
        </w:rPr>
        <w:t>.</w:t>
      </w:r>
    </w:p>
    <w:p w14:paraId="6E29707F"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Such Broadly Comparable pension sc</w:t>
      </w:r>
      <w:r>
        <w:rPr>
          <w:color w:val="000000"/>
        </w:rPr>
        <w:t xml:space="preserve">heme must be:  </w:t>
      </w:r>
    </w:p>
    <w:p w14:paraId="46CDA83B"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established by the date of cessation of participation in the Statutory Scheme</w:t>
      </w:r>
      <w:r>
        <w:rPr>
          <w:color w:val="000000"/>
          <w:vertAlign w:val="superscript"/>
        </w:rPr>
        <w:footnoteReference w:id="10"/>
      </w:r>
      <w:r>
        <w:rPr>
          <w:color w:val="000000"/>
        </w:rPr>
        <w:t xml:space="preserve">; </w:t>
      </w:r>
    </w:p>
    <w:p w14:paraId="5ABBAF15"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a registered pension scheme for the purposes of Part 4 of the Finance Act 2004; </w:t>
      </w:r>
    </w:p>
    <w:p w14:paraId="6D3895B0"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capable of receiving a bulk transfer payment from the relevant Statutory Scheme (where instructed to do so by the </w:t>
      </w:r>
      <w:r>
        <w:rPr>
          <w:i/>
          <w:iCs/>
          <w:color w:val="000000"/>
        </w:rPr>
        <w:t>Client</w:t>
      </w:r>
      <w:r>
        <w:rPr>
          <w:color w:val="000000"/>
        </w:rPr>
        <w:t>);</w:t>
      </w:r>
    </w:p>
    <w:p w14:paraId="2ED371B5"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capable of paying a bulk transfer payment to the Replacement Service Provider’s Broadly Comparable pension scheme (or the relevant Statutory Scheme if applicable) (unless otherwise instructed by the </w:t>
      </w:r>
      <w:r>
        <w:rPr>
          <w:i/>
          <w:iCs/>
          <w:color w:val="000000"/>
        </w:rPr>
        <w:t>Client</w:t>
      </w:r>
      <w:r>
        <w:rPr>
          <w:color w:val="000000"/>
        </w:rPr>
        <w:t>); and</w:t>
      </w:r>
    </w:p>
    <w:p w14:paraId="00BDEE78"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maintained until such bulk transfer payments</w:t>
      </w:r>
      <w:r>
        <w:rPr>
          <w:color w:val="000000"/>
        </w:rPr>
        <w:t xml:space="preserve"> have been received or paid (unless otherwise instructed by the </w:t>
      </w:r>
      <w:r>
        <w:rPr>
          <w:i/>
          <w:iCs/>
          <w:color w:val="000000"/>
        </w:rPr>
        <w:t>Client</w:t>
      </w:r>
      <w:r>
        <w:rPr>
          <w:color w:val="000000"/>
        </w:rPr>
        <w:t xml:space="preserve">). </w:t>
      </w:r>
    </w:p>
    <w:p w14:paraId="11723089"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Where the </w:t>
      </w:r>
      <w:r>
        <w:rPr>
          <w:i/>
          <w:iCs/>
          <w:color w:val="000000"/>
        </w:rPr>
        <w:t>Service Provider</w:t>
      </w:r>
      <w:r>
        <w:rPr>
          <w:color w:val="000000"/>
        </w:rPr>
        <w:t xml:space="preserve"> has provided a Broadly Comparable pension scheme pursuant to the provisions of this Paragraph 11, the </w:t>
      </w:r>
      <w:r>
        <w:rPr>
          <w:i/>
          <w:iCs/>
          <w:color w:val="000000"/>
        </w:rPr>
        <w:t>Service Provider</w:t>
      </w:r>
      <w:r>
        <w:rPr>
          <w:color w:val="000000"/>
        </w:rPr>
        <w:t xml:space="preserve"> shall (and shall procure that any of</w:t>
      </w:r>
      <w:r>
        <w:rPr>
          <w:color w:val="000000"/>
        </w:rPr>
        <w:t xml:space="preserve"> its Subcontractors shall):</w:t>
      </w:r>
    </w:p>
    <w:p w14:paraId="64BCC16C"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supply to the </w:t>
      </w:r>
      <w:r>
        <w:rPr>
          <w:i/>
          <w:iCs/>
          <w:color w:val="000000"/>
        </w:rPr>
        <w:t>Client</w:t>
      </w:r>
      <w:r>
        <w:rPr>
          <w:color w:val="000000"/>
        </w:rPr>
        <w:t xml:space="preserve"> details of its (or its Subcontractor’s) Broadly Comparable pension scheme and provide a full copy of the valid certificate of broad comparability (which remains valid as at the date of cessation of participa</w:t>
      </w:r>
      <w:r>
        <w:rPr>
          <w:color w:val="000000"/>
        </w:rPr>
        <w:t>tion in the Statutory Scheme) covering all relevant Fair Deal Eligible Employees, as soon as it is able to do so before the cessation of participation in the Statutory Scheme (where possible) and in any event no later than seven (7) days after receipt of t</w:t>
      </w:r>
      <w:r>
        <w:rPr>
          <w:color w:val="000000"/>
        </w:rPr>
        <w:t>he certificate;</w:t>
      </w:r>
    </w:p>
    <w:p w14:paraId="385546C8"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be fully responsible for all costs, contributions, payments and other amounts relating to the setting up, certification of, ongoing participation in and/or withdrawal and exit from the Broadly Comparable pension scheme, including for the av</w:t>
      </w:r>
      <w:r>
        <w:rPr>
          <w:color w:val="000000"/>
        </w:rPr>
        <w:t>oidance of doubt any debts arising under section 75 or 75A of the Pensions Act 1995;</w:t>
      </w:r>
    </w:p>
    <w:p w14:paraId="3A893016"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 xml:space="preserve">where required to do so by the </w:t>
      </w:r>
      <w:r>
        <w:rPr>
          <w:i/>
          <w:iCs/>
          <w:color w:val="000000"/>
        </w:rPr>
        <w:t>Client</w:t>
      </w:r>
      <w:r>
        <w:rPr>
          <w:color w:val="000000"/>
        </w:rPr>
        <w:t>, instruct any such Broadly Comparable pension scheme’s Actuary to provide all such co-operation and assistance in agreeing a bulk tra</w:t>
      </w:r>
      <w:r>
        <w:rPr>
          <w:color w:val="000000"/>
        </w:rPr>
        <w:t xml:space="preserve">nsfer process with the Actuary to the relevant Statutory Scheme and to provide all such co-operation and assistance with any other Actuary appointed by the </w:t>
      </w:r>
      <w:r>
        <w:rPr>
          <w:i/>
          <w:iCs/>
          <w:color w:val="000000"/>
        </w:rPr>
        <w:t>Client</w:t>
      </w:r>
      <w:r>
        <w:rPr>
          <w:color w:val="000000"/>
        </w:rPr>
        <w:t xml:space="preserve"> (where applicable). The </w:t>
      </w:r>
      <w:r>
        <w:rPr>
          <w:i/>
          <w:iCs/>
          <w:color w:val="000000"/>
        </w:rPr>
        <w:t>Service Provider</w:t>
      </w:r>
      <w:r>
        <w:rPr>
          <w:color w:val="000000"/>
        </w:rPr>
        <w:t xml:space="preserve"> must ensure that day for day and/or pound for pound </w:t>
      </w:r>
      <w:r>
        <w:rPr>
          <w:color w:val="000000"/>
        </w:rPr>
        <w:t>(as applicable) (or actuarially equivalent where there are benefit differences between the two schemes) credits in the Broadly Comparable pension scheme are provided in respect of any Fair Deal Employee who consents to such a transfer from the Statutory Sc</w:t>
      </w:r>
      <w:r>
        <w:rPr>
          <w:color w:val="000000"/>
        </w:rPr>
        <w:t xml:space="preserve">heme and the </w:t>
      </w:r>
      <w:r>
        <w:rPr>
          <w:i/>
          <w:iCs/>
          <w:color w:val="000000"/>
        </w:rPr>
        <w:t>Service Provider</w:t>
      </w:r>
      <w:r>
        <w:rPr>
          <w:color w:val="000000"/>
        </w:rPr>
        <w:t xml:space="preserve"> shall be fully responsible for any costs of providing those credits in excess of the bulk transfer payment received by the Broadly Comparable pension scheme</w:t>
      </w:r>
      <w:r>
        <w:rPr>
          <w:color w:val="000000"/>
          <w:vertAlign w:val="superscript"/>
        </w:rPr>
        <w:footnoteReference w:id="11"/>
      </w:r>
      <w:r>
        <w:rPr>
          <w:color w:val="000000"/>
        </w:rPr>
        <w:t xml:space="preserve">; and  </w:t>
      </w:r>
    </w:p>
    <w:p w14:paraId="3C069622"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provide a replacement Broadly Comparable pension scheme in a</w:t>
      </w:r>
      <w:r>
        <w:rPr>
          <w:color w:val="000000"/>
        </w:rPr>
        <w:t xml:space="preserve">ccordance with this Paragraph 11 with immediate effect for those Fair Deal Eligible Employees who are still employed by the </w:t>
      </w:r>
      <w:r>
        <w:rPr>
          <w:i/>
          <w:iCs/>
          <w:color w:val="000000"/>
        </w:rPr>
        <w:t>Service Provider</w:t>
      </w:r>
      <w:r>
        <w:rPr>
          <w:color w:val="000000"/>
        </w:rPr>
        <w:t xml:space="preserve"> and/or relevant Subcontractor and are still eligible for New Fair Deal protection in the event that the </w:t>
      </w:r>
      <w:r>
        <w:rPr>
          <w:i/>
          <w:iCs/>
          <w:color w:val="000000"/>
        </w:rPr>
        <w:t>Service Pro</w:t>
      </w:r>
      <w:r>
        <w:rPr>
          <w:i/>
          <w:iCs/>
          <w:color w:val="000000"/>
        </w:rPr>
        <w:t>vider</w:t>
      </w:r>
      <w:r>
        <w:rPr>
          <w:color w:val="000000"/>
        </w:rPr>
        <w:t xml:space="preserve"> and/or Subcontractor's Broadly Comparable pension scheme is closed to future accrual and/or terminated. The relevant Fair Deal Eligible Employees must be given the option to transfer their accrued benefits from the previous Broadly Comparable pension</w:t>
      </w:r>
      <w:r>
        <w:rPr>
          <w:color w:val="000000"/>
        </w:rPr>
        <w:t xml:space="preserve"> scheme to the new Broadly Comparable pension scheme on day for day and/or pound for pound terms (as applicable) (or actuarially equivalent where there are benefit differences between the two schemes). </w:t>
      </w:r>
    </w:p>
    <w:p w14:paraId="63BA5D88"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Where the </w:t>
      </w:r>
      <w:r>
        <w:rPr>
          <w:i/>
          <w:iCs/>
          <w:color w:val="000000"/>
        </w:rPr>
        <w:t>Service Provider</w:t>
      </w:r>
      <w:r>
        <w:rPr>
          <w:color w:val="000000"/>
        </w:rPr>
        <w:t xml:space="preserve"> has provided a Broadly Com</w:t>
      </w:r>
      <w:r>
        <w:rPr>
          <w:color w:val="000000"/>
        </w:rPr>
        <w:t xml:space="preserve">parable pension scheme pursuant to the provisions of this Paragraph 11, the </w:t>
      </w:r>
      <w:r>
        <w:rPr>
          <w:i/>
          <w:iCs/>
          <w:color w:val="000000"/>
        </w:rPr>
        <w:t>Service Provider</w:t>
      </w:r>
      <w:r>
        <w:rPr>
          <w:color w:val="000000"/>
        </w:rPr>
        <w:t xml:space="preserve"> shall (and shall procure that any of its Subcontractors shall) prior to the termination of the relevant Contract allow and make all necessary arrangements to effec</w:t>
      </w:r>
      <w:r>
        <w:rPr>
          <w:color w:val="000000"/>
        </w:rPr>
        <w:t>t, in respect of any Fair Deal Eligible Employee that remains eligible for New Fair Deal protection, following a Service Transfer, the bulk transfer of past service from any such Broadly Comparable pension scheme into the Replacement Service Provider’s Bro</w:t>
      </w:r>
      <w:r>
        <w:rPr>
          <w:color w:val="000000"/>
        </w:rPr>
        <w:t>adly Comparable pension scheme (or relevant Statutory Scheme if applicable). The bulk transfer terms provided shall be sufficient to secure day for day and/or pound for pound credits (as applicable) (or actuarially equivalent where there are benefit differ</w:t>
      </w:r>
      <w:r>
        <w:rPr>
          <w:color w:val="000000"/>
        </w:rPr>
        <w:t>ences between the two schemes) in the Replacement Service Provider’s Broadly Comparable pension scheme (or relevant Statutory Scheme if applicable). For the avoidance of doubt, should the amount offered by the Broadly Comparable pension scheme be less than</w:t>
      </w:r>
      <w:r>
        <w:rPr>
          <w:color w:val="000000"/>
        </w:rPr>
        <w:t xml:space="preserve"> the amount required by the Replacement Service Provider’s Broadly Comparable pension scheme (or the relevant Statutory Scheme if applicable) to fund the required credits (“</w:t>
      </w:r>
      <w:r>
        <w:rPr>
          <w:b/>
          <w:bCs/>
          <w:color w:val="000000"/>
        </w:rPr>
        <w:t>the Shortfall</w:t>
      </w:r>
      <w:r>
        <w:rPr>
          <w:color w:val="000000"/>
        </w:rPr>
        <w:t xml:space="preserve">”), the </w:t>
      </w:r>
      <w:r>
        <w:rPr>
          <w:i/>
          <w:iCs/>
          <w:color w:val="000000"/>
        </w:rPr>
        <w:t>Service Provider</w:t>
      </w:r>
      <w:r>
        <w:rPr>
          <w:color w:val="000000"/>
        </w:rPr>
        <w:t xml:space="preserve"> or the Subcontractor (as agreed between them)</w:t>
      </w:r>
      <w:r>
        <w:rPr>
          <w:color w:val="000000"/>
        </w:rPr>
        <w:t xml:space="preserve"> must pay the Replacement Service Provider’s Broadly Comparable pension scheme (or relevant Statutory Scheme if applicable) the Shortfall as required, provided that in the absence of any agreement between the </w:t>
      </w:r>
      <w:r>
        <w:rPr>
          <w:i/>
          <w:iCs/>
          <w:color w:val="000000"/>
        </w:rPr>
        <w:t>Service Provider</w:t>
      </w:r>
      <w:r>
        <w:rPr>
          <w:color w:val="000000"/>
        </w:rPr>
        <w:t xml:space="preserve"> and any Subcontractor, the Sho</w:t>
      </w:r>
      <w:r>
        <w:rPr>
          <w:color w:val="000000"/>
        </w:rPr>
        <w:t xml:space="preserve">rtfall shall be paid by the </w:t>
      </w:r>
      <w:r>
        <w:rPr>
          <w:i/>
          <w:iCs/>
          <w:color w:val="000000"/>
        </w:rPr>
        <w:t>Service Provider</w:t>
      </w:r>
      <w:r>
        <w:rPr>
          <w:color w:val="000000"/>
        </w:rPr>
        <w:t xml:space="preserve">. The </w:t>
      </w:r>
      <w:r>
        <w:rPr>
          <w:i/>
          <w:iCs/>
          <w:color w:val="000000"/>
        </w:rPr>
        <w:t>Service Provider</w:t>
      </w:r>
      <w:r>
        <w:rPr>
          <w:color w:val="000000"/>
        </w:rPr>
        <w:t xml:space="preserve"> shall indemnify the </w:t>
      </w:r>
      <w:r>
        <w:rPr>
          <w:i/>
          <w:iCs/>
          <w:color w:val="000000"/>
        </w:rPr>
        <w:t>Client</w:t>
      </w:r>
      <w:r>
        <w:rPr>
          <w:color w:val="000000"/>
        </w:rPr>
        <w:t xml:space="preserve"> or the Replacement Service Provider’s Broadly Comparable pension scheme (or the relevant Statutory Scheme if applicable) (as the </w:t>
      </w:r>
      <w:r>
        <w:rPr>
          <w:i/>
          <w:iCs/>
          <w:color w:val="000000"/>
        </w:rPr>
        <w:t>Client</w:t>
      </w:r>
      <w:r>
        <w:rPr>
          <w:color w:val="000000"/>
        </w:rPr>
        <w:t xml:space="preserve"> directs) for any failure t</w:t>
      </w:r>
      <w:r>
        <w:rPr>
          <w:color w:val="000000"/>
        </w:rPr>
        <w:t>o pay the Shortfall under this Paragraph.</w:t>
      </w:r>
    </w:p>
    <w:p w14:paraId="7FA319AC" w14:textId="77777777" w:rsidR="007960A8" w:rsidRDefault="00A26397">
      <w:pPr>
        <w:keepNext/>
        <w:widowControl/>
        <w:numPr>
          <w:ilvl w:val="0"/>
          <w:numId w:val="69"/>
        </w:numPr>
        <w:pBdr>
          <w:top w:val="nil"/>
          <w:left w:val="nil"/>
          <w:bottom w:val="nil"/>
          <w:right w:val="nil"/>
          <w:between w:val="nil"/>
        </w:pBdr>
        <w:spacing w:before="120" w:after="120"/>
        <w:ind w:left="426" w:hanging="426"/>
        <w:rPr>
          <w:b/>
          <w:bCs/>
          <w:color w:val="000000"/>
        </w:rPr>
      </w:pPr>
      <w:r>
        <w:rPr>
          <w:b/>
          <w:bCs/>
          <w:color w:val="000000"/>
        </w:rPr>
        <w:t>Right of Set-off</w:t>
      </w:r>
    </w:p>
    <w:p w14:paraId="2F1CD193"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shall have a right to set off against any payments due to the </w:t>
      </w:r>
      <w:r>
        <w:rPr>
          <w:i/>
          <w:iCs/>
          <w:color w:val="000000"/>
        </w:rPr>
        <w:t>Service Provider</w:t>
      </w:r>
      <w:r>
        <w:rPr>
          <w:color w:val="000000"/>
        </w:rPr>
        <w:t xml:space="preserve"> under the relevant Contract an amount equal to:</w:t>
      </w:r>
    </w:p>
    <w:p w14:paraId="7FA0B211"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bookmarkStart w:id="56" w:name="_heading=h.1v1yuxt" w:colFirst="0" w:colLast="0"/>
      <w:bookmarkEnd w:id="56"/>
      <w:r>
        <w:rPr>
          <w:color w:val="000000"/>
        </w:rPr>
        <w:t xml:space="preserve">any unpaid employer’s contributions or employee’s contributions or any other financial obligations under the CSPS or any CSPS Admission Agreement in respect of the CSPS Eligible Employees whether due from the </w:t>
      </w:r>
      <w:r>
        <w:rPr>
          <w:i/>
          <w:iCs/>
          <w:color w:val="000000"/>
        </w:rPr>
        <w:t>Service Provider</w:t>
      </w:r>
      <w:r>
        <w:rPr>
          <w:color w:val="000000"/>
        </w:rPr>
        <w:t xml:space="preserve"> or from any relevant Subcontractor or due from any third party under any indemnity, bond or guarantee;</w:t>
      </w:r>
    </w:p>
    <w:p w14:paraId="52DC22D2"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any unpaid employer’s contributions or employee’s contributions or any other financial obligations under the NHSPS or any Direction Letter/Determination</w:t>
      </w:r>
      <w:r>
        <w:rPr>
          <w:color w:val="000000"/>
        </w:rPr>
        <w:t xml:space="preserve"> in respect of the NHSPS Eligible Employees whether due from the </w:t>
      </w:r>
      <w:r>
        <w:rPr>
          <w:i/>
          <w:iCs/>
          <w:color w:val="000000"/>
        </w:rPr>
        <w:t>Service Provider</w:t>
      </w:r>
      <w:r>
        <w:rPr>
          <w:color w:val="000000"/>
        </w:rPr>
        <w:t xml:space="preserve"> or from any relevant Subcontractor or due from any third party under any indemnity, bond or guarantee; or</w:t>
      </w:r>
    </w:p>
    <w:p w14:paraId="6230BAD0" w14:textId="77777777" w:rsidR="007960A8" w:rsidRDefault="00A26397">
      <w:pPr>
        <w:widowControl/>
        <w:numPr>
          <w:ilvl w:val="2"/>
          <w:numId w:val="69"/>
        </w:numPr>
        <w:pBdr>
          <w:top w:val="nil"/>
          <w:left w:val="nil"/>
          <w:bottom w:val="nil"/>
          <w:right w:val="nil"/>
          <w:between w:val="nil"/>
        </w:pBdr>
        <w:spacing w:before="120" w:after="120"/>
        <w:ind w:left="1985" w:hanging="851"/>
        <w:rPr>
          <w:color w:val="000000"/>
        </w:rPr>
      </w:pPr>
      <w:r>
        <w:rPr>
          <w:color w:val="000000"/>
        </w:rPr>
        <w:t>any unpaid employer’s contributions or employee’s contributions or a</w:t>
      </w:r>
      <w:r>
        <w:rPr>
          <w:color w:val="000000"/>
        </w:rPr>
        <w:t xml:space="preserve">ny other financial obligations under the LGPS or any LGPS Admission Agreement in respect of the LGPS Eligible Employees whether due from the </w:t>
      </w:r>
      <w:r>
        <w:rPr>
          <w:i/>
          <w:iCs/>
          <w:color w:val="000000"/>
        </w:rPr>
        <w:t>Service Provider</w:t>
      </w:r>
      <w:r>
        <w:rPr>
          <w:color w:val="000000"/>
        </w:rPr>
        <w:t xml:space="preserve"> or from any relevant Subcontractor or due from any third party under any indemnity, bond or guaran</w:t>
      </w:r>
      <w:r>
        <w:rPr>
          <w:color w:val="000000"/>
        </w:rPr>
        <w:t>tee;</w:t>
      </w:r>
    </w:p>
    <w:p w14:paraId="027BA651" w14:textId="77777777" w:rsidR="007960A8" w:rsidRDefault="00A26397">
      <w:pPr>
        <w:pStyle w:val="Heading4"/>
        <w:spacing w:before="120" w:after="120"/>
        <w:ind w:left="1123" w:firstLine="10"/>
        <w:rPr>
          <w:rFonts w:ascii="Arial" w:eastAsia="Arial" w:hAnsi="Arial" w:cs="Arial"/>
          <w:i w:val="0"/>
          <w:iCs w:val="0"/>
          <w:color w:val="000000"/>
        </w:rPr>
      </w:pPr>
      <w:bookmarkStart w:id="57" w:name="_heading=h.4f1mdlm" w:colFirst="0" w:colLast="0"/>
      <w:bookmarkEnd w:id="57"/>
      <w:r>
        <w:rPr>
          <w:rFonts w:ascii="Arial" w:eastAsia="Arial" w:hAnsi="Arial" w:cs="Arial"/>
          <w:i w:val="0"/>
          <w:iCs w:val="0"/>
          <w:color w:val="000000"/>
        </w:rPr>
        <w:t xml:space="preserve">and shall pay such set off amount to the relevant Statutory Scheme. </w:t>
      </w:r>
    </w:p>
    <w:p w14:paraId="5CA8225A" w14:textId="77777777" w:rsidR="007960A8" w:rsidRDefault="00A26397">
      <w:pPr>
        <w:keepNext/>
        <w:widowControl/>
        <w:numPr>
          <w:ilvl w:val="1"/>
          <w:numId w:val="69"/>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shall also have a right to set off against any payments due to the </w:t>
      </w:r>
      <w:r>
        <w:rPr>
          <w:i/>
          <w:iCs/>
          <w:color w:val="000000"/>
        </w:rPr>
        <w:t>Service Provider</w:t>
      </w:r>
      <w:r>
        <w:rPr>
          <w:color w:val="000000"/>
        </w:rPr>
        <w:t xml:space="preserve"> under the relevant Contract all reasonable costs and expenses incurred by the </w:t>
      </w:r>
      <w:r>
        <w:rPr>
          <w:i/>
          <w:iCs/>
          <w:color w:val="000000"/>
        </w:rPr>
        <w:t>Client</w:t>
      </w:r>
      <w:r>
        <w:rPr>
          <w:color w:val="000000"/>
        </w:rPr>
        <w:t xml:space="preserve"> as result of Paragraph 12.1 above.</w:t>
      </w:r>
    </w:p>
    <w:p w14:paraId="393AC7FD" w14:textId="77777777" w:rsidR="007960A8" w:rsidRDefault="00A26397">
      <w:pPr>
        <w:spacing w:before="120" w:after="120"/>
        <w:rPr>
          <w:b/>
          <w:bCs/>
          <w:sz w:val="36"/>
          <w:szCs w:val="36"/>
        </w:rPr>
      </w:pPr>
      <w:r>
        <w:br w:type="page"/>
      </w:r>
      <w:r>
        <w:rPr>
          <w:b/>
          <w:bCs/>
          <w:sz w:val="36"/>
          <w:szCs w:val="36"/>
        </w:rPr>
        <w:t xml:space="preserve">Annex D1: </w:t>
      </w:r>
    </w:p>
    <w:p w14:paraId="1F1717F8" w14:textId="77777777" w:rsidR="007960A8" w:rsidRDefault="00A26397">
      <w:pPr>
        <w:spacing w:before="120" w:after="120"/>
        <w:rPr>
          <w:b/>
          <w:bCs/>
          <w:sz w:val="36"/>
          <w:szCs w:val="36"/>
        </w:rPr>
      </w:pPr>
      <w:r>
        <w:rPr>
          <w:b/>
          <w:bCs/>
          <w:sz w:val="36"/>
          <w:szCs w:val="36"/>
        </w:rPr>
        <w:t>Civil Service Pensions Schemes (CSPS)</w:t>
      </w:r>
    </w:p>
    <w:p w14:paraId="53FF3D84" w14:textId="77777777" w:rsidR="007960A8" w:rsidRDefault="00A26397">
      <w:pPr>
        <w:keepNext/>
        <w:widowControl/>
        <w:numPr>
          <w:ilvl w:val="0"/>
          <w:numId w:val="73"/>
        </w:numPr>
        <w:pBdr>
          <w:top w:val="nil"/>
          <w:left w:val="nil"/>
          <w:bottom w:val="nil"/>
          <w:right w:val="nil"/>
          <w:between w:val="nil"/>
        </w:pBdr>
        <w:spacing w:before="120" w:after="120"/>
        <w:ind w:left="426" w:hanging="426"/>
        <w:rPr>
          <w:b/>
          <w:bCs/>
          <w:smallCaps/>
          <w:color w:val="000000"/>
        </w:rPr>
      </w:pPr>
      <w:r>
        <w:rPr>
          <w:b/>
          <w:bCs/>
          <w:smallCaps/>
          <w:color w:val="000000"/>
        </w:rPr>
        <w:t>D</w:t>
      </w:r>
      <w:r>
        <w:rPr>
          <w:b/>
          <w:bCs/>
          <w:color w:val="000000"/>
        </w:rPr>
        <w:t>efinitions</w:t>
      </w:r>
    </w:p>
    <w:p w14:paraId="01E7C22E" w14:textId="77777777" w:rsidR="007960A8" w:rsidRDefault="00A26397">
      <w:pPr>
        <w:keepNext/>
        <w:spacing w:before="120" w:after="120"/>
        <w:ind w:left="426" w:hanging="11"/>
      </w:pPr>
      <w:r>
        <w:t xml:space="preserve">In this Annex D1: CSPS to Part D: Pensions, the following words have the </w:t>
      </w:r>
      <w:r>
        <w:t>following meanings and they shall supplement the additional defined terms in clause 11.3:</w:t>
      </w:r>
    </w:p>
    <w:tbl>
      <w:tblPr>
        <w:tblStyle w:val="a5"/>
        <w:tblW w:w="9378" w:type="dxa"/>
        <w:tblInd w:w="-115" w:type="dxa"/>
        <w:tblLayout w:type="fixed"/>
        <w:tblLook w:val="0400" w:firstRow="0" w:lastRow="0" w:firstColumn="0" w:lastColumn="0" w:noHBand="0" w:noVBand="1"/>
      </w:tblPr>
      <w:tblGrid>
        <w:gridCol w:w="2835"/>
        <w:gridCol w:w="6543"/>
      </w:tblGrid>
      <w:tr w:rsidR="007960A8" w14:paraId="242BD940" w14:textId="77777777">
        <w:tc>
          <w:tcPr>
            <w:tcW w:w="2835" w:type="dxa"/>
          </w:tcPr>
          <w:p w14:paraId="33110E4B" w14:textId="77777777" w:rsidR="007960A8" w:rsidRDefault="00A26397">
            <w:pPr>
              <w:spacing w:before="120" w:after="120"/>
              <w:ind w:left="709"/>
              <w:rPr>
                <w:b/>
                <w:bCs/>
                <w:color w:val="000000"/>
              </w:rPr>
            </w:pPr>
            <w:r>
              <w:rPr>
                <w:b/>
                <w:bCs/>
                <w:color w:val="000000"/>
              </w:rPr>
              <w:t>"CSPS Admission Agreement"</w:t>
            </w:r>
          </w:p>
        </w:tc>
        <w:tc>
          <w:tcPr>
            <w:tcW w:w="6543" w:type="dxa"/>
          </w:tcPr>
          <w:p w14:paraId="305E13D7" w14:textId="77777777" w:rsidR="007960A8" w:rsidRDefault="00A26397">
            <w:pPr>
              <w:spacing w:before="120" w:after="120"/>
              <w:rPr>
                <w:color w:val="000000"/>
              </w:rPr>
            </w:pPr>
            <w:r>
              <w:rPr>
                <w:color w:val="000000"/>
              </w:rPr>
              <w:t>an admission agreement in the form available on the Civil Service Pensions website immediately prior to the Relevant Transfer Date to be en</w:t>
            </w:r>
            <w:r>
              <w:rPr>
                <w:color w:val="000000"/>
              </w:rPr>
              <w:t xml:space="preserve">tered into for the CSPS in respect of the </w:t>
            </w:r>
            <w:r>
              <w:rPr>
                <w:i/>
                <w:iCs/>
                <w:color w:val="000000"/>
              </w:rPr>
              <w:t>services</w:t>
            </w:r>
            <w:r>
              <w:rPr>
                <w:color w:val="000000"/>
              </w:rPr>
              <w:t>;</w:t>
            </w:r>
          </w:p>
        </w:tc>
      </w:tr>
      <w:tr w:rsidR="007960A8" w14:paraId="79E3A28E" w14:textId="77777777">
        <w:tc>
          <w:tcPr>
            <w:tcW w:w="2835" w:type="dxa"/>
          </w:tcPr>
          <w:p w14:paraId="413A444A" w14:textId="77777777" w:rsidR="007960A8" w:rsidRDefault="00A26397">
            <w:pPr>
              <w:spacing w:before="120" w:after="120"/>
              <w:ind w:left="709"/>
              <w:rPr>
                <w:b/>
                <w:bCs/>
                <w:color w:val="000000"/>
              </w:rPr>
            </w:pPr>
            <w:r>
              <w:rPr>
                <w:b/>
                <w:bCs/>
                <w:color w:val="000000"/>
              </w:rPr>
              <w:t>"CSPS Eligible Employee"</w:t>
            </w:r>
          </w:p>
        </w:tc>
        <w:tc>
          <w:tcPr>
            <w:tcW w:w="6543" w:type="dxa"/>
          </w:tcPr>
          <w:p w14:paraId="735AB521" w14:textId="77777777" w:rsidR="007960A8" w:rsidRDefault="00A26397">
            <w:pPr>
              <w:spacing w:before="120" w:after="120"/>
              <w:rPr>
                <w:color w:val="000000"/>
              </w:rPr>
            </w:pPr>
            <w:r>
              <w:rPr>
                <w:color w:val="000000"/>
              </w:rPr>
              <w:t>any CSPS Fair Deal Employee who at the relevant time is an active member or eligible to participate in the CSPS under a CSPS Admission Agreement;</w:t>
            </w:r>
          </w:p>
        </w:tc>
      </w:tr>
      <w:tr w:rsidR="007960A8" w14:paraId="2B1CC04E" w14:textId="77777777">
        <w:tc>
          <w:tcPr>
            <w:tcW w:w="2835" w:type="dxa"/>
          </w:tcPr>
          <w:p w14:paraId="2CE00D42" w14:textId="77777777" w:rsidR="007960A8" w:rsidRDefault="00A26397">
            <w:pPr>
              <w:spacing w:before="120" w:after="120"/>
              <w:ind w:left="709"/>
              <w:rPr>
                <w:b/>
                <w:bCs/>
                <w:color w:val="000000"/>
              </w:rPr>
            </w:pPr>
            <w:r>
              <w:rPr>
                <w:b/>
                <w:bCs/>
                <w:color w:val="000000"/>
              </w:rPr>
              <w:t>“CSPS Fair Deal Employee”</w:t>
            </w:r>
          </w:p>
        </w:tc>
        <w:tc>
          <w:tcPr>
            <w:tcW w:w="6543" w:type="dxa"/>
          </w:tcPr>
          <w:p w14:paraId="2A697791" w14:textId="77777777" w:rsidR="007960A8" w:rsidRDefault="00A26397">
            <w:pPr>
              <w:spacing w:before="120" w:after="120"/>
              <w:rPr>
                <w:color w:val="000000"/>
              </w:rPr>
            </w:pPr>
            <w:r>
              <w:rPr>
                <w:color w:val="000000"/>
              </w:rPr>
              <w:t>a Fair Deal Employee who at the Relevant Transfer Date is or becomes entitled to pr</w:t>
            </w:r>
            <w:r>
              <w:rPr>
                <w:color w:val="000000"/>
              </w:rPr>
              <w:t>otection in respect of the CSPS in accordance with the provisions of New Fair Deal; and</w:t>
            </w:r>
          </w:p>
        </w:tc>
      </w:tr>
      <w:tr w:rsidR="007960A8" w14:paraId="4C24D004" w14:textId="77777777">
        <w:tc>
          <w:tcPr>
            <w:tcW w:w="2835" w:type="dxa"/>
          </w:tcPr>
          <w:p w14:paraId="090A46E2" w14:textId="77777777" w:rsidR="007960A8" w:rsidRDefault="00A26397">
            <w:pPr>
              <w:spacing w:before="120" w:after="120"/>
              <w:ind w:left="709"/>
            </w:pPr>
            <w:r>
              <w:rPr>
                <w:b/>
                <w:bCs/>
                <w:color w:val="000000"/>
              </w:rPr>
              <w:t>"CSPS"</w:t>
            </w:r>
          </w:p>
        </w:tc>
        <w:tc>
          <w:tcPr>
            <w:tcW w:w="6543" w:type="dxa"/>
          </w:tcPr>
          <w:p w14:paraId="6A4DF7B5" w14:textId="77777777" w:rsidR="007960A8" w:rsidRDefault="00A26397">
            <w:pPr>
              <w:spacing w:before="120" w:after="120"/>
            </w:pPr>
            <w:r>
              <w:rPr>
                <w:color w:val="222222"/>
                <w:highlight w:val="white"/>
              </w:rPr>
              <w:t>the Principal Civil Service Pension Scheme available to Civil Servants and employees of bodies under Schedule 1 of the Superannuation Act 1972 (and eligible emp</w:t>
            </w:r>
            <w:r>
              <w:rPr>
                <w:color w:val="222222"/>
                <w:highlight w:val="white"/>
              </w:rPr>
              <w:t>loyees of other bodies admitted to participate under a determination under section 25 of the Public Service Pensions Act 2013), as governed by rules adopted by Parliament; the Partnership Pension Account and its (i) Ill health Benefits Arrangements and (ii</w:t>
            </w:r>
            <w:r>
              <w:rPr>
                <w:color w:val="222222"/>
                <w:highlight w:val="white"/>
              </w:rPr>
              <w:t>) Death Benefits Arrangements; the Civil Service Additional Voluntary Contribution Scheme; and "alpha" introduced under The Public Service (Civil Servants and Others) Pensions Regulations 2014.</w:t>
            </w:r>
          </w:p>
        </w:tc>
      </w:tr>
    </w:tbl>
    <w:p w14:paraId="3B4D0D8F" w14:textId="77777777" w:rsidR="007960A8" w:rsidRDefault="00A26397">
      <w:pPr>
        <w:keepNext/>
        <w:widowControl/>
        <w:numPr>
          <w:ilvl w:val="0"/>
          <w:numId w:val="73"/>
        </w:numPr>
        <w:pBdr>
          <w:top w:val="nil"/>
          <w:left w:val="nil"/>
          <w:bottom w:val="nil"/>
          <w:right w:val="nil"/>
          <w:between w:val="nil"/>
        </w:pBdr>
        <w:spacing w:before="120" w:after="120"/>
        <w:ind w:left="426" w:hanging="426"/>
        <w:rPr>
          <w:b/>
          <w:bCs/>
          <w:smallCaps/>
          <w:color w:val="000000"/>
        </w:rPr>
      </w:pPr>
      <w:r>
        <w:rPr>
          <w:b/>
          <w:bCs/>
          <w:color w:val="000000"/>
        </w:rPr>
        <w:t>Access to equivalent pension schemes after transfer</w:t>
      </w:r>
    </w:p>
    <w:p w14:paraId="160DF434" w14:textId="77777777" w:rsidR="007960A8" w:rsidRDefault="00A26397">
      <w:pPr>
        <w:widowControl/>
        <w:numPr>
          <w:ilvl w:val="1"/>
          <w:numId w:val="73"/>
        </w:numPr>
        <w:pBdr>
          <w:top w:val="nil"/>
          <w:left w:val="nil"/>
          <w:bottom w:val="nil"/>
          <w:right w:val="nil"/>
          <w:between w:val="nil"/>
        </w:pBdr>
        <w:spacing w:before="120" w:after="120"/>
        <w:ind w:left="1134" w:hanging="708"/>
        <w:rPr>
          <w:color w:val="000000"/>
        </w:rPr>
      </w:pPr>
      <w:r>
        <w:rPr>
          <w:color w:val="000000"/>
        </w:rPr>
        <w:t xml:space="preserve">In accordance with New Fair Deal, the </w:t>
      </w:r>
      <w:r>
        <w:rPr>
          <w:i/>
          <w:iCs/>
          <w:color w:val="000000"/>
        </w:rPr>
        <w:t>Service Provider</w:t>
      </w:r>
      <w:r>
        <w:rPr>
          <w:color w:val="000000"/>
        </w:rPr>
        <w:t xml:space="preserve"> and/or any of its Subcontractors to which the employment of any CSPS Fair Deal Employee compulsorily transfers as a result of either the award of the relevant Contract or a Relevant Transfer, if not an</w:t>
      </w:r>
      <w:r>
        <w:rPr>
          <w:color w:val="000000"/>
        </w:rPr>
        <w:t xml:space="preserve"> employer which participates automatically in the CSPS, shall each secure a CSPS Admission Agreement to ensure that CSPS Fair Deal Employees or CSPS Eligible Employees as appropriate shall be either admitted into, or offered continued membership of, the re</w:t>
      </w:r>
      <w:r>
        <w:rPr>
          <w:color w:val="000000"/>
        </w:rPr>
        <w:t xml:space="preserve">levant section of the CSPS that they currently contribute to, or were eligible to join immediately prior to the Relevant Transfer Date or became eligible to join on the Relevant Transfer Date. The </w:t>
      </w:r>
      <w:r>
        <w:rPr>
          <w:i/>
          <w:iCs/>
          <w:color w:val="000000"/>
        </w:rPr>
        <w:t>Service Provider</w:t>
      </w:r>
      <w:r>
        <w:rPr>
          <w:color w:val="000000"/>
        </w:rPr>
        <w:t xml:space="preserve"> and/or any of its Subcontractors shall pro</w:t>
      </w:r>
      <w:r>
        <w:rPr>
          <w:color w:val="000000"/>
        </w:rPr>
        <w:t xml:space="preserve">cure that the CSPS Fair Deal Employees continue to accrue benefits in the CSPS in accordance with the provisions governing the relevant section of the CSPS for service from (and including) the Relevant Transfer Date. </w:t>
      </w:r>
    </w:p>
    <w:p w14:paraId="305E2CC8" w14:textId="77777777" w:rsidR="007960A8" w:rsidRDefault="00A26397">
      <w:pPr>
        <w:widowControl/>
        <w:numPr>
          <w:ilvl w:val="1"/>
          <w:numId w:val="73"/>
        </w:numPr>
        <w:pBdr>
          <w:top w:val="nil"/>
          <w:left w:val="nil"/>
          <w:bottom w:val="nil"/>
          <w:right w:val="nil"/>
          <w:between w:val="nil"/>
        </w:pBdr>
        <w:spacing w:before="120" w:after="120"/>
        <w:ind w:left="1134" w:hanging="708"/>
        <w:rPr>
          <w:color w:val="000000"/>
        </w:rPr>
      </w:pPr>
      <w:bookmarkStart w:id="58" w:name="_heading=h.2u6wntf" w:colFirst="0" w:colLast="0"/>
      <w:bookmarkEnd w:id="58"/>
      <w:r>
        <w:rPr>
          <w:color w:val="000000"/>
        </w:rPr>
        <w:t xml:space="preserve">If the </w:t>
      </w:r>
      <w:r>
        <w:rPr>
          <w:i/>
          <w:iCs/>
          <w:color w:val="000000"/>
        </w:rPr>
        <w:t>Service Provider</w:t>
      </w:r>
      <w:r>
        <w:rPr>
          <w:color w:val="000000"/>
        </w:rPr>
        <w:t xml:space="preserve"> and/or any of </w:t>
      </w:r>
      <w:r>
        <w:rPr>
          <w:color w:val="000000"/>
        </w:rPr>
        <w:t xml:space="preserve">its Subcontractors enters into a CSPS Admission Agreement in accordance with Paragraph 2.1 but the CSPS Admission Agreement is terminated during the term of the relevant Contract for any reason at a time when the </w:t>
      </w:r>
      <w:r>
        <w:rPr>
          <w:i/>
          <w:iCs/>
          <w:color w:val="000000"/>
        </w:rPr>
        <w:t>Service Provider</w:t>
      </w:r>
      <w:r>
        <w:rPr>
          <w:color w:val="000000"/>
        </w:rPr>
        <w:t xml:space="preserve"> or Subcontractor still emp</w:t>
      </w:r>
      <w:r>
        <w:rPr>
          <w:color w:val="000000"/>
        </w:rPr>
        <w:t xml:space="preserve">loys any CSPS Eligible Employees, the </w:t>
      </w:r>
      <w:r>
        <w:rPr>
          <w:i/>
          <w:iCs/>
          <w:color w:val="000000"/>
        </w:rPr>
        <w:t>Service Provider</w:t>
      </w:r>
      <w:r>
        <w:rPr>
          <w:color w:val="000000"/>
        </w:rPr>
        <w:t xml:space="preserve"> shall (and procure that its Subcontractors shall) at no extra cost to the </w:t>
      </w:r>
      <w:r>
        <w:rPr>
          <w:i/>
          <w:iCs/>
          <w:color w:val="000000"/>
        </w:rPr>
        <w:t>Client</w:t>
      </w:r>
      <w:r>
        <w:rPr>
          <w:color w:val="000000"/>
        </w:rPr>
        <w:t>, offer the remaining CSPS Eligible Employees membership of a pension scheme which is Broadly Comparable to the CSPS on t</w:t>
      </w:r>
      <w:r>
        <w:rPr>
          <w:color w:val="000000"/>
        </w:rPr>
        <w:t xml:space="preserve">he date those CSPS Eligible Employees ceased to participate in the CSPS in accordance with the provisions of Paragraph 11 of Part D. </w:t>
      </w:r>
    </w:p>
    <w:p w14:paraId="27E8CFD9" w14:textId="77777777" w:rsidR="007960A8" w:rsidRDefault="007960A8">
      <w:pPr>
        <w:spacing w:before="120" w:after="120"/>
      </w:pPr>
    </w:p>
    <w:p w14:paraId="297A6D7B" w14:textId="77777777" w:rsidR="007960A8" w:rsidRDefault="00A26397">
      <w:pPr>
        <w:spacing w:before="120" w:after="120"/>
        <w:rPr>
          <w:b/>
          <w:bCs/>
          <w:sz w:val="36"/>
          <w:szCs w:val="36"/>
        </w:rPr>
      </w:pPr>
      <w:r>
        <w:br w:type="page"/>
      </w:r>
      <w:r>
        <w:rPr>
          <w:b/>
          <w:bCs/>
          <w:sz w:val="36"/>
          <w:szCs w:val="36"/>
        </w:rPr>
        <w:t>Annex D2: NHS Pension Schemes</w:t>
      </w:r>
    </w:p>
    <w:p w14:paraId="58C6E39F"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r>
        <w:rPr>
          <w:b/>
          <w:bCs/>
          <w:smallCaps/>
          <w:color w:val="000000"/>
        </w:rPr>
        <w:t>D</w:t>
      </w:r>
      <w:r>
        <w:rPr>
          <w:b/>
          <w:bCs/>
          <w:color w:val="000000"/>
        </w:rPr>
        <w:t>efinitions</w:t>
      </w:r>
    </w:p>
    <w:p w14:paraId="61171FBB" w14:textId="77777777" w:rsidR="007960A8" w:rsidRDefault="00A26397">
      <w:pPr>
        <w:keepNext/>
        <w:spacing w:before="120" w:after="120"/>
        <w:ind w:left="426" w:hanging="11"/>
      </w:pPr>
      <w:r>
        <w:t>In this Annex D2: NHSPS to Part D: Pensions, the following words have the foll</w:t>
      </w:r>
      <w:r>
        <w:t>owing meanings and they shall supplement the additional defined terms in clause 11.3:</w:t>
      </w:r>
    </w:p>
    <w:tbl>
      <w:tblPr>
        <w:tblStyle w:val="a6"/>
        <w:tblW w:w="9026" w:type="dxa"/>
        <w:tblInd w:w="-115" w:type="dxa"/>
        <w:tblLayout w:type="fixed"/>
        <w:tblLook w:val="0400" w:firstRow="0" w:lastRow="0" w:firstColumn="0" w:lastColumn="0" w:noHBand="0" w:noVBand="1"/>
      </w:tblPr>
      <w:tblGrid>
        <w:gridCol w:w="3397"/>
        <w:gridCol w:w="5629"/>
      </w:tblGrid>
      <w:tr w:rsidR="007960A8" w14:paraId="5CC6E56D" w14:textId="77777777">
        <w:tc>
          <w:tcPr>
            <w:tcW w:w="3397" w:type="dxa"/>
          </w:tcPr>
          <w:p w14:paraId="4F292206" w14:textId="77777777" w:rsidR="007960A8" w:rsidRDefault="00A26397">
            <w:pPr>
              <w:spacing w:before="120" w:after="120"/>
              <w:ind w:left="720"/>
              <w:rPr>
                <w:b/>
                <w:bCs/>
              </w:rPr>
            </w:pPr>
            <w:r>
              <w:rPr>
                <w:b/>
                <w:bCs/>
              </w:rPr>
              <w:t>"Direction Letter/Determination"</w:t>
            </w:r>
          </w:p>
        </w:tc>
        <w:tc>
          <w:tcPr>
            <w:tcW w:w="5629" w:type="dxa"/>
          </w:tcPr>
          <w:p w14:paraId="780B18E4" w14:textId="77777777" w:rsidR="007960A8" w:rsidRDefault="00A26397">
            <w:pPr>
              <w:spacing w:before="120" w:after="120"/>
              <w:rPr>
                <w:color w:val="000000"/>
              </w:rPr>
            </w:pPr>
            <w:r>
              <w:rPr>
                <w:color w:val="000000"/>
              </w:rPr>
              <w:t>an NHS Pensions Direction or Determination (as appropriate) issued by the Secretary of State in exercise of the powers conferred by secti</w:t>
            </w:r>
            <w:r>
              <w:rPr>
                <w:color w:val="000000"/>
              </w:rPr>
              <w:t xml:space="preserve">on 7 of the Superannuation (Miscellaneous Provisions) Act 1967 or by section 25 of the Public Service Pensions Act 2013 (as appropriate) and issued to the </w:t>
            </w:r>
            <w:r>
              <w:rPr>
                <w:i/>
                <w:iCs/>
                <w:color w:val="000000"/>
              </w:rPr>
              <w:t>Service Provider</w:t>
            </w:r>
            <w:r>
              <w:rPr>
                <w:color w:val="000000"/>
              </w:rPr>
              <w:t xml:space="preserve"> or a Subcontractor of the </w:t>
            </w:r>
            <w:r>
              <w:rPr>
                <w:i/>
                <w:iCs/>
                <w:color w:val="000000"/>
              </w:rPr>
              <w:t>Service Provider</w:t>
            </w:r>
            <w:r>
              <w:rPr>
                <w:color w:val="000000"/>
              </w:rPr>
              <w:t xml:space="preserve"> (as appropriate) relating to the terms of participation of the </w:t>
            </w:r>
            <w:r>
              <w:rPr>
                <w:i/>
                <w:iCs/>
                <w:color w:val="000000"/>
              </w:rPr>
              <w:t>Service Provider</w:t>
            </w:r>
            <w:r>
              <w:rPr>
                <w:color w:val="000000"/>
              </w:rPr>
              <w:t xml:space="preserve"> or Subcontractor in the NHSPS in respect of the NHSPS Fair Deal Employees;</w:t>
            </w:r>
          </w:p>
        </w:tc>
      </w:tr>
      <w:tr w:rsidR="007960A8" w14:paraId="51DBFBE0" w14:textId="77777777">
        <w:tc>
          <w:tcPr>
            <w:tcW w:w="3397" w:type="dxa"/>
          </w:tcPr>
          <w:p w14:paraId="555C7783" w14:textId="77777777" w:rsidR="007960A8" w:rsidRDefault="00A26397">
            <w:pPr>
              <w:spacing w:before="120" w:after="120"/>
              <w:ind w:left="720"/>
              <w:rPr>
                <w:b/>
                <w:bCs/>
              </w:rPr>
            </w:pPr>
            <w:r>
              <w:rPr>
                <w:b/>
                <w:bCs/>
              </w:rPr>
              <w:t>“NHS Broadly Comparable Employees”</w:t>
            </w:r>
          </w:p>
        </w:tc>
        <w:tc>
          <w:tcPr>
            <w:tcW w:w="5629" w:type="dxa"/>
          </w:tcPr>
          <w:p w14:paraId="5761D287" w14:textId="77777777" w:rsidR="007960A8" w:rsidRDefault="00A26397">
            <w:pPr>
              <w:spacing w:before="120" w:after="120"/>
              <w:rPr>
                <w:color w:val="000000"/>
              </w:rPr>
            </w:pPr>
            <w:r>
              <w:rPr>
                <w:color w:val="000000"/>
              </w:rPr>
              <w:t>each of the Fair Deal Employees who at a Relevant Transfer Date was a member of, or was entitled to become a member of, or but for their compulsory transfer of employment would have been entitled to be or become a member of, the NHSPS as a result of either</w:t>
            </w:r>
            <w:r>
              <w:rPr>
                <w:color w:val="000000"/>
              </w:rPr>
              <w:t>:</w:t>
            </w:r>
          </w:p>
          <w:p w14:paraId="5ED65B22" w14:textId="77777777" w:rsidR="007960A8" w:rsidRDefault="00A26397">
            <w:pPr>
              <w:spacing w:before="120" w:after="120"/>
              <w:ind w:left="720" w:hanging="720"/>
              <w:rPr>
                <w:color w:val="000000"/>
              </w:rPr>
            </w:pPr>
            <w:r>
              <w:rPr>
                <w:color w:val="000000"/>
              </w:rPr>
              <w:t xml:space="preserve">(a)     their employment with the </w:t>
            </w:r>
            <w:r>
              <w:rPr>
                <w:i/>
                <w:iCs/>
                <w:color w:val="000000"/>
              </w:rPr>
              <w:t>Client,</w:t>
            </w:r>
            <w:r>
              <w:rPr>
                <w:color w:val="000000"/>
              </w:rPr>
              <w:t xml:space="preserve"> an NHS Body or other employer which participates automatically in the NHSPS; or</w:t>
            </w:r>
          </w:p>
          <w:p w14:paraId="60731C3D" w14:textId="77777777" w:rsidR="007960A8" w:rsidRDefault="00A26397">
            <w:pPr>
              <w:spacing w:before="120" w:after="120"/>
              <w:ind w:left="720" w:hanging="720"/>
              <w:rPr>
                <w:color w:val="000000"/>
              </w:rPr>
            </w:pPr>
            <w:r>
              <w:rPr>
                <w:color w:val="000000"/>
              </w:rPr>
              <w:t>(b)      their employment with a Former Service Provider who provides access to either the NHSPS pursuant to a Direction Letter/Dete</w:t>
            </w:r>
            <w:r>
              <w:rPr>
                <w:color w:val="000000"/>
              </w:rPr>
              <w:t xml:space="preserve">rmination or to a Broadly Comparable pension scheme in respect of their employment with that Former Service Provider (on the basis that they are entitled to protection under New Fair Deal (or previous guidance), having been formerly in employment with the </w:t>
            </w:r>
            <w:r>
              <w:rPr>
                <w:i/>
                <w:iCs/>
                <w:color w:val="000000"/>
              </w:rPr>
              <w:t>Client</w:t>
            </w:r>
            <w:r>
              <w:rPr>
                <w:color w:val="000000"/>
              </w:rPr>
              <w:t xml:space="preserve">, an NHS Body or other employer who participated automatically in the NHSPS in connection with the </w:t>
            </w:r>
            <w:r>
              <w:rPr>
                <w:i/>
                <w:iCs/>
                <w:color w:val="000000"/>
              </w:rPr>
              <w:t>services</w:t>
            </w:r>
            <w:r>
              <w:rPr>
                <w:color w:val="000000"/>
              </w:rPr>
              <w:t>, prior to being employed by the Former Service Provider),</w:t>
            </w:r>
          </w:p>
          <w:p w14:paraId="3B0F37C9" w14:textId="77777777" w:rsidR="007960A8" w:rsidRDefault="00A26397">
            <w:pPr>
              <w:spacing w:before="120" w:after="120"/>
              <w:rPr>
                <w:color w:val="000000"/>
              </w:rPr>
            </w:pPr>
            <w:r>
              <w:t>but who is now ineligible to participate in the NHSPS under the rules of the NHSPS a</w:t>
            </w:r>
            <w:r>
              <w:t xml:space="preserve">nd in respect of whom the </w:t>
            </w:r>
            <w:r>
              <w:rPr>
                <w:i/>
                <w:iCs/>
              </w:rPr>
              <w:t>Client</w:t>
            </w:r>
            <w:r>
              <w:t xml:space="preserve"> has agreed are to be provided with a Broadly Comparable pension scheme to provide Pension Benefits that are Broadly Comparable to those provided under the NHSPS.</w:t>
            </w:r>
          </w:p>
        </w:tc>
      </w:tr>
      <w:tr w:rsidR="007960A8" w14:paraId="75366497" w14:textId="77777777">
        <w:tc>
          <w:tcPr>
            <w:tcW w:w="3397" w:type="dxa"/>
          </w:tcPr>
          <w:p w14:paraId="7F5AA2C1" w14:textId="77777777" w:rsidR="007960A8" w:rsidRDefault="00A26397">
            <w:pPr>
              <w:spacing w:before="120" w:after="120"/>
              <w:ind w:left="720"/>
              <w:rPr>
                <w:b/>
                <w:bCs/>
              </w:rPr>
            </w:pPr>
            <w:r>
              <w:rPr>
                <w:b/>
                <w:bCs/>
              </w:rPr>
              <w:t>"NHSPS Eligible Employees"</w:t>
            </w:r>
          </w:p>
        </w:tc>
        <w:tc>
          <w:tcPr>
            <w:tcW w:w="5629" w:type="dxa"/>
          </w:tcPr>
          <w:p w14:paraId="5322B2E9" w14:textId="77777777" w:rsidR="007960A8" w:rsidRDefault="00A26397">
            <w:pPr>
              <w:spacing w:before="120" w:after="120"/>
              <w:rPr>
                <w:color w:val="000000"/>
              </w:rPr>
            </w:pPr>
            <w:r>
              <w:rPr>
                <w:color w:val="000000"/>
              </w:rPr>
              <w:t xml:space="preserve">any NHSPS Fair Deal Employee who </w:t>
            </w:r>
            <w:r>
              <w:rPr>
                <w:color w:val="000000"/>
              </w:rPr>
              <w:t>at the relevant time is an active member or eligible to participate in the NHSPS under a Direction Letter/Determination Letter.</w:t>
            </w:r>
          </w:p>
        </w:tc>
      </w:tr>
      <w:tr w:rsidR="007960A8" w14:paraId="536EA8FF" w14:textId="77777777">
        <w:tc>
          <w:tcPr>
            <w:tcW w:w="3397" w:type="dxa"/>
          </w:tcPr>
          <w:p w14:paraId="42BDEDCA" w14:textId="77777777" w:rsidR="007960A8" w:rsidRDefault="00A26397">
            <w:pPr>
              <w:spacing w:before="120" w:after="120"/>
              <w:ind w:left="720"/>
              <w:rPr>
                <w:b/>
                <w:bCs/>
              </w:rPr>
            </w:pPr>
            <w:r>
              <w:rPr>
                <w:b/>
                <w:bCs/>
              </w:rPr>
              <w:t>"NHSPS Fair Deal  Employees"</w:t>
            </w:r>
          </w:p>
        </w:tc>
        <w:tc>
          <w:tcPr>
            <w:tcW w:w="5629" w:type="dxa"/>
          </w:tcPr>
          <w:p w14:paraId="0B583ED2" w14:textId="77777777" w:rsidR="007960A8" w:rsidRDefault="00A26397">
            <w:pPr>
              <w:spacing w:before="120" w:after="120"/>
              <w:rPr>
                <w:color w:val="000000"/>
              </w:rPr>
            </w:pPr>
            <w:r>
              <w:rPr>
                <w:color w:val="000000"/>
              </w:rPr>
              <w:t>other than the NHS Broadly Comparable Employees, each of the Fair Deal Employees who at a Relevant</w:t>
            </w:r>
            <w:r>
              <w:rPr>
                <w:color w:val="000000"/>
              </w:rPr>
              <w:t xml:space="preserve"> Transfer Date was a member of, or was entitled to become a member of, or but for their compulsory transfer of employment would have been entitled to be or become a member of, the NHSPS as a result of either: </w:t>
            </w:r>
          </w:p>
        </w:tc>
      </w:tr>
      <w:tr w:rsidR="007960A8" w14:paraId="24E32CB5" w14:textId="77777777">
        <w:tc>
          <w:tcPr>
            <w:tcW w:w="3397" w:type="dxa"/>
          </w:tcPr>
          <w:p w14:paraId="57562D01" w14:textId="77777777" w:rsidR="007960A8" w:rsidRDefault="007960A8">
            <w:pPr>
              <w:spacing w:before="120" w:after="120"/>
              <w:ind w:left="720"/>
              <w:rPr>
                <w:b/>
                <w:bCs/>
              </w:rPr>
            </w:pPr>
          </w:p>
        </w:tc>
        <w:tc>
          <w:tcPr>
            <w:tcW w:w="5629" w:type="dxa"/>
          </w:tcPr>
          <w:p w14:paraId="20096E8F" w14:textId="77777777" w:rsidR="007960A8" w:rsidRDefault="00A26397">
            <w:pPr>
              <w:numPr>
                <w:ilvl w:val="0"/>
                <w:numId w:val="76"/>
              </w:numPr>
              <w:spacing w:before="120" w:after="120"/>
              <w:ind w:left="743" w:hanging="709"/>
              <w:rPr>
                <w:color w:val="000000"/>
              </w:rPr>
            </w:pPr>
            <w:r>
              <w:rPr>
                <w:color w:val="000000"/>
              </w:rPr>
              <w:t xml:space="preserve">their employment with the </w:t>
            </w:r>
            <w:r>
              <w:rPr>
                <w:i/>
                <w:iCs/>
                <w:color w:val="000000"/>
              </w:rPr>
              <w:t>Client,</w:t>
            </w:r>
            <w:r>
              <w:rPr>
                <w:color w:val="000000"/>
              </w:rPr>
              <w:t xml:space="preserve"> an NHS Bod</w:t>
            </w:r>
            <w:r>
              <w:rPr>
                <w:color w:val="000000"/>
              </w:rPr>
              <w:t>y or other employer which participates automatically in the NHSPS; or</w:t>
            </w:r>
          </w:p>
        </w:tc>
      </w:tr>
      <w:tr w:rsidR="007960A8" w14:paraId="0C69D251" w14:textId="77777777">
        <w:tc>
          <w:tcPr>
            <w:tcW w:w="3397" w:type="dxa"/>
          </w:tcPr>
          <w:p w14:paraId="3A36DD8B" w14:textId="77777777" w:rsidR="007960A8" w:rsidRDefault="007960A8">
            <w:pPr>
              <w:spacing w:before="120" w:after="120"/>
              <w:ind w:left="720"/>
              <w:rPr>
                <w:b/>
                <w:bCs/>
              </w:rPr>
            </w:pPr>
          </w:p>
        </w:tc>
        <w:tc>
          <w:tcPr>
            <w:tcW w:w="5629" w:type="dxa"/>
          </w:tcPr>
          <w:p w14:paraId="65DDE367" w14:textId="77777777" w:rsidR="007960A8" w:rsidRDefault="00A26397">
            <w:pPr>
              <w:numPr>
                <w:ilvl w:val="0"/>
                <w:numId w:val="76"/>
              </w:numPr>
              <w:spacing w:before="120" w:after="120"/>
              <w:ind w:left="695" w:hanging="646"/>
              <w:rPr>
                <w:color w:val="000000"/>
              </w:rPr>
            </w:pPr>
            <w:r>
              <w:rPr>
                <w:color w:val="000000"/>
              </w:rPr>
              <w:t>their employment with a Former Service Provider who provides access to the NHSPS pursuant to a Direction Letter/Determination or to a Broadly Comparable pension scheme in respect of their employment with that Former Service Provider (on the basis that they</w:t>
            </w:r>
            <w:r>
              <w:rPr>
                <w:color w:val="000000"/>
              </w:rPr>
              <w:t xml:space="preserve"> are </w:t>
            </w:r>
            <w:r>
              <w:t>entitled</w:t>
            </w:r>
            <w:r>
              <w:rPr>
                <w:color w:val="000000"/>
              </w:rPr>
              <w:t xml:space="preserve"> to protection under New Fair Deal (or previous guidance), having been formerly in employment with the </w:t>
            </w:r>
            <w:r>
              <w:rPr>
                <w:i/>
                <w:iCs/>
                <w:color w:val="000000"/>
              </w:rPr>
              <w:t>Client</w:t>
            </w:r>
            <w:r>
              <w:rPr>
                <w:color w:val="000000"/>
              </w:rPr>
              <w:t xml:space="preserve">, an NHS Body or other employer who participated automatically in the NHSPS in connection with the </w:t>
            </w:r>
            <w:r>
              <w:rPr>
                <w:i/>
                <w:iCs/>
                <w:color w:val="000000"/>
              </w:rPr>
              <w:t>services</w:t>
            </w:r>
            <w:r>
              <w:rPr>
                <w:color w:val="000000"/>
              </w:rPr>
              <w:t>, prior to being employed b</w:t>
            </w:r>
            <w:r>
              <w:rPr>
                <w:color w:val="000000"/>
              </w:rPr>
              <w:t>y the Former Service Provider),</w:t>
            </w:r>
          </w:p>
        </w:tc>
      </w:tr>
      <w:tr w:rsidR="007960A8" w14:paraId="5BAF0DC1" w14:textId="77777777">
        <w:tc>
          <w:tcPr>
            <w:tcW w:w="3397" w:type="dxa"/>
          </w:tcPr>
          <w:p w14:paraId="52B6367B" w14:textId="77777777" w:rsidR="007960A8" w:rsidRDefault="007960A8">
            <w:pPr>
              <w:spacing w:before="120" w:after="120"/>
              <w:ind w:left="720"/>
              <w:rPr>
                <w:b/>
                <w:bCs/>
              </w:rPr>
            </w:pPr>
          </w:p>
        </w:tc>
        <w:tc>
          <w:tcPr>
            <w:tcW w:w="5629" w:type="dxa"/>
          </w:tcPr>
          <w:p w14:paraId="3354EA58" w14:textId="77777777" w:rsidR="007960A8" w:rsidRDefault="00A26397">
            <w:pPr>
              <w:spacing w:before="120" w:after="120"/>
              <w:rPr>
                <w:color w:val="000000"/>
              </w:rPr>
            </w:pPr>
            <w:r>
              <w:rPr>
                <w:color w:val="000000"/>
              </w:rPr>
              <w:t xml:space="preserve">and, in each case, being continuously engaged for more than fifty per cent (50%) of their employed time in the delivery of </w:t>
            </w:r>
            <w:r>
              <w:rPr>
                <w:i/>
                <w:iCs/>
                <w:color w:val="000000"/>
              </w:rPr>
              <w:t>services</w:t>
            </w:r>
            <w:r>
              <w:rPr>
                <w:color w:val="000000"/>
              </w:rPr>
              <w:t xml:space="preserve"> (the same as or similar to the </w:t>
            </w:r>
            <w:r>
              <w:rPr>
                <w:i/>
                <w:iCs/>
                <w:color w:val="000000"/>
              </w:rPr>
              <w:t>services</w:t>
            </w:r>
            <w:r>
              <w:rPr>
                <w:color w:val="000000"/>
              </w:rPr>
              <w:t>).</w:t>
            </w:r>
          </w:p>
        </w:tc>
      </w:tr>
      <w:tr w:rsidR="007960A8" w14:paraId="272F53EB" w14:textId="77777777">
        <w:tc>
          <w:tcPr>
            <w:tcW w:w="3397" w:type="dxa"/>
          </w:tcPr>
          <w:p w14:paraId="65AF9282" w14:textId="77777777" w:rsidR="007960A8" w:rsidRDefault="007960A8">
            <w:pPr>
              <w:spacing w:before="120" w:after="120"/>
              <w:ind w:left="720"/>
              <w:rPr>
                <w:b/>
                <w:bCs/>
              </w:rPr>
            </w:pPr>
          </w:p>
        </w:tc>
        <w:tc>
          <w:tcPr>
            <w:tcW w:w="5629" w:type="dxa"/>
          </w:tcPr>
          <w:p w14:paraId="1B946690" w14:textId="77777777" w:rsidR="007960A8" w:rsidRDefault="00A26397">
            <w:pPr>
              <w:spacing w:before="120" w:after="120"/>
              <w:rPr>
                <w:color w:val="000000"/>
              </w:rPr>
            </w:pPr>
            <w:r>
              <w:rPr>
                <w:color w:val="000000"/>
              </w:rPr>
              <w:t xml:space="preserve">For the avoidance of doubt, an individual who </w:t>
            </w:r>
            <w:r>
              <w:rPr>
                <w:color w:val="000000"/>
              </w:rPr>
              <w:t xml:space="preserve">is in or entitled to become a member of the NHSPS as a result of being engaged in the </w:t>
            </w:r>
            <w:r>
              <w:rPr>
                <w:i/>
                <w:iCs/>
                <w:color w:val="000000"/>
              </w:rPr>
              <w:t>services</w:t>
            </w:r>
            <w:r>
              <w:rPr>
                <w:color w:val="000000"/>
              </w:rPr>
              <w:t xml:space="preserve"> and being covered by an "open" Direction Letter/ Determination or other NHSPS "access" facility but who has never been employed directly by the </w:t>
            </w:r>
            <w:r>
              <w:rPr>
                <w:i/>
                <w:iCs/>
                <w:color w:val="000000"/>
              </w:rPr>
              <w:t>Client</w:t>
            </w:r>
            <w:r>
              <w:rPr>
                <w:color w:val="000000"/>
              </w:rPr>
              <w:t>, an NHS Bo</w:t>
            </w:r>
            <w:r>
              <w:rPr>
                <w:color w:val="000000"/>
              </w:rPr>
              <w:t xml:space="preserve">dy (or other body which participates automatically in the NHSPS) is not an NHSPS Fair Deal Employee;  </w:t>
            </w:r>
          </w:p>
        </w:tc>
      </w:tr>
      <w:tr w:rsidR="007960A8" w14:paraId="7029E379" w14:textId="77777777">
        <w:tc>
          <w:tcPr>
            <w:tcW w:w="3397" w:type="dxa"/>
          </w:tcPr>
          <w:p w14:paraId="5DB31B49" w14:textId="77777777" w:rsidR="007960A8" w:rsidRDefault="00A26397">
            <w:pPr>
              <w:spacing w:before="120" w:after="120"/>
              <w:ind w:left="993"/>
              <w:rPr>
                <w:b/>
                <w:bCs/>
              </w:rPr>
            </w:pPr>
            <w:r>
              <w:rPr>
                <w:b/>
                <w:bCs/>
              </w:rPr>
              <w:t>"NHS Body"</w:t>
            </w:r>
          </w:p>
        </w:tc>
        <w:tc>
          <w:tcPr>
            <w:tcW w:w="5629" w:type="dxa"/>
          </w:tcPr>
          <w:p w14:paraId="3B2AB336" w14:textId="77777777" w:rsidR="007960A8" w:rsidRDefault="00A26397">
            <w:pPr>
              <w:spacing w:before="120" w:after="120"/>
              <w:rPr>
                <w:color w:val="000000"/>
              </w:rPr>
            </w:pPr>
            <w:r>
              <w:rPr>
                <w:color w:val="000000"/>
              </w:rPr>
              <w:t>has the meaning given to it in section 275 of the National Health Service Act 2006 as amended by section 138(2)(c) of Schedule 4 to the Healt</w:t>
            </w:r>
            <w:r>
              <w:rPr>
                <w:color w:val="000000"/>
              </w:rPr>
              <w:t xml:space="preserve">h and Social Care Act 2012; </w:t>
            </w:r>
          </w:p>
        </w:tc>
      </w:tr>
      <w:tr w:rsidR="007960A8" w14:paraId="7A1784D9" w14:textId="77777777">
        <w:tc>
          <w:tcPr>
            <w:tcW w:w="3397" w:type="dxa"/>
          </w:tcPr>
          <w:p w14:paraId="12089664" w14:textId="77777777" w:rsidR="007960A8" w:rsidRDefault="00A26397">
            <w:pPr>
              <w:spacing w:before="120" w:after="120"/>
              <w:ind w:left="993"/>
              <w:rPr>
                <w:b/>
                <w:bCs/>
              </w:rPr>
            </w:pPr>
            <w:r>
              <w:rPr>
                <w:b/>
                <w:bCs/>
              </w:rPr>
              <w:t>"NHS Pensions"</w:t>
            </w:r>
          </w:p>
        </w:tc>
        <w:tc>
          <w:tcPr>
            <w:tcW w:w="5629" w:type="dxa"/>
          </w:tcPr>
          <w:p w14:paraId="6E7E3080" w14:textId="77777777" w:rsidR="007960A8" w:rsidRDefault="00A26397">
            <w:pPr>
              <w:spacing w:before="120" w:after="120"/>
              <w:rPr>
                <w:color w:val="000000"/>
              </w:rPr>
            </w:pPr>
            <w:r>
              <w:rPr>
                <w:color w:val="000000"/>
              </w:rPr>
              <w:t>NHS Pensions as the administrators of the NHSPS or such other body as may from time to time be responsible for relevant administrative functions of the NHSPS;</w:t>
            </w:r>
          </w:p>
        </w:tc>
      </w:tr>
      <w:tr w:rsidR="007960A8" w14:paraId="55B392E3" w14:textId="77777777">
        <w:tc>
          <w:tcPr>
            <w:tcW w:w="3397" w:type="dxa"/>
          </w:tcPr>
          <w:p w14:paraId="73507DD4" w14:textId="77777777" w:rsidR="007960A8" w:rsidRDefault="00A26397">
            <w:pPr>
              <w:spacing w:before="120" w:after="120"/>
              <w:ind w:left="993"/>
              <w:rPr>
                <w:b/>
                <w:bCs/>
              </w:rPr>
            </w:pPr>
            <w:r>
              <w:rPr>
                <w:b/>
                <w:bCs/>
              </w:rPr>
              <w:t>"NHSPS"</w:t>
            </w:r>
          </w:p>
        </w:tc>
        <w:tc>
          <w:tcPr>
            <w:tcW w:w="5629" w:type="dxa"/>
          </w:tcPr>
          <w:p w14:paraId="71F817BD" w14:textId="77777777" w:rsidR="007960A8" w:rsidRDefault="00A26397">
            <w:pPr>
              <w:spacing w:before="120" w:after="120"/>
              <w:rPr>
                <w:color w:val="000000"/>
              </w:rPr>
            </w:pPr>
            <w:r>
              <w:rPr>
                <w:color w:val="000000"/>
              </w:rPr>
              <w:t>the National Health Service Pension Scheme for England and Wales, established pursuant to the Superannuation Act 1972 and the Public Service Pensions Act 2013 governed by subsequent regulations under those Acts including the NHS Pension Scheme Regulations;</w:t>
            </w:r>
          </w:p>
        </w:tc>
      </w:tr>
      <w:tr w:rsidR="007960A8" w14:paraId="56A0E9CF" w14:textId="77777777">
        <w:tc>
          <w:tcPr>
            <w:tcW w:w="3397" w:type="dxa"/>
          </w:tcPr>
          <w:p w14:paraId="6516F796" w14:textId="77777777" w:rsidR="007960A8" w:rsidRDefault="00A26397">
            <w:pPr>
              <w:spacing w:before="120" w:after="120"/>
              <w:ind w:left="993"/>
              <w:rPr>
                <w:b/>
                <w:bCs/>
              </w:rPr>
            </w:pPr>
            <w:r>
              <w:rPr>
                <w:b/>
                <w:bCs/>
              </w:rPr>
              <w:t>"NHS Pension Scheme Regulations"</w:t>
            </w:r>
          </w:p>
        </w:tc>
        <w:tc>
          <w:tcPr>
            <w:tcW w:w="5629" w:type="dxa"/>
          </w:tcPr>
          <w:p w14:paraId="3D252FA0" w14:textId="77777777" w:rsidR="007960A8" w:rsidRDefault="00A26397">
            <w:pPr>
              <w:spacing w:before="120" w:after="120"/>
              <w:rPr>
                <w:color w:val="000000"/>
              </w:rPr>
            </w:pPr>
            <w:r>
              <w:rPr>
                <w:color w:val="000000"/>
              </w:rPr>
              <w:t>as appropriate, any or all of the National Health Service Pension Scheme Regulations 1995 (SI 1995/300), the National Health Service Pension Scheme Regulations 2008 (SI 2008/653), the National Health Service Pension Schem</w:t>
            </w:r>
            <w:r>
              <w:rPr>
                <w:color w:val="000000"/>
              </w:rPr>
              <w:t>e Regulations 2015 (2015/94) and any subsequent regulations made in respect of the NHSPS, each as amended from time to time;</w:t>
            </w:r>
          </w:p>
        </w:tc>
      </w:tr>
      <w:tr w:rsidR="007960A8" w14:paraId="2AAB9E35" w14:textId="77777777">
        <w:tc>
          <w:tcPr>
            <w:tcW w:w="3397" w:type="dxa"/>
          </w:tcPr>
          <w:p w14:paraId="76369E7C" w14:textId="77777777" w:rsidR="007960A8" w:rsidRDefault="00A26397">
            <w:pPr>
              <w:spacing w:before="120" w:after="120"/>
              <w:ind w:left="993"/>
              <w:rPr>
                <w:b/>
                <w:bCs/>
              </w:rPr>
            </w:pPr>
            <w:r>
              <w:rPr>
                <w:b/>
                <w:bCs/>
              </w:rPr>
              <w:t>"NHS Premature Retirement Rights"</w:t>
            </w:r>
          </w:p>
        </w:tc>
        <w:tc>
          <w:tcPr>
            <w:tcW w:w="5629" w:type="dxa"/>
          </w:tcPr>
          <w:p w14:paraId="286AF7A8" w14:textId="77777777" w:rsidR="007960A8" w:rsidRDefault="00A26397">
            <w:pPr>
              <w:spacing w:before="120" w:after="120"/>
              <w:rPr>
                <w:color w:val="000000"/>
              </w:rPr>
            </w:pPr>
            <w:r>
              <w:rPr>
                <w:color w:val="000000"/>
              </w:rPr>
              <w:t xml:space="preserve">rights to which any NHS Fair Deal Employee (had they remained in the employment of the </w:t>
            </w:r>
            <w:r>
              <w:rPr>
                <w:i/>
                <w:iCs/>
                <w:color w:val="000000"/>
              </w:rPr>
              <w:t>Client</w:t>
            </w:r>
            <w:r>
              <w:rPr>
                <w:color w:val="000000"/>
              </w:rPr>
              <w:t>, a</w:t>
            </w:r>
            <w:r>
              <w:rPr>
                <w:color w:val="000000"/>
              </w:rPr>
              <w:t>n NHS Body or other employer which participates automatically in the NHSPS) would have been or is entitled under the NHS Pension Scheme Regulations, the NHS Compensation for Premature Retirement Regulations 2002 (SI 2002/1311), the NHS (Injury Benefits) Re</w:t>
            </w:r>
            <w:r>
              <w:rPr>
                <w:color w:val="000000"/>
              </w:rPr>
              <w:t>gulations 1995 (SI 1995/866) and section 45 of the General Whitley Council conditions of service, or any other legislative or contractual provision which replaces, amends, extends or consolidates the same from time to time; and</w:t>
            </w:r>
          </w:p>
        </w:tc>
      </w:tr>
      <w:tr w:rsidR="007960A8" w14:paraId="77E61C70" w14:textId="77777777">
        <w:tc>
          <w:tcPr>
            <w:tcW w:w="3397" w:type="dxa"/>
          </w:tcPr>
          <w:p w14:paraId="14E1173F" w14:textId="77777777" w:rsidR="007960A8" w:rsidRDefault="00A26397">
            <w:pPr>
              <w:spacing w:before="120" w:after="120"/>
              <w:ind w:left="993"/>
              <w:rPr>
                <w:b/>
                <w:bCs/>
              </w:rPr>
            </w:pPr>
            <w:r>
              <w:rPr>
                <w:b/>
                <w:bCs/>
              </w:rPr>
              <w:t>"Pension Benefits"</w:t>
            </w:r>
          </w:p>
        </w:tc>
        <w:tc>
          <w:tcPr>
            <w:tcW w:w="5629" w:type="dxa"/>
          </w:tcPr>
          <w:p w14:paraId="1A458403" w14:textId="77777777" w:rsidR="007960A8" w:rsidRDefault="00A26397">
            <w:pPr>
              <w:spacing w:before="120" w:after="120"/>
              <w:rPr>
                <w:color w:val="000000"/>
              </w:rPr>
            </w:pPr>
            <w:r>
              <w:rPr>
                <w:color w:val="000000"/>
              </w:rPr>
              <w:t>any bene</w:t>
            </w:r>
            <w:r>
              <w:rPr>
                <w:color w:val="000000"/>
              </w:rPr>
              <w:t xml:space="preserve">fits payable in respect of an individual (including but not limited to pensions related allowances and lump sums) relating to old age, invalidity or survivor’s benefits provided under an occupational pension scheme. </w:t>
            </w:r>
          </w:p>
        </w:tc>
      </w:tr>
      <w:tr w:rsidR="007960A8" w14:paraId="7666BD5E" w14:textId="77777777">
        <w:tc>
          <w:tcPr>
            <w:tcW w:w="3397" w:type="dxa"/>
          </w:tcPr>
          <w:p w14:paraId="51DDDB1D" w14:textId="77777777" w:rsidR="007960A8" w:rsidRDefault="007960A8">
            <w:pPr>
              <w:spacing w:before="120" w:after="120"/>
              <w:ind w:left="993"/>
              <w:rPr>
                <w:b/>
                <w:bCs/>
              </w:rPr>
            </w:pPr>
          </w:p>
        </w:tc>
        <w:tc>
          <w:tcPr>
            <w:tcW w:w="5629" w:type="dxa"/>
          </w:tcPr>
          <w:p w14:paraId="472BCD10" w14:textId="77777777" w:rsidR="007960A8" w:rsidRDefault="007960A8">
            <w:pPr>
              <w:spacing w:before="120" w:after="120"/>
            </w:pPr>
          </w:p>
        </w:tc>
      </w:tr>
    </w:tbl>
    <w:p w14:paraId="5E7BC831"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bookmarkStart w:id="59" w:name="_heading=h.19c6y18" w:colFirst="0" w:colLast="0"/>
      <w:bookmarkEnd w:id="59"/>
      <w:r>
        <w:rPr>
          <w:b/>
          <w:bCs/>
          <w:color w:val="000000"/>
        </w:rPr>
        <w:t>Membership of the NHS Pension Scheme</w:t>
      </w:r>
    </w:p>
    <w:p w14:paraId="4DBBE22E"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0" w:name="_heading=h.3tbugp1" w:colFirst="0" w:colLast="0"/>
      <w:bookmarkEnd w:id="60"/>
      <w:r>
        <w:rPr>
          <w:color w:val="000000"/>
        </w:rPr>
        <w:t xml:space="preserve">In accordance with New Fair Deal, the </w:t>
      </w:r>
      <w:r>
        <w:rPr>
          <w:i/>
          <w:iCs/>
          <w:color w:val="000000"/>
        </w:rPr>
        <w:t>Service Provider</w:t>
      </w:r>
      <w:r>
        <w:rPr>
          <w:color w:val="000000"/>
        </w:rPr>
        <w:t xml:space="preserve"> and/or any of its Subcontractors to which the employment of any NHSPS Fair Deal Employee compulsorily transfers as a result of either the award of the Contract or a</w:t>
      </w:r>
      <w:r>
        <w:rPr>
          <w:color w:val="000000"/>
        </w:rPr>
        <w:t xml:space="preserve"> Relevant Transfer, if not an NHS Body or other employer which participates automatically in the NHSPS, shall each secure a Direction Letter/Determination to enable the NHSPS Fair Deal Employees to retain either continuous active membership of or eligibili</w:t>
      </w:r>
      <w:r>
        <w:rPr>
          <w:color w:val="000000"/>
        </w:rPr>
        <w:t xml:space="preserve">ty for the NHSPS for so long as they remain employed in connection with the delivery of the </w:t>
      </w:r>
      <w:r>
        <w:rPr>
          <w:i/>
          <w:iCs/>
          <w:color w:val="000000"/>
        </w:rPr>
        <w:t>services</w:t>
      </w:r>
      <w:r>
        <w:rPr>
          <w:color w:val="000000"/>
        </w:rPr>
        <w:t xml:space="preserve"> under the relevant Contract. </w:t>
      </w:r>
    </w:p>
    <w:p w14:paraId="3BE0EB82"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r>
        <w:rPr>
          <w:color w:val="000000"/>
        </w:rPr>
        <w:t xml:space="preserve">Where it is not possible for the </w:t>
      </w:r>
      <w:r>
        <w:rPr>
          <w:i/>
          <w:iCs/>
          <w:color w:val="000000"/>
        </w:rPr>
        <w:t>Service Provider</w:t>
      </w:r>
      <w:r>
        <w:rPr>
          <w:color w:val="000000"/>
        </w:rPr>
        <w:t xml:space="preserve"> and/or any of its Subcontractors to secure a Direction Letter/Determination</w:t>
      </w:r>
      <w:r>
        <w:rPr>
          <w:color w:val="000000"/>
        </w:rPr>
        <w:t xml:space="preserve"> on or before the Relevant Transfer Date, the </w:t>
      </w:r>
      <w:r>
        <w:rPr>
          <w:i/>
          <w:iCs/>
          <w:color w:val="000000"/>
        </w:rPr>
        <w:t>Service Provider</w:t>
      </w:r>
      <w:r>
        <w:rPr>
          <w:color w:val="000000"/>
        </w:rPr>
        <w:t xml:space="preserve"> must secure a Direction Letter/Determination as soon as possible after the Relevant Transfer Date, and in the period between the Relevant Transfer Date and the date the Direction Letter/Determi</w:t>
      </w:r>
      <w:r>
        <w:rPr>
          <w:color w:val="000000"/>
        </w:rPr>
        <w:t xml:space="preserve">nation is secure, the </w:t>
      </w:r>
      <w:r>
        <w:rPr>
          <w:i/>
          <w:iCs/>
          <w:color w:val="000000"/>
        </w:rPr>
        <w:t>Service Provider</w:t>
      </w:r>
      <w:r>
        <w:rPr>
          <w:color w:val="000000"/>
        </w:rPr>
        <w:t xml:space="preserve"> must ensure that:</w:t>
      </w:r>
    </w:p>
    <w:p w14:paraId="3EB7AA2D" w14:textId="77777777" w:rsidR="007960A8" w:rsidRDefault="00A26397">
      <w:pPr>
        <w:pStyle w:val="Heading4"/>
        <w:numPr>
          <w:ilvl w:val="3"/>
          <w:numId w:val="84"/>
        </w:numPr>
        <w:spacing w:before="120" w:after="120"/>
        <w:ind w:left="1985" w:hanging="851"/>
        <w:rPr>
          <w:rFonts w:ascii="Arial" w:eastAsia="Arial" w:hAnsi="Arial" w:cs="Arial"/>
          <w:i w:val="0"/>
          <w:iCs w:val="0"/>
          <w:color w:val="000000"/>
        </w:rPr>
      </w:pPr>
      <w:r>
        <w:rPr>
          <w:rFonts w:ascii="Arial" w:eastAsia="Arial" w:hAnsi="Arial" w:cs="Arial"/>
          <w:i w:val="0"/>
          <w:iCs w:val="0"/>
          <w:color w:val="000000"/>
        </w:rPr>
        <w:t>all employer's and NHSPS Fair Deal Employees' contributions intended to go to the NHSPS are kept in a separate bank account; and</w:t>
      </w:r>
    </w:p>
    <w:p w14:paraId="270852EC" w14:textId="77777777" w:rsidR="007960A8" w:rsidRDefault="00A26397">
      <w:pPr>
        <w:pStyle w:val="Heading4"/>
        <w:numPr>
          <w:ilvl w:val="3"/>
          <w:numId w:val="84"/>
        </w:numPr>
        <w:spacing w:before="120" w:after="120"/>
        <w:ind w:left="1985" w:hanging="851"/>
        <w:rPr>
          <w:rFonts w:ascii="Arial" w:eastAsia="Arial" w:hAnsi="Arial" w:cs="Arial"/>
          <w:i w:val="0"/>
          <w:iCs w:val="0"/>
          <w:color w:val="000000"/>
        </w:rPr>
      </w:pPr>
      <w:r>
        <w:rPr>
          <w:rFonts w:ascii="Arial" w:eastAsia="Arial" w:hAnsi="Arial" w:cs="Arial"/>
          <w:i w:val="0"/>
          <w:iCs w:val="0"/>
          <w:color w:val="000000"/>
        </w:rPr>
        <w:t>the Pension Benefits and Premature Retirement Rights of NHSPS Fair Dea</w:t>
      </w:r>
      <w:r>
        <w:rPr>
          <w:rFonts w:ascii="Arial" w:eastAsia="Arial" w:hAnsi="Arial" w:cs="Arial"/>
          <w:i w:val="0"/>
          <w:iCs w:val="0"/>
          <w:color w:val="000000"/>
        </w:rPr>
        <w:t>l Employees are not adversely affected.</w:t>
      </w:r>
    </w:p>
    <w:p w14:paraId="0561E1A8"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1" w:name="_heading=h.28h4qwu" w:colFirst="0" w:colLast="0"/>
      <w:bookmarkEnd w:id="61"/>
      <w:r>
        <w:t xml:space="preserve">The </w:t>
      </w:r>
      <w:r>
        <w:rPr>
          <w:i/>
          <w:iCs/>
        </w:rPr>
        <w:t>Service Provider</w:t>
      </w:r>
      <w:r>
        <w:t xml:space="preserve"> must supply to the </w:t>
      </w:r>
      <w:r>
        <w:rPr>
          <w:i/>
          <w:iCs/>
        </w:rPr>
        <w:t>Client</w:t>
      </w:r>
      <w:r>
        <w:t xml:space="preserve"> a complete </w:t>
      </w:r>
      <w:r>
        <w:rPr>
          <w:color w:val="000000"/>
        </w:rPr>
        <w:t>copy of each Direction Letter/ Determination within 5 Working Days of receipt of the Direction Letter/Determination.</w:t>
      </w:r>
    </w:p>
    <w:p w14:paraId="171AAD2B"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2" w:name="_heading=h.nmf14n" w:colFirst="0" w:colLast="0"/>
      <w:bookmarkEnd w:id="62"/>
      <w:r>
        <w:rPr>
          <w:color w:val="000000"/>
        </w:rPr>
        <w:t xml:space="preserve">The </w:t>
      </w:r>
      <w:r>
        <w:rPr>
          <w:i/>
          <w:iCs/>
          <w:color w:val="000000"/>
        </w:rPr>
        <w:t>Service Provider</w:t>
      </w:r>
      <w:r>
        <w:rPr>
          <w:color w:val="000000"/>
        </w:rPr>
        <w:t xml:space="preserve"> must ensure (and pro</w:t>
      </w:r>
      <w:r>
        <w:rPr>
          <w:color w:val="000000"/>
        </w:rPr>
        <w:t>cure that each of its Sub-Contracts (if any) ensures) that all of its NHSPS Fair Deal Employees have a contractual right to continuous active membership of or eligibility for the NHSPS for so long as they have a right to membership or eligibility of that s</w:t>
      </w:r>
      <w:r>
        <w:rPr>
          <w:color w:val="000000"/>
        </w:rPr>
        <w:t>cheme under the terms of the Direction Letter/Determination.</w:t>
      </w:r>
    </w:p>
    <w:p w14:paraId="75721ADE"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3" w:name="_heading=h.37m2jsg" w:colFirst="0" w:colLast="0"/>
      <w:bookmarkEnd w:id="63"/>
      <w:r>
        <w:rPr>
          <w:color w:val="000000"/>
        </w:rPr>
        <w:t xml:space="preserve">The </w:t>
      </w:r>
      <w:r>
        <w:rPr>
          <w:i/>
          <w:iCs/>
          <w:color w:val="000000"/>
        </w:rPr>
        <w:t>Service Provider</w:t>
      </w:r>
      <w:r>
        <w:rPr>
          <w:color w:val="000000"/>
        </w:rPr>
        <w:t xml:space="preserve"> will (and will procure that its Subcontractors (if any) will) comply with the terms of the Direction Letter/Determination, the NHS Pension Scheme Regulations (including any t</w:t>
      </w:r>
      <w:r>
        <w:rPr>
          <w:color w:val="000000"/>
        </w:rPr>
        <w:t>erms which change as a result of changes in Law) and any relevant policy issued by the Department of Health and Social Care in respect of the NHSPS Fair Deal Employees for so long as it remains bound by the terms of any such Direction Letter/Determination.</w:t>
      </w:r>
      <w:r>
        <w:rPr>
          <w:color w:val="000000"/>
        </w:rPr>
        <w:t xml:space="preserve"> </w:t>
      </w:r>
    </w:p>
    <w:p w14:paraId="357DA518"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4" w:name="_heading=h.1mrcu09" w:colFirst="0" w:colLast="0"/>
      <w:bookmarkEnd w:id="64"/>
      <w:r>
        <w:rPr>
          <w:color w:val="000000"/>
        </w:rPr>
        <w:t xml:space="preserve">Where any employee omitted from the Direction Letter/Determination supplied in accordance with Paragraph 2 of this Annex are subsequently found to be an NHSPS Fair Deal Employee, the </w:t>
      </w:r>
      <w:r>
        <w:rPr>
          <w:i/>
          <w:iCs/>
          <w:color w:val="000000"/>
        </w:rPr>
        <w:t>Service Provider</w:t>
      </w:r>
      <w:r>
        <w:rPr>
          <w:color w:val="000000"/>
        </w:rPr>
        <w:t xml:space="preserve"> will (and will procure that its Subcontractors (if any) </w:t>
      </w:r>
      <w:r>
        <w:rPr>
          <w:color w:val="000000"/>
        </w:rPr>
        <w:t>will) treat that person as if they had been an NHSPS Fair Deal Employee from the Relevant Transfer Date so that their Pension Benefits and NHS Premature Retirement Rights are not adversely affected.</w:t>
      </w:r>
    </w:p>
    <w:p w14:paraId="303359AB"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5" w:name="_heading=h.46r0co2" w:colFirst="0" w:colLast="0"/>
      <w:bookmarkEnd w:id="65"/>
      <w:r>
        <w:rPr>
          <w:color w:val="000000"/>
        </w:rPr>
        <w:t xml:space="preserve">The </w:t>
      </w:r>
      <w:r>
        <w:rPr>
          <w:i/>
          <w:iCs/>
          <w:color w:val="000000"/>
        </w:rPr>
        <w:t>Service Provider</w:t>
      </w:r>
      <w:r>
        <w:rPr>
          <w:color w:val="000000"/>
        </w:rPr>
        <w:t xml:space="preserve"> will (and will procure that its Subc</w:t>
      </w:r>
      <w:r>
        <w:rPr>
          <w:color w:val="000000"/>
        </w:rPr>
        <w:t>ontractors (if any) will) provide any guarantee, bond or indemnity required by NHS Pensions in relation to a Direction Letter/Determination.</w:t>
      </w:r>
    </w:p>
    <w:p w14:paraId="3D03C7B1"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r>
        <w:rPr>
          <w:b/>
          <w:bCs/>
          <w:color w:val="000000"/>
        </w:rPr>
        <w:t>Continuation of early retirement rights after transfer</w:t>
      </w:r>
    </w:p>
    <w:p w14:paraId="5510B195"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6" w:name="_heading=h.2lwamvv" w:colFirst="0" w:colLast="0"/>
      <w:bookmarkEnd w:id="66"/>
      <w:r>
        <w:rPr>
          <w:color w:val="000000"/>
        </w:rPr>
        <w:t>From the Relevant Transfer Date until the Service Transfer D</w:t>
      </w:r>
      <w:r>
        <w:rPr>
          <w:color w:val="000000"/>
        </w:rPr>
        <w:t xml:space="preserve">ate, the </w:t>
      </w:r>
      <w:r>
        <w:rPr>
          <w:i/>
          <w:iCs/>
          <w:color w:val="000000"/>
        </w:rPr>
        <w:t>Service Provider</w:t>
      </w:r>
      <w:r>
        <w:rPr>
          <w:color w:val="000000"/>
        </w:rPr>
        <w:t xml:space="preserve"> must provide (and/or must ensure that its Subcontractors (if any) provide) NHS Premature Retirement Rights in respect of the NHSPS Fair Deal Employees that are identical to the benefits they would have received had they remained e</w:t>
      </w:r>
      <w:r>
        <w:rPr>
          <w:color w:val="000000"/>
        </w:rPr>
        <w:t xml:space="preserve">mployees of the Client, an NHS Body or other employer which participates automatically in the NHSPS. </w:t>
      </w:r>
    </w:p>
    <w:p w14:paraId="7C798AA0"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r>
        <w:rPr>
          <w:b/>
          <w:bCs/>
          <w:color w:val="000000"/>
        </w:rPr>
        <w:t>NHS Broadly Comparable Employees</w:t>
      </w:r>
    </w:p>
    <w:p w14:paraId="5DC812BC"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 procure that its Subcontractors shall), with effect from the Relevant Transfer Date, offer the NHSPS Broadly Comparable Employees membership of a pension scheme which is Broadly Comparable to NHSPS on the Relevant Transfer Date in accordance wi</w:t>
      </w:r>
      <w:r>
        <w:rPr>
          <w:color w:val="000000"/>
        </w:rPr>
        <w:t>th Paragraph 10 of Part D. For the avoidance of doubt, this requirement is separate from any requirement to offer a Broadly Comparable pension scheme in accordance with Paragraph 5.2 below.</w:t>
      </w:r>
    </w:p>
    <w:p w14:paraId="5F83A4D1"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bookmarkStart w:id="67" w:name="_heading=h.111kx3o" w:colFirst="0" w:colLast="0"/>
      <w:bookmarkEnd w:id="67"/>
      <w:r>
        <w:rPr>
          <w:b/>
          <w:bCs/>
          <w:smallCaps/>
          <w:color w:val="000000"/>
        </w:rPr>
        <w:t>W</w:t>
      </w:r>
      <w:r>
        <w:rPr>
          <w:b/>
          <w:bCs/>
          <w:color w:val="000000"/>
        </w:rPr>
        <w:t>hat the Client can do if the Service Provider breaches its pensio</w:t>
      </w:r>
      <w:r>
        <w:rPr>
          <w:b/>
          <w:bCs/>
          <w:color w:val="000000"/>
        </w:rPr>
        <w:t>n obligations</w:t>
      </w:r>
    </w:p>
    <w:p w14:paraId="5856BCB1"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8" w:name="_heading=h.3l18frh" w:colFirst="0" w:colLast="0"/>
      <w:bookmarkEnd w:id="68"/>
      <w:r>
        <w:rPr>
          <w:color w:val="000000"/>
        </w:rPr>
        <w:t xml:space="preserve">The </w:t>
      </w:r>
      <w:r>
        <w:rPr>
          <w:i/>
          <w:iCs/>
          <w:color w:val="000000"/>
        </w:rPr>
        <w:t>Service Provider</w:t>
      </w:r>
      <w:r>
        <w:rPr>
          <w:color w:val="000000"/>
        </w:rPr>
        <w:t xml:space="preserve"> agrees that the </w:t>
      </w:r>
      <w:r>
        <w:rPr>
          <w:i/>
          <w:iCs/>
          <w:color w:val="000000"/>
        </w:rPr>
        <w:t>Client</w:t>
      </w:r>
      <w:r>
        <w:rPr>
          <w:color w:val="000000"/>
        </w:rPr>
        <w:t xml:space="preserve"> is entitled to make arrangements with NHS Pensions for the </w:t>
      </w:r>
      <w:r>
        <w:rPr>
          <w:i/>
          <w:iCs/>
          <w:color w:val="000000"/>
        </w:rPr>
        <w:t>Client</w:t>
      </w:r>
      <w:r>
        <w:rPr>
          <w:color w:val="000000"/>
        </w:rPr>
        <w:t xml:space="preserve"> to be notified if the </w:t>
      </w:r>
      <w:r>
        <w:rPr>
          <w:i/>
          <w:iCs/>
          <w:color w:val="000000"/>
        </w:rPr>
        <w:t>Service Provider</w:t>
      </w:r>
      <w:r>
        <w:rPr>
          <w:color w:val="000000"/>
        </w:rPr>
        <w:t xml:space="preserve"> (or its Subcontractor) breaches the terms of its Direction Letter/Determination. Notwithstand</w:t>
      </w:r>
      <w:r>
        <w:rPr>
          <w:color w:val="000000"/>
        </w:rPr>
        <w:t xml:space="preserve">ing the provisions of the foregoing, the </w:t>
      </w:r>
      <w:r>
        <w:rPr>
          <w:i/>
          <w:iCs/>
          <w:color w:val="000000"/>
        </w:rPr>
        <w:t>Service Provider</w:t>
      </w:r>
      <w:r>
        <w:rPr>
          <w:color w:val="000000"/>
        </w:rPr>
        <w:t xml:space="preserve"> shall notify the </w:t>
      </w:r>
      <w:r>
        <w:rPr>
          <w:i/>
          <w:iCs/>
          <w:color w:val="000000"/>
        </w:rPr>
        <w:t>Client</w:t>
      </w:r>
      <w:r>
        <w:rPr>
          <w:color w:val="000000"/>
        </w:rPr>
        <w:t xml:space="preserve"> in the event that it (or its Subcontractor) breaches the terms of its Direction Letter/Determination.</w:t>
      </w:r>
    </w:p>
    <w:p w14:paraId="1291B92E"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69" w:name="_heading=h.206ipza" w:colFirst="0" w:colLast="0"/>
      <w:bookmarkEnd w:id="69"/>
      <w:r>
        <w:rPr>
          <w:color w:val="000000"/>
        </w:rPr>
        <w:t xml:space="preserve">If the </w:t>
      </w:r>
      <w:r>
        <w:rPr>
          <w:i/>
          <w:iCs/>
          <w:color w:val="000000"/>
        </w:rPr>
        <w:t>Service Provider</w:t>
      </w:r>
      <w:r>
        <w:rPr>
          <w:color w:val="000000"/>
        </w:rPr>
        <w:t xml:space="preserve"> (or its Subcontractors, if relevant) ceases to p</w:t>
      </w:r>
      <w:r>
        <w:rPr>
          <w:color w:val="000000"/>
        </w:rPr>
        <w:t>articipate in the NHSPS for whatever reason, the</w:t>
      </w:r>
      <w:r>
        <w:rPr>
          <w:i/>
          <w:iCs/>
          <w:color w:val="000000"/>
        </w:rPr>
        <w:t xml:space="preserve"> Service Provider</w:t>
      </w:r>
      <w:r>
        <w:rPr>
          <w:color w:val="000000"/>
        </w:rPr>
        <w:t xml:space="preserve"> (or any such Subcontractor, as appropriate) shall offer to offer the NHSPS Eligible Employees membership of a pension scheme which is Broadly Comparable to the NHSPS on the date the NHSPS El</w:t>
      </w:r>
      <w:r>
        <w:rPr>
          <w:color w:val="000000"/>
        </w:rPr>
        <w:t xml:space="preserve">igible Employees ceased to participate in the NHSPS in accordance with the provisions of Paragraph 11 of Part D. </w:t>
      </w:r>
    </w:p>
    <w:p w14:paraId="7B79DC3E"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smallCaps/>
          <w:color w:val="000000"/>
        </w:rPr>
      </w:pPr>
      <w:r>
        <w:rPr>
          <w:b/>
          <w:bCs/>
          <w:color w:val="000000"/>
        </w:rPr>
        <w:t>Compensation when pension scheme access can’t be provided</w:t>
      </w:r>
    </w:p>
    <w:p w14:paraId="0D03421E" w14:textId="77777777" w:rsidR="007960A8" w:rsidRDefault="00A26397">
      <w:pPr>
        <w:keepNext/>
        <w:widowControl/>
        <w:numPr>
          <w:ilvl w:val="1"/>
          <w:numId w:val="74"/>
        </w:numPr>
        <w:pBdr>
          <w:top w:val="nil"/>
          <w:left w:val="nil"/>
          <w:bottom w:val="nil"/>
          <w:right w:val="nil"/>
          <w:between w:val="nil"/>
        </w:pBdr>
        <w:spacing w:before="120" w:after="120"/>
        <w:ind w:left="1134" w:hanging="708"/>
        <w:rPr>
          <w:color w:val="000000"/>
        </w:rPr>
      </w:pPr>
      <w:bookmarkStart w:id="70" w:name="_heading=h.4k668n3" w:colFirst="0" w:colLast="0"/>
      <w:bookmarkEnd w:id="70"/>
      <w:r>
        <w:rPr>
          <w:color w:val="000000"/>
        </w:rPr>
        <w:t xml:space="preserve">If the </w:t>
      </w:r>
      <w:r>
        <w:rPr>
          <w:i/>
          <w:iCs/>
          <w:color w:val="000000"/>
        </w:rPr>
        <w:t>Service Provider</w:t>
      </w:r>
      <w:r>
        <w:rPr>
          <w:color w:val="000000"/>
        </w:rPr>
        <w:t xml:space="preserve"> (or its Subcontractor, if relevant) is unable to provide the</w:t>
      </w:r>
      <w:r>
        <w:rPr>
          <w:color w:val="000000"/>
        </w:rPr>
        <w:t xml:space="preserve"> NHSPS Fair Deal Employees with either membership of: </w:t>
      </w:r>
    </w:p>
    <w:p w14:paraId="510C3BA9" w14:textId="77777777" w:rsidR="007960A8" w:rsidRDefault="00A26397">
      <w:pPr>
        <w:widowControl/>
        <w:numPr>
          <w:ilvl w:val="2"/>
          <w:numId w:val="74"/>
        </w:numPr>
        <w:pBdr>
          <w:top w:val="nil"/>
          <w:left w:val="nil"/>
          <w:bottom w:val="nil"/>
          <w:right w:val="nil"/>
          <w:between w:val="nil"/>
        </w:pBdr>
        <w:spacing w:before="120" w:after="120"/>
        <w:ind w:left="1985" w:hanging="851"/>
        <w:rPr>
          <w:color w:val="000000"/>
        </w:rPr>
      </w:pPr>
      <w:bookmarkStart w:id="71" w:name="_heading=h.2zbgiuw" w:colFirst="0" w:colLast="0"/>
      <w:bookmarkEnd w:id="71"/>
      <w:r>
        <w:rPr>
          <w:color w:val="000000"/>
        </w:rPr>
        <w:t xml:space="preserve">the NHSPS (having used its best endeavours to secure a Direction Letter/Determination); or </w:t>
      </w:r>
    </w:p>
    <w:p w14:paraId="5D59962A" w14:textId="77777777" w:rsidR="007960A8" w:rsidRDefault="00A26397">
      <w:pPr>
        <w:widowControl/>
        <w:numPr>
          <w:ilvl w:val="2"/>
          <w:numId w:val="74"/>
        </w:numPr>
        <w:pBdr>
          <w:top w:val="nil"/>
          <w:left w:val="nil"/>
          <w:bottom w:val="nil"/>
          <w:right w:val="nil"/>
          <w:between w:val="nil"/>
        </w:pBdr>
        <w:spacing w:before="120" w:after="120"/>
        <w:ind w:left="1985" w:hanging="851"/>
        <w:rPr>
          <w:color w:val="000000"/>
        </w:rPr>
      </w:pPr>
      <w:bookmarkStart w:id="72" w:name="_heading=h.1egqt2p" w:colFirst="0" w:colLast="0"/>
      <w:bookmarkEnd w:id="72"/>
      <w:r>
        <w:rPr>
          <w:color w:val="000000"/>
        </w:rPr>
        <w:t xml:space="preserve">a Broadly Comparable pension scheme, </w:t>
      </w:r>
    </w:p>
    <w:p w14:paraId="50E2A5F2" w14:textId="77777777" w:rsidR="007960A8" w:rsidRDefault="00A26397">
      <w:pPr>
        <w:spacing w:before="120" w:after="120"/>
        <w:ind w:left="1134"/>
      </w:pPr>
      <w:r>
        <w:t xml:space="preserve">the </w:t>
      </w:r>
      <w:r>
        <w:rPr>
          <w:i/>
          <w:iCs/>
        </w:rPr>
        <w:t xml:space="preserve">Client </w:t>
      </w:r>
      <w:r>
        <w:t xml:space="preserve">may in its sole discretion permit the </w:t>
      </w:r>
      <w:r>
        <w:rPr>
          <w:i/>
          <w:iCs/>
        </w:rPr>
        <w:t>Service Provider</w:t>
      </w:r>
      <w:r>
        <w:t xml:space="preserve"> (or any of its Subcontractors) to compensate the NHSPS Fair Deal Employees in a manner that is Broadly Comparable or equivalent in cash terms, the </w:t>
      </w:r>
      <w:r>
        <w:rPr>
          <w:i/>
          <w:iCs/>
        </w:rPr>
        <w:t>Service Provider</w:t>
      </w:r>
      <w:r>
        <w:t xml:space="preserve"> (or Subcontractor as relevant) having</w:t>
      </w:r>
      <w:r>
        <w:t xml:space="preserve"> consulted with a view to reaching agreement with any recognised trade union or, in the absence of such body, the NHSPS Fair Deal Employees. The </w:t>
      </w:r>
      <w:r>
        <w:rPr>
          <w:i/>
          <w:iCs/>
        </w:rPr>
        <w:t>Service Provider</w:t>
      </w:r>
      <w:r>
        <w:t xml:space="preserve"> must meet (or must procure that the relevant Subcontractor meets) the costs of the </w:t>
      </w:r>
      <w:r>
        <w:rPr>
          <w:i/>
          <w:iCs/>
        </w:rPr>
        <w:t>Client</w:t>
      </w:r>
      <w:r>
        <w:t xml:space="preserve"> dete</w:t>
      </w:r>
      <w:r>
        <w:t xml:space="preserve">rmining whether the level of compensation offered is reasonable in the circumstances. </w:t>
      </w:r>
    </w:p>
    <w:p w14:paraId="220502D7"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73" w:name="_heading=h.3ygebqi" w:colFirst="0" w:colLast="0"/>
      <w:bookmarkEnd w:id="73"/>
      <w:r>
        <w:rPr>
          <w:color w:val="000000"/>
        </w:rPr>
        <w:t xml:space="preserve">This flexibility for the </w:t>
      </w:r>
      <w:r>
        <w:rPr>
          <w:i/>
          <w:iCs/>
          <w:color w:val="000000"/>
        </w:rPr>
        <w:t>Client</w:t>
      </w:r>
      <w:r>
        <w:rPr>
          <w:color w:val="000000"/>
        </w:rPr>
        <w:t xml:space="preserve"> to allow compensation in place of Pension Benefits is in addition to and not instead of the </w:t>
      </w:r>
      <w:r>
        <w:rPr>
          <w:i/>
          <w:iCs/>
          <w:color w:val="000000"/>
        </w:rPr>
        <w:t>Client’s</w:t>
      </w:r>
      <w:r>
        <w:rPr>
          <w:color w:val="000000"/>
        </w:rPr>
        <w:t xml:space="preserve"> right to terminate the Contract.</w:t>
      </w:r>
    </w:p>
    <w:p w14:paraId="354AC859" w14:textId="77777777" w:rsidR="007960A8" w:rsidRDefault="00A26397">
      <w:pPr>
        <w:keepNext/>
        <w:widowControl/>
        <w:numPr>
          <w:ilvl w:val="0"/>
          <w:numId w:val="74"/>
        </w:numPr>
        <w:pBdr>
          <w:top w:val="nil"/>
          <w:left w:val="nil"/>
          <w:bottom w:val="nil"/>
          <w:right w:val="nil"/>
          <w:between w:val="nil"/>
        </w:pBdr>
        <w:spacing w:before="120" w:after="120"/>
        <w:ind w:left="426" w:hanging="426"/>
        <w:rPr>
          <w:b/>
          <w:bCs/>
          <w:color w:val="000000"/>
        </w:rPr>
      </w:pPr>
      <w:r>
        <w:rPr>
          <w:b/>
          <w:bCs/>
          <w:color w:val="000000"/>
        </w:rPr>
        <w:t>Indemnities that a Service Provider must give</w:t>
      </w:r>
    </w:p>
    <w:p w14:paraId="10F4DACC" w14:textId="77777777" w:rsidR="007960A8" w:rsidRDefault="00A26397">
      <w:pPr>
        <w:widowControl/>
        <w:numPr>
          <w:ilvl w:val="1"/>
          <w:numId w:val="74"/>
        </w:numPr>
        <w:pBdr>
          <w:top w:val="nil"/>
          <w:left w:val="nil"/>
          <w:bottom w:val="nil"/>
          <w:right w:val="nil"/>
          <w:between w:val="nil"/>
        </w:pBdr>
        <w:spacing w:before="120" w:after="120"/>
        <w:ind w:left="1134" w:hanging="708"/>
        <w:rPr>
          <w:color w:val="000000"/>
        </w:rPr>
      </w:pPr>
      <w:bookmarkStart w:id="74" w:name="_heading=h.2dlolyb" w:colFirst="0" w:colLast="0"/>
      <w:bookmarkEnd w:id="74"/>
      <w:r>
        <w:rPr>
          <w:color w:val="000000"/>
        </w:rPr>
        <w:t xml:space="preserve">The </w:t>
      </w:r>
      <w:r>
        <w:rPr>
          <w:i/>
          <w:iCs/>
          <w:color w:val="000000"/>
        </w:rPr>
        <w:t>Service Provider</w:t>
      </w:r>
      <w:r>
        <w:rPr>
          <w:color w:val="000000"/>
        </w:rPr>
        <w:t xml:space="preserve"> must indemnify and keep indemnified the </w:t>
      </w:r>
      <w:r>
        <w:rPr>
          <w:i/>
          <w:iCs/>
          <w:color w:val="000000"/>
        </w:rPr>
        <w:t>Client</w:t>
      </w:r>
      <w:r>
        <w:rPr>
          <w:color w:val="000000"/>
        </w:rPr>
        <w:t xml:space="preserve"> and any</w:t>
      </w:r>
      <w:r>
        <w:rPr>
          <w:color w:val="000000"/>
        </w:rPr>
        <w:t xml:space="preserve"> Replacement Service Provider against all Losses arising out of any claim by any NHSPS Fair Deal Employee or any NHS Broadly Comparable Employees that the provision of (or failure to provide) Pension Benefits and NHS Premature Retirement Rights from the Re</w:t>
      </w:r>
      <w:r>
        <w:rPr>
          <w:color w:val="000000"/>
        </w:rPr>
        <w:t>levant Transfer Date, or the level of such benefit provided, constitutes a breach of his or her employment rights.</w:t>
      </w:r>
    </w:p>
    <w:p w14:paraId="1C7A7D22" w14:textId="77777777" w:rsidR="007960A8" w:rsidRDefault="00A26397">
      <w:pPr>
        <w:spacing w:before="120" w:after="120"/>
        <w:rPr>
          <w:b/>
          <w:bCs/>
          <w:sz w:val="36"/>
          <w:szCs w:val="36"/>
        </w:rPr>
      </w:pPr>
      <w:r>
        <w:br w:type="page"/>
      </w:r>
      <w:r>
        <w:rPr>
          <w:b/>
          <w:bCs/>
          <w:sz w:val="36"/>
          <w:szCs w:val="36"/>
        </w:rPr>
        <w:t xml:space="preserve">Annex D3: </w:t>
      </w:r>
    </w:p>
    <w:p w14:paraId="221F3D99" w14:textId="77777777" w:rsidR="007960A8" w:rsidRDefault="00A26397">
      <w:pPr>
        <w:spacing w:before="120" w:after="120"/>
        <w:rPr>
          <w:b/>
          <w:bCs/>
          <w:sz w:val="36"/>
          <w:szCs w:val="36"/>
        </w:rPr>
      </w:pPr>
      <w:r>
        <w:rPr>
          <w:b/>
          <w:bCs/>
          <w:sz w:val="36"/>
          <w:szCs w:val="36"/>
        </w:rPr>
        <w:t>Local Government Pension Schemes (LGPS)</w:t>
      </w:r>
    </w:p>
    <w:p w14:paraId="238ACB8F" w14:textId="77777777" w:rsidR="007960A8" w:rsidRDefault="00A26397">
      <w:pPr>
        <w:spacing w:before="120" w:after="120"/>
        <w:rPr>
          <w:b/>
          <w:bCs/>
          <w:i/>
          <w:iCs/>
          <w:highlight w:val="yellow"/>
        </w:rPr>
      </w:pPr>
      <w:r>
        <w:rPr>
          <w:b/>
          <w:bCs/>
          <w:i/>
          <w:iCs/>
          <w:highlight w:val="yellow"/>
        </w:rPr>
        <w:t xml:space="preserve">[Guidance: You should take specific legal advice on this Annex D3 and in particular the risk apportionment provisions contained herein. </w:t>
      </w:r>
    </w:p>
    <w:p w14:paraId="1EAFF089" w14:textId="77777777" w:rsidR="007960A8" w:rsidRDefault="00A26397">
      <w:pPr>
        <w:spacing w:before="120" w:after="120"/>
        <w:rPr>
          <w:b/>
          <w:bCs/>
          <w:i/>
          <w:iCs/>
          <w:highlight w:val="yellow"/>
        </w:rPr>
      </w:pPr>
      <w:r>
        <w:rPr>
          <w:b/>
          <w:bCs/>
          <w:i/>
          <w:iCs/>
          <w:highlight w:val="yellow"/>
        </w:rPr>
        <w:t xml:space="preserve">Please note that this Part D is drafted to reflect the requirements of New Fair Deal. Accordingly, where a contracting </w:t>
      </w:r>
      <w:r>
        <w:rPr>
          <w:b/>
          <w:bCs/>
          <w:i/>
          <w:iCs/>
          <w:highlight w:val="yellow"/>
        </w:rPr>
        <w:t>authority is a local authority (or other type of best value authority) then it will be subject to the requirements of the Best Value Authorities Staff Transfers (Pensions) Direction 2007 (or the Welsh Authorities Staff Transfers (Pensions) Direction 2012 i</w:t>
      </w:r>
      <w:r>
        <w:rPr>
          <w:b/>
          <w:bCs/>
          <w:i/>
          <w:iCs/>
          <w:highlight w:val="yellow"/>
        </w:rPr>
        <w:t xml:space="preserve">f appropriate) and should take further specific legal advice to ensure compliance with those Directions.  </w:t>
      </w:r>
    </w:p>
    <w:p w14:paraId="5EAB8B76" w14:textId="77777777" w:rsidR="007960A8" w:rsidRDefault="00A26397">
      <w:pPr>
        <w:spacing w:before="120" w:after="120"/>
        <w:rPr>
          <w:b/>
          <w:bCs/>
          <w:i/>
          <w:iCs/>
          <w:highlight w:val="yellow"/>
        </w:rPr>
      </w:pPr>
      <w:r>
        <w:rPr>
          <w:b/>
          <w:bCs/>
          <w:i/>
          <w:iCs/>
          <w:highlight w:val="yellow"/>
        </w:rPr>
        <w:t>Note the LGPS unlike the CSPS &amp; NHSPS is a funded scheme which has associated cost implications as follows:</w:t>
      </w:r>
    </w:p>
    <w:p w14:paraId="761229F2" w14:textId="77777777" w:rsidR="007960A8" w:rsidRDefault="00A26397">
      <w:pPr>
        <w:spacing w:before="120" w:after="120"/>
        <w:rPr>
          <w:b/>
          <w:bCs/>
          <w:i/>
          <w:iCs/>
          <w:highlight w:val="yellow"/>
        </w:rPr>
      </w:pPr>
      <w:r>
        <w:rPr>
          <w:b/>
          <w:bCs/>
          <w:i/>
          <w:iCs/>
          <w:highlight w:val="yellow"/>
        </w:rPr>
        <w:t>There is not 1 LGPS but approx. 90 differ</w:t>
      </w:r>
      <w:r>
        <w:rPr>
          <w:b/>
          <w:bCs/>
          <w:i/>
          <w:iCs/>
          <w:highlight w:val="yellow"/>
        </w:rPr>
        <w:t>ent Funds, each with their own separate Scheme Employer and Administering Client, it is important to identify the correct one(s) and amend the definition of "Fund" accordingly.</w:t>
      </w:r>
    </w:p>
    <w:p w14:paraId="31E02153" w14:textId="77777777" w:rsidR="007960A8" w:rsidRDefault="00A26397">
      <w:pPr>
        <w:spacing w:before="120" w:after="120"/>
        <w:rPr>
          <w:b/>
          <w:bCs/>
          <w:i/>
          <w:iCs/>
          <w:highlight w:val="yellow"/>
        </w:rPr>
      </w:pPr>
      <w:r>
        <w:rPr>
          <w:b/>
          <w:bCs/>
          <w:i/>
          <w:iCs/>
          <w:highlight w:val="yellow"/>
        </w:rPr>
        <w:t>It is important to check whether the Client can actually participate in the LGP</w:t>
      </w:r>
      <w:r>
        <w:rPr>
          <w:b/>
          <w:bCs/>
          <w:i/>
          <w:iCs/>
          <w:highlight w:val="yellow"/>
        </w:rPr>
        <w:t>S. Where a government department is taking on services which were formerly the responsibility of a Local Authority it may be necessary to obtain secretary of state approval for participation in the LGPS, this is because the services are being provided to G</w:t>
      </w:r>
      <w:r>
        <w:rPr>
          <w:b/>
          <w:bCs/>
          <w:i/>
          <w:iCs/>
          <w:highlight w:val="yellow"/>
        </w:rPr>
        <w:t xml:space="preserve">ov. Dept. and not to a Local Authority. </w:t>
      </w:r>
    </w:p>
    <w:p w14:paraId="7E6B4317" w14:textId="77777777" w:rsidR="007960A8" w:rsidRDefault="00A26397">
      <w:pPr>
        <w:spacing w:before="120" w:after="120"/>
      </w:pPr>
      <w:r>
        <w:rPr>
          <w:b/>
          <w:bCs/>
          <w:i/>
          <w:iCs/>
          <w:highlight w:val="yellow"/>
        </w:rPr>
        <w:t>Unlike New Fair Deal the 2007 Best Value pension direction does not provide a right to bulk transfer past service. Whilst typically before the 2007 direction LA did provide such a right, it is a significant addition</w:t>
      </w:r>
      <w:r>
        <w:rPr>
          <w:b/>
          <w:bCs/>
          <w:i/>
          <w:iCs/>
          <w:highlight w:val="yellow"/>
        </w:rPr>
        <w:t>al cost and therefore bulk transfer wording has been excluded. If required take legal advice due to the exceptionally high costs which can result from a requirement to provide bulk transfers.]</w:t>
      </w:r>
    </w:p>
    <w:p w14:paraId="73F9D6AB" w14:textId="77777777" w:rsidR="007960A8" w:rsidRDefault="00A26397">
      <w:pPr>
        <w:keepNext/>
        <w:widowControl/>
        <w:numPr>
          <w:ilvl w:val="0"/>
          <w:numId w:val="78"/>
        </w:numPr>
        <w:pBdr>
          <w:top w:val="nil"/>
          <w:left w:val="nil"/>
          <w:bottom w:val="nil"/>
          <w:right w:val="nil"/>
          <w:between w:val="nil"/>
        </w:pBdr>
        <w:spacing w:before="120" w:after="120"/>
        <w:ind w:left="426" w:hanging="426"/>
        <w:rPr>
          <w:b/>
          <w:bCs/>
          <w:smallCaps/>
          <w:color w:val="000000"/>
        </w:rPr>
      </w:pPr>
      <w:r>
        <w:rPr>
          <w:b/>
          <w:bCs/>
          <w:color w:val="000000"/>
        </w:rPr>
        <w:t>Definitions</w:t>
      </w:r>
    </w:p>
    <w:p w14:paraId="52AD4E23" w14:textId="77777777" w:rsidR="007960A8" w:rsidRDefault="00A26397">
      <w:pPr>
        <w:keepNext/>
        <w:pBdr>
          <w:top w:val="nil"/>
          <w:left w:val="nil"/>
          <w:bottom w:val="nil"/>
          <w:right w:val="nil"/>
          <w:between w:val="nil"/>
        </w:pBdr>
        <w:spacing w:before="120" w:after="120"/>
        <w:ind w:left="720"/>
        <w:rPr>
          <w:color w:val="000000"/>
        </w:rPr>
      </w:pPr>
      <w:r>
        <w:rPr>
          <w:color w:val="000000"/>
        </w:rPr>
        <w:t>In this Annex D3: LGPS to Part D: Pensions, the fol</w:t>
      </w:r>
      <w:r>
        <w:rPr>
          <w:color w:val="000000"/>
        </w:rPr>
        <w:t xml:space="preserve">lowing words have the following meanings and they shall supplement </w:t>
      </w:r>
      <w:r>
        <w:t>the additional defined terms in clause 11.3:</w:t>
      </w:r>
    </w:p>
    <w:tbl>
      <w:tblPr>
        <w:tblStyle w:val="a7"/>
        <w:tblW w:w="9026" w:type="dxa"/>
        <w:tblInd w:w="-115" w:type="dxa"/>
        <w:tblLayout w:type="fixed"/>
        <w:tblLook w:val="0000" w:firstRow="0" w:lastRow="0" w:firstColumn="0" w:lastColumn="0" w:noHBand="0" w:noVBand="0"/>
      </w:tblPr>
      <w:tblGrid>
        <w:gridCol w:w="2635"/>
        <w:gridCol w:w="6391"/>
      </w:tblGrid>
      <w:tr w:rsidR="007960A8" w14:paraId="2D8CA951" w14:textId="77777777">
        <w:trPr>
          <w:trHeight w:val="653"/>
        </w:trPr>
        <w:tc>
          <w:tcPr>
            <w:tcW w:w="2635" w:type="dxa"/>
          </w:tcPr>
          <w:p w14:paraId="5D9B83D5" w14:textId="77777777" w:rsidR="007960A8" w:rsidRDefault="00A26397">
            <w:pPr>
              <w:spacing w:before="120" w:after="120"/>
              <w:ind w:left="720"/>
              <w:rPr>
                <w:b/>
                <w:bCs/>
              </w:rPr>
            </w:pPr>
            <w:r>
              <w:rPr>
                <w:b/>
                <w:bCs/>
              </w:rPr>
              <w:t>“2013 Regulations”</w:t>
            </w:r>
          </w:p>
        </w:tc>
        <w:tc>
          <w:tcPr>
            <w:tcW w:w="6391" w:type="dxa"/>
          </w:tcPr>
          <w:p w14:paraId="321D6A88" w14:textId="77777777" w:rsidR="007960A8" w:rsidRDefault="00A26397">
            <w:pPr>
              <w:spacing w:before="120" w:after="120"/>
            </w:pPr>
            <w:r>
              <w:t>the Local Government Pension Scheme Regulations 2013 (SI 2013/2356) (as amended from time to time);</w:t>
            </w:r>
          </w:p>
        </w:tc>
      </w:tr>
      <w:tr w:rsidR="007960A8" w14:paraId="2F67CFE5" w14:textId="77777777">
        <w:trPr>
          <w:trHeight w:val="653"/>
        </w:trPr>
        <w:tc>
          <w:tcPr>
            <w:tcW w:w="2635" w:type="dxa"/>
          </w:tcPr>
          <w:p w14:paraId="08484DF7" w14:textId="77777777" w:rsidR="007960A8" w:rsidRDefault="00A26397">
            <w:pPr>
              <w:spacing w:before="120" w:after="120"/>
              <w:ind w:left="720"/>
            </w:pPr>
            <w:r>
              <w:t>"</w:t>
            </w:r>
            <w:r>
              <w:rPr>
                <w:b/>
                <w:bCs/>
              </w:rPr>
              <w:t>Administering Client</w:t>
            </w:r>
            <w:r>
              <w:t>"</w:t>
            </w:r>
          </w:p>
        </w:tc>
        <w:tc>
          <w:tcPr>
            <w:tcW w:w="6391" w:type="dxa"/>
          </w:tcPr>
          <w:p w14:paraId="58E39F6C" w14:textId="77777777" w:rsidR="007960A8" w:rsidRDefault="00A26397">
            <w:pPr>
              <w:spacing w:before="120" w:after="120"/>
            </w:pPr>
            <w:r>
              <w:t xml:space="preserve">in relation to </w:t>
            </w:r>
            <w:r>
              <w:rPr>
                <w:b/>
                <w:bCs/>
                <w:highlight w:val="yellow"/>
              </w:rPr>
              <w:t>the Fund [insert name],</w:t>
            </w:r>
            <w:r>
              <w:t xml:space="preserve"> the relevant Administering Client of that Fund for the purposes of the 2013 Regulations;</w:t>
            </w:r>
          </w:p>
        </w:tc>
      </w:tr>
      <w:tr w:rsidR="007960A8" w14:paraId="1A800A51" w14:textId="77777777">
        <w:trPr>
          <w:trHeight w:val="653"/>
        </w:trPr>
        <w:tc>
          <w:tcPr>
            <w:tcW w:w="2635" w:type="dxa"/>
          </w:tcPr>
          <w:p w14:paraId="3C9F5FFB" w14:textId="77777777" w:rsidR="007960A8" w:rsidRDefault="00A26397">
            <w:pPr>
              <w:spacing w:before="120" w:after="120"/>
              <w:ind w:left="720"/>
            </w:pPr>
            <w:r>
              <w:t>"</w:t>
            </w:r>
            <w:r>
              <w:rPr>
                <w:b/>
                <w:bCs/>
              </w:rPr>
              <w:t>Fund Actuary</w:t>
            </w:r>
            <w:r>
              <w:t>"</w:t>
            </w:r>
          </w:p>
        </w:tc>
        <w:tc>
          <w:tcPr>
            <w:tcW w:w="6391" w:type="dxa"/>
          </w:tcPr>
          <w:p w14:paraId="4931E737" w14:textId="77777777" w:rsidR="007960A8" w:rsidRDefault="00A26397">
            <w:pPr>
              <w:spacing w:before="120" w:after="120"/>
            </w:pPr>
            <w:r>
              <w:t>the actuary to a Fund appointed by the Administering Client of that Fund;</w:t>
            </w:r>
          </w:p>
        </w:tc>
      </w:tr>
      <w:tr w:rsidR="007960A8" w14:paraId="51C6ADFA" w14:textId="77777777">
        <w:trPr>
          <w:trHeight w:val="337"/>
        </w:trPr>
        <w:tc>
          <w:tcPr>
            <w:tcW w:w="2635" w:type="dxa"/>
          </w:tcPr>
          <w:p w14:paraId="3D187707" w14:textId="77777777" w:rsidR="007960A8" w:rsidRDefault="00A26397">
            <w:pPr>
              <w:spacing w:before="120" w:after="120"/>
              <w:ind w:left="720"/>
            </w:pPr>
            <w:r>
              <w:t>"</w:t>
            </w:r>
            <w:r>
              <w:rPr>
                <w:b/>
                <w:bCs/>
              </w:rPr>
              <w:t>Fund</w:t>
            </w:r>
            <w:r>
              <w:t>"</w:t>
            </w:r>
          </w:p>
        </w:tc>
        <w:tc>
          <w:tcPr>
            <w:tcW w:w="6391" w:type="dxa"/>
          </w:tcPr>
          <w:p w14:paraId="6E9B2AD2" w14:textId="77777777" w:rsidR="007960A8" w:rsidRDefault="00A26397">
            <w:pPr>
              <w:spacing w:before="120" w:after="120"/>
              <w:rPr>
                <w:b/>
                <w:bCs/>
              </w:rPr>
            </w:pPr>
            <w:r>
              <w:rPr>
                <w:b/>
                <w:bCs/>
                <w:highlight w:val="yellow"/>
              </w:rPr>
              <w:t>[insert name], a pension fund within the LGPS;</w:t>
            </w:r>
          </w:p>
        </w:tc>
      </w:tr>
      <w:tr w:rsidR="007960A8" w14:paraId="27D2FE33" w14:textId="77777777">
        <w:trPr>
          <w:trHeight w:val="337"/>
        </w:trPr>
        <w:tc>
          <w:tcPr>
            <w:tcW w:w="2635" w:type="dxa"/>
          </w:tcPr>
          <w:p w14:paraId="4E0D3B0B" w14:textId="77777777" w:rsidR="007960A8" w:rsidRDefault="00A26397">
            <w:pPr>
              <w:spacing w:before="120" w:after="120"/>
              <w:ind w:left="720"/>
            </w:pPr>
            <w:r>
              <w:rPr>
                <w:b/>
                <w:bCs/>
              </w:rPr>
              <w:t>[“Initial Contribution Rate”</w:t>
            </w:r>
            <w:r>
              <w:rPr>
                <w:b/>
                <w:bCs/>
                <w:vertAlign w:val="superscript"/>
              </w:rPr>
              <w:footnoteReference w:id="12"/>
            </w:r>
            <w:r>
              <w:rPr>
                <w:b/>
                <w:bCs/>
              </w:rPr>
              <w:t>]</w:t>
            </w:r>
          </w:p>
        </w:tc>
        <w:tc>
          <w:tcPr>
            <w:tcW w:w="6391" w:type="dxa"/>
          </w:tcPr>
          <w:p w14:paraId="6C9EEC0F" w14:textId="77777777" w:rsidR="007960A8" w:rsidRDefault="00A26397">
            <w:pPr>
              <w:spacing w:before="120" w:after="120"/>
              <w:rPr>
                <w:b/>
                <w:bCs/>
                <w:highlight w:val="yellow"/>
              </w:rPr>
            </w:pPr>
            <w:r>
              <w:t xml:space="preserve">[XX %] of pensionable pay (as defined in the 2013 Regulations);] </w:t>
            </w:r>
          </w:p>
        </w:tc>
      </w:tr>
      <w:tr w:rsidR="007960A8" w14:paraId="0EF4AEA6" w14:textId="77777777">
        <w:trPr>
          <w:trHeight w:val="1269"/>
        </w:trPr>
        <w:tc>
          <w:tcPr>
            <w:tcW w:w="2635" w:type="dxa"/>
          </w:tcPr>
          <w:p w14:paraId="646EC304" w14:textId="77777777" w:rsidR="007960A8" w:rsidRDefault="00A26397">
            <w:pPr>
              <w:spacing w:before="120" w:after="120"/>
              <w:ind w:left="720"/>
            </w:pPr>
            <w:r>
              <w:t>"</w:t>
            </w:r>
            <w:r>
              <w:rPr>
                <w:b/>
                <w:bCs/>
              </w:rPr>
              <w:t>LGPS</w:t>
            </w:r>
            <w:r>
              <w:t>"</w:t>
            </w:r>
          </w:p>
        </w:tc>
        <w:tc>
          <w:tcPr>
            <w:tcW w:w="6391" w:type="dxa"/>
          </w:tcPr>
          <w:p w14:paraId="083C5E27" w14:textId="77777777" w:rsidR="007960A8" w:rsidRDefault="00A26397">
            <w:pPr>
              <w:spacing w:before="120" w:after="120"/>
            </w:pPr>
            <w:r>
              <w:t>the Lo</w:t>
            </w:r>
            <w:r>
              <w:t>cal Government Pension Scheme as governed by the LGPS Regulations, and any other regulations (in each case as amended from time to time) which are from time to time applicable to the Local Government Pension Scheme;</w:t>
            </w:r>
          </w:p>
        </w:tc>
      </w:tr>
      <w:tr w:rsidR="007960A8" w14:paraId="6ED013B6" w14:textId="77777777">
        <w:trPr>
          <w:trHeight w:val="990"/>
        </w:trPr>
        <w:tc>
          <w:tcPr>
            <w:tcW w:w="2635" w:type="dxa"/>
          </w:tcPr>
          <w:p w14:paraId="5BDCDDC9" w14:textId="77777777" w:rsidR="007960A8" w:rsidRDefault="00A26397">
            <w:pPr>
              <w:spacing w:before="120" w:after="120"/>
              <w:ind w:left="720"/>
            </w:pPr>
            <w:r>
              <w:t>"</w:t>
            </w:r>
            <w:r>
              <w:rPr>
                <w:b/>
                <w:bCs/>
              </w:rPr>
              <w:t>LGPS Admission Agreement</w:t>
            </w:r>
            <w:r>
              <w:t>"</w:t>
            </w:r>
          </w:p>
        </w:tc>
        <w:tc>
          <w:tcPr>
            <w:tcW w:w="6391" w:type="dxa"/>
          </w:tcPr>
          <w:p w14:paraId="43354CCC" w14:textId="77777777" w:rsidR="007960A8" w:rsidRDefault="00A26397">
            <w:pPr>
              <w:spacing w:before="120" w:after="120"/>
            </w:pPr>
            <w:r>
              <w:t>an admission agreement within the meaning in Schedule 1 of the 2013 Regulations;</w:t>
            </w:r>
          </w:p>
        </w:tc>
      </w:tr>
      <w:tr w:rsidR="007960A8" w14:paraId="7D8C4B0C" w14:textId="77777777">
        <w:trPr>
          <w:trHeight w:val="900"/>
        </w:trPr>
        <w:tc>
          <w:tcPr>
            <w:tcW w:w="2635" w:type="dxa"/>
          </w:tcPr>
          <w:p w14:paraId="3F9112A5" w14:textId="77777777" w:rsidR="007960A8" w:rsidRDefault="00A26397">
            <w:pPr>
              <w:spacing w:before="120" w:after="120"/>
              <w:ind w:left="720"/>
            </w:pPr>
            <w:r>
              <w:t>"</w:t>
            </w:r>
            <w:r>
              <w:rPr>
                <w:b/>
                <w:bCs/>
              </w:rPr>
              <w:t>LGPS Admission Body</w:t>
            </w:r>
            <w:r>
              <w:t>"</w:t>
            </w:r>
          </w:p>
        </w:tc>
        <w:tc>
          <w:tcPr>
            <w:tcW w:w="6391" w:type="dxa"/>
          </w:tcPr>
          <w:p w14:paraId="3B852294" w14:textId="77777777" w:rsidR="007960A8" w:rsidRDefault="00A26397">
            <w:pPr>
              <w:spacing w:before="120" w:after="120"/>
            </w:pPr>
            <w:r>
              <w:t>an admission body (within the meaning of Part 3 of Schedule 2 of the 2013 Regulations);</w:t>
            </w:r>
          </w:p>
        </w:tc>
      </w:tr>
      <w:tr w:rsidR="007960A8" w14:paraId="4C35CE77" w14:textId="77777777">
        <w:trPr>
          <w:trHeight w:val="900"/>
        </w:trPr>
        <w:tc>
          <w:tcPr>
            <w:tcW w:w="2635" w:type="dxa"/>
          </w:tcPr>
          <w:p w14:paraId="0A280FE9" w14:textId="77777777" w:rsidR="007960A8" w:rsidRDefault="00A26397">
            <w:pPr>
              <w:spacing w:before="120" w:after="120"/>
              <w:ind w:left="720"/>
            </w:pPr>
            <w:r>
              <w:t>"</w:t>
            </w:r>
            <w:r>
              <w:rPr>
                <w:b/>
                <w:bCs/>
              </w:rPr>
              <w:t>LGPS Eligible Employees</w:t>
            </w:r>
            <w:r>
              <w:t>"</w:t>
            </w:r>
          </w:p>
        </w:tc>
        <w:tc>
          <w:tcPr>
            <w:tcW w:w="6391" w:type="dxa"/>
          </w:tcPr>
          <w:p w14:paraId="3DF71D8F" w14:textId="77777777" w:rsidR="007960A8" w:rsidRDefault="00A26397">
            <w:pPr>
              <w:spacing w:before="120" w:after="120"/>
            </w:pPr>
            <w:r>
              <w:t>any LGPS Fa</w:t>
            </w:r>
            <w:r>
              <w:t>ir Deal Employee who at the relevant time is an active member or eligible to participate in the LGPS under an LGPS Admission Agreement;</w:t>
            </w:r>
          </w:p>
        </w:tc>
      </w:tr>
      <w:tr w:rsidR="007960A8" w14:paraId="06986943" w14:textId="77777777">
        <w:trPr>
          <w:trHeight w:val="900"/>
        </w:trPr>
        <w:tc>
          <w:tcPr>
            <w:tcW w:w="2635" w:type="dxa"/>
          </w:tcPr>
          <w:p w14:paraId="473E8B10" w14:textId="77777777" w:rsidR="007960A8" w:rsidRDefault="00A26397">
            <w:pPr>
              <w:spacing w:before="120" w:after="120"/>
              <w:ind w:left="720"/>
            </w:pPr>
            <w:r>
              <w:t>"</w:t>
            </w:r>
            <w:r>
              <w:rPr>
                <w:b/>
                <w:bCs/>
              </w:rPr>
              <w:t>LGPS Fair Deal Employees</w:t>
            </w:r>
            <w:r>
              <w:t>"</w:t>
            </w:r>
          </w:p>
        </w:tc>
        <w:tc>
          <w:tcPr>
            <w:tcW w:w="6391" w:type="dxa"/>
          </w:tcPr>
          <w:p w14:paraId="4569CADD" w14:textId="77777777" w:rsidR="007960A8" w:rsidRDefault="00A26397">
            <w:pPr>
              <w:spacing w:before="120" w:after="120"/>
            </w:pPr>
            <w:r>
              <w:t>any Fair Deal Employee who at the Relevant Transfer Date is or becomes entitled to protectio</w:t>
            </w:r>
            <w:r>
              <w:t>n in respect of the LGPS or a pension scheme that is Broadly Comparable to the LGPS in accordance with the provisions in accordance with the provisions of New Fair Deal and/or the Best Value Direction; and</w:t>
            </w:r>
          </w:p>
        </w:tc>
      </w:tr>
      <w:tr w:rsidR="007960A8" w14:paraId="6027472F" w14:textId="77777777">
        <w:trPr>
          <w:trHeight w:val="1665"/>
        </w:trPr>
        <w:tc>
          <w:tcPr>
            <w:tcW w:w="2635" w:type="dxa"/>
          </w:tcPr>
          <w:p w14:paraId="200AF52D" w14:textId="77777777" w:rsidR="007960A8" w:rsidRDefault="00A26397">
            <w:pPr>
              <w:spacing w:before="120" w:after="120"/>
              <w:ind w:left="720"/>
            </w:pPr>
            <w:r>
              <w:t>"</w:t>
            </w:r>
            <w:r>
              <w:rPr>
                <w:b/>
                <w:bCs/>
              </w:rPr>
              <w:t>LGPS Regulations</w:t>
            </w:r>
            <w:r>
              <w:t>"</w:t>
            </w:r>
          </w:p>
        </w:tc>
        <w:tc>
          <w:tcPr>
            <w:tcW w:w="6391" w:type="dxa"/>
          </w:tcPr>
          <w:p w14:paraId="5F6C7DE9" w14:textId="77777777" w:rsidR="007960A8" w:rsidRDefault="00A26397">
            <w:pPr>
              <w:spacing w:before="120" w:after="120"/>
            </w:pPr>
            <w:r>
              <w:t>the 2013 Regulations and The Local Government Pension Scheme (Transitional Provisions, Savings and Amendment) Regulations 2014 (SI 2014/525), and any other regulations (in each case as amended from time to time) which are from time to time applicable to th</w:t>
            </w:r>
            <w:r>
              <w:t>e LGPS.</w:t>
            </w:r>
          </w:p>
        </w:tc>
      </w:tr>
    </w:tbl>
    <w:p w14:paraId="5DE2B35C" w14:textId="77777777" w:rsidR="007960A8" w:rsidRDefault="00A26397">
      <w:pPr>
        <w:keepNext/>
        <w:widowControl/>
        <w:numPr>
          <w:ilvl w:val="0"/>
          <w:numId w:val="78"/>
        </w:numPr>
        <w:pBdr>
          <w:top w:val="nil"/>
          <w:left w:val="nil"/>
          <w:bottom w:val="nil"/>
          <w:right w:val="nil"/>
          <w:between w:val="nil"/>
        </w:pBdr>
        <w:spacing w:before="120" w:after="120"/>
        <w:ind w:left="426" w:hanging="426"/>
        <w:rPr>
          <w:b/>
          <w:bCs/>
          <w:color w:val="000000"/>
        </w:rPr>
      </w:pPr>
      <w:r>
        <w:rPr>
          <w:b/>
          <w:bCs/>
          <w:color w:val="000000"/>
        </w:rPr>
        <w:t>Service Provider to become an LGPS Admission Body</w:t>
      </w:r>
    </w:p>
    <w:p w14:paraId="5D07AFBB" w14:textId="77777777" w:rsidR="007960A8" w:rsidRDefault="00A26397">
      <w:pPr>
        <w:widowControl/>
        <w:numPr>
          <w:ilvl w:val="1"/>
          <w:numId w:val="68"/>
        </w:numPr>
        <w:spacing w:before="120" w:after="120"/>
        <w:ind w:left="1134" w:hanging="708"/>
      </w:pPr>
      <w:r>
        <w:t xml:space="preserve">In accordance with the principles of New Fair Deal and/or the Best Value Direction, the </w:t>
      </w:r>
      <w:r>
        <w:rPr>
          <w:i/>
          <w:iCs/>
        </w:rPr>
        <w:t>Service Provider</w:t>
      </w:r>
      <w:r>
        <w:t xml:space="preserve"> and/or any of its Subcontractors to which the employment of any LGPS Fair Deal Employee comp</w:t>
      </w:r>
      <w:r>
        <w:t>ulsorily transfers as a result of either the award of the relevant Contract or a Relevant Transfer, if not a scheme employer which participates automatically in the LGPS, shall each become an LGPS Admission Body by entering into an LGPS Admission Agreement</w:t>
      </w:r>
      <w:r>
        <w:t xml:space="preserve"> on or before the Relevant Transfer Date to enable the LGPS Fair Deal Employees to retain either continuous active membership of or eligibility for the LGPS on and from the Relevant Transfer Date for so long as they remain employed in connection with the d</w:t>
      </w:r>
      <w:r>
        <w:t xml:space="preserve">elivery of the </w:t>
      </w:r>
      <w:r>
        <w:rPr>
          <w:i/>
          <w:iCs/>
        </w:rPr>
        <w:t>services</w:t>
      </w:r>
      <w:r>
        <w:t xml:space="preserve"> under the relevant Contract.</w:t>
      </w:r>
    </w:p>
    <w:p w14:paraId="0AED7493" w14:textId="77777777" w:rsidR="007960A8" w:rsidRDefault="00A26397">
      <w:pPr>
        <w:spacing w:before="120" w:after="120"/>
        <w:ind w:left="426"/>
        <w:rPr>
          <w:b/>
          <w:bCs/>
        </w:rPr>
      </w:pPr>
      <w:r>
        <w:rPr>
          <w:b/>
          <w:bCs/>
        </w:rPr>
        <w:t>OPTION 1</w:t>
      </w:r>
      <w:r>
        <w:rPr>
          <w:b/>
          <w:bCs/>
          <w:vertAlign w:val="superscript"/>
        </w:rPr>
        <w:footnoteReference w:id="13"/>
      </w:r>
      <w:r>
        <w:rPr>
          <w:b/>
          <w:bCs/>
        </w:rPr>
        <w:t xml:space="preserve"> </w:t>
      </w:r>
    </w:p>
    <w:p w14:paraId="529DE47F" w14:textId="77777777" w:rsidR="007960A8" w:rsidRDefault="00A26397">
      <w:pPr>
        <w:widowControl/>
        <w:numPr>
          <w:ilvl w:val="1"/>
          <w:numId w:val="68"/>
        </w:numPr>
        <w:spacing w:before="120" w:after="120"/>
        <w:ind w:left="1134" w:hanging="708"/>
      </w:pPr>
      <w:r>
        <w:t>[Any LGPS Fair Deal Employees who:</w:t>
      </w:r>
    </w:p>
    <w:p w14:paraId="0E53C5B7" w14:textId="77777777" w:rsidR="007960A8" w:rsidRDefault="00A26397">
      <w:pPr>
        <w:widowControl/>
        <w:numPr>
          <w:ilvl w:val="2"/>
          <w:numId w:val="68"/>
        </w:numPr>
        <w:spacing w:before="120" w:after="120"/>
        <w:ind w:left="1985" w:hanging="851"/>
      </w:pPr>
      <w:r>
        <w:t>were active members of the LGPS (or a Broadly Comparable pension scheme) immediately before the Relevant Transfer Date shall be admitted to the LGPS with effect on and from the Relevant Transfer Date; and</w:t>
      </w:r>
    </w:p>
    <w:p w14:paraId="3ED4AE56" w14:textId="77777777" w:rsidR="007960A8" w:rsidRDefault="00A26397">
      <w:pPr>
        <w:widowControl/>
        <w:numPr>
          <w:ilvl w:val="2"/>
          <w:numId w:val="68"/>
        </w:numPr>
        <w:spacing w:before="120" w:after="120"/>
        <w:ind w:left="1985" w:hanging="851"/>
      </w:pPr>
      <w:r>
        <w:t>were eligible to join the LGPS (or a Broadly Compar</w:t>
      </w:r>
      <w:r>
        <w:t>able pension scheme) but were not active members of the LGPS (or a Broadly Comparable pension scheme) immediately before the Relevant Transfer Date shall retain the ability to join the LGPS on or after the Relevant Transfer Date if they wish to do so.]</w:t>
      </w:r>
    </w:p>
    <w:p w14:paraId="0030DD35" w14:textId="77777777" w:rsidR="007960A8" w:rsidRDefault="00A26397">
      <w:pPr>
        <w:spacing w:before="120" w:after="120"/>
        <w:ind w:left="426"/>
        <w:rPr>
          <w:b/>
          <w:bCs/>
        </w:rPr>
      </w:pPr>
      <w:r>
        <w:rPr>
          <w:b/>
          <w:bCs/>
        </w:rPr>
        <w:t>OPT</w:t>
      </w:r>
      <w:r>
        <w:rPr>
          <w:b/>
          <w:bCs/>
        </w:rPr>
        <w:t>ION 2</w:t>
      </w:r>
    </w:p>
    <w:p w14:paraId="6DA2E410" w14:textId="77777777" w:rsidR="007960A8" w:rsidRDefault="00A26397">
      <w:pPr>
        <w:spacing w:before="120" w:after="120"/>
        <w:ind w:left="1134" w:hanging="708"/>
      </w:pPr>
      <w:r>
        <w:t xml:space="preserve">2.2 </w:t>
      </w:r>
      <w:r>
        <w:tab/>
        <w:t>[Any LGPS Fair Deal Employees whether:</w:t>
      </w:r>
    </w:p>
    <w:p w14:paraId="1D14214B" w14:textId="77777777" w:rsidR="007960A8" w:rsidRDefault="00A26397">
      <w:pPr>
        <w:widowControl/>
        <w:numPr>
          <w:ilvl w:val="2"/>
          <w:numId w:val="68"/>
        </w:numPr>
        <w:pBdr>
          <w:top w:val="nil"/>
          <w:left w:val="nil"/>
          <w:bottom w:val="nil"/>
          <w:right w:val="nil"/>
          <w:between w:val="nil"/>
        </w:pBdr>
        <w:spacing w:before="120" w:after="120"/>
        <w:ind w:left="1985" w:hanging="851"/>
        <w:rPr>
          <w:color w:val="000000"/>
        </w:rPr>
      </w:pPr>
      <w:r>
        <w:rPr>
          <w:color w:val="000000"/>
        </w:rPr>
        <w:t xml:space="preserve">active members of the LGPS (or a Broadly Comparable pension scheme) immediately before the Relevant Transfer Date; or </w:t>
      </w:r>
    </w:p>
    <w:p w14:paraId="284DF644" w14:textId="77777777" w:rsidR="007960A8" w:rsidRDefault="00A26397">
      <w:pPr>
        <w:widowControl/>
        <w:numPr>
          <w:ilvl w:val="2"/>
          <w:numId w:val="68"/>
        </w:numPr>
        <w:spacing w:before="120" w:after="120"/>
        <w:ind w:left="1985" w:hanging="851"/>
      </w:pPr>
      <w:r>
        <w:t>eligible to join the LGPS (or a Broadly Comparable pension scheme) but not active membe</w:t>
      </w:r>
      <w:r>
        <w:t xml:space="preserve">rs of the LGPS (or a Broadly Comparable pension scheme) immediately before the Relevant Transfer Date </w:t>
      </w:r>
    </w:p>
    <w:p w14:paraId="51ED5523" w14:textId="77777777" w:rsidR="007960A8" w:rsidRDefault="00A26397">
      <w:pPr>
        <w:spacing w:before="120" w:after="120"/>
        <w:ind w:left="1134"/>
      </w:pPr>
      <w:r>
        <w:t xml:space="preserve">shall be admitted to the LGPS with effect on and from the Relevant Transfer Date. The </w:t>
      </w:r>
      <w:r>
        <w:rPr>
          <w:i/>
          <w:iCs/>
        </w:rPr>
        <w:t>Service Provider</w:t>
      </w:r>
      <w:r>
        <w:t xml:space="preserve"> shall not automatically enrol or re-enrol for the </w:t>
      </w:r>
      <w:r>
        <w:t xml:space="preserve">purposes of the Pensions Act 2008 any LGPS Fair Deal Employees in any pension scheme other than the LGPS unless they cease to be eligible for membership of the LGPS.] </w:t>
      </w:r>
    </w:p>
    <w:p w14:paraId="18E7EFAB" w14:textId="77777777" w:rsidR="007960A8" w:rsidRDefault="00A26397">
      <w:pPr>
        <w:widowControl/>
        <w:numPr>
          <w:ilvl w:val="1"/>
          <w:numId w:val="68"/>
        </w:numPr>
        <w:pBdr>
          <w:top w:val="nil"/>
          <w:left w:val="nil"/>
          <w:bottom w:val="nil"/>
          <w:right w:val="nil"/>
          <w:between w:val="nil"/>
        </w:pBdr>
        <w:spacing w:before="120" w:after="120"/>
        <w:ind w:left="1134" w:hanging="708"/>
        <w:rPr>
          <w:color w:val="000000"/>
        </w:rPr>
      </w:pPr>
      <w:bookmarkStart w:id="75" w:name="_heading=h.sqyw64" w:colFirst="0" w:colLast="0"/>
      <w:bookmarkEnd w:id="75"/>
      <w:r>
        <w:rPr>
          <w:color w:val="000000"/>
        </w:rPr>
        <w:t xml:space="preserve">The </w:t>
      </w:r>
      <w:r>
        <w:rPr>
          <w:i/>
          <w:iCs/>
          <w:color w:val="000000"/>
        </w:rPr>
        <w:t>Service Provider</w:t>
      </w:r>
      <w:r>
        <w:rPr>
          <w:color w:val="000000"/>
        </w:rPr>
        <w:t xml:space="preserve"> will (and will procure that its Subcontractors (if any) will) provi</w:t>
      </w:r>
      <w:r>
        <w:rPr>
          <w:color w:val="000000"/>
        </w:rPr>
        <w:t>de at its own cost any indemnity, bond or guarantee required by an Administering Client in relation to an LGPS Admission Agreement.</w:t>
      </w:r>
    </w:p>
    <w:p w14:paraId="14E21F55" w14:textId="77777777" w:rsidR="007960A8" w:rsidRDefault="00A26397">
      <w:pPr>
        <w:keepNext/>
        <w:widowControl/>
        <w:numPr>
          <w:ilvl w:val="0"/>
          <w:numId w:val="78"/>
        </w:numPr>
        <w:pBdr>
          <w:top w:val="nil"/>
          <w:left w:val="nil"/>
          <w:bottom w:val="nil"/>
          <w:right w:val="nil"/>
          <w:between w:val="nil"/>
        </w:pBdr>
        <w:spacing w:before="120" w:after="120"/>
        <w:ind w:left="426" w:hanging="426"/>
        <w:rPr>
          <w:b/>
          <w:bCs/>
          <w:color w:val="000000"/>
        </w:rPr>
      </w:pPr>
      <w:r>
        <w:rPr>
          <w:b/>
          <w:bCs/>
          <w:color w:val="000000"/>
        </w:rPr>
        <w:t>Broadly Comparable Scheme</w:t>
      </w:r>
    </w:p>
    <w:p w14:paraId="41D8B9CC" w14:textId="77777777" w:rsidR="007960A8" w:rsidRDefault="00A26397">
      <w:pPr>
        <w:pStyle w:val="Heading4"/>
        <w:spacing w:before="120" w:after="120"/>
        <w:ind w:left="1134" w:hanging="708"/>
        <w:rPr>
          <w:rFonts w:ascii="Arial" w:eastAsia="Arial" w:hAnsi="Arial" w:cs="Arial"/>
          <w:i w:val="0"/>
          <w:iCs w:val="0"/>
          <w:color w:val="000000"/>
        </w:rPr>
      </w:pPr>
      <w:r>
        <w:rPr>
          <w:rFonts w:ascii="Arial" w:eastAsia="Arial" w:hAnsi="Arial" w:cs="Arial"/>
          <w:i w:val="0"/>
          <w:iCs w:val="0"/>
          <w:color w:val="000000"/>
        </w:rPr>
        <w:t>3.1</w:t>
      </w:r>
      <w:r>
        <w:rPr>
          <w:rFonts w:ascii="Arial" w:eastAsia="Arial" w:hAnsi="Arial" w:cs="Arial"/>
          <w:i w:val="0"/>
          <w:iCs w:val="0"/>
          <w:color w:val="000000"/>
        </w:rPr>
        <w:tab/>
        <w:t xml:space="preserve">If the </w:t>
      </w:r>
      <w:r>
        <w:rPr>
          <w:rFonts w:ascii="Arial" w:eastAsia="Arial" w:hAnsi="Arial" w:cs="Arial"/>
          <w:color w:val="000000"/>
        </w:rPr>
        <w:t>Service Provider</w:t>
      </w:r>
      <w:r>
        <w:rPr>
          <w:rFonts w:ascii="Arial" w:eastAsia="Arial" w:hAnsi="Arial" w:cs="Arial"/>
          <w:i w:val="0"/>
          <w:iCs w:val="0"/>
          <w:color w:val="000000"/>
        </w:rPr>
        <w:t xml:space="preserve"> and/or any of its Subcontractors is unable to obtain an LGPS Admission Agreement in accordance with Paragraph 2.1 because the Administering Client will not allow it to participate in the Fund, the </w:t>
      </w:r>
      <w:r>
        <w:rPr>
          <w:rFonts w:ascii="Arial" w:eastAsia="Arial" w:hAnsi="Arial" w:cs="Arial"/>
          <w:color w:val="000000"/>
        </w:rPr>
        <w:t>Service Provider</w:t>
      </w:r>
      <w:r>
        <w:rPr>
          <w:rFonts w:ascii="Arial" w:eastAsia="Arial" w:hAnsi="Arial" w:cs="Arial"/>
          <w:i w:val="0"/>
          <w:iCs w:val="0"/>
          <w:color w:val="000000"/>
        </w:rPr>
        <w:t xml:space="preserve"> shall (and procure that its Subcontractor</w:t>
      </w:r>
      <w:r>
        <w:rPr>
          <w:rFonts w:ascii="Arial" w:eastAsia="Arial" w:hAnsi="Arial" w:cs="Arial"/>
          <w:i w:val="0"/>
          <w:iCs w:val="0"/>
          <w:color w:val="000000"/>
        </w:rPr>
        <w:t xml:space="preserve">s shall), with effect from the Relevant Transfer Date, offer the LGPS Fair Deal Employees membership of a pension scheme which is Broadly Comparable to LGPS on the Relevant Transfer Date in accordance with the provisions of Paragraph 10 of Part D. </w:t>
      </w:r>
    </w:p>
    <w:p w14:paraId="325CB09C" w14:textId="77777777" w:rsidR="007960A8" w:rsidRDefault="00A26397">
      <w:pPr>
        <w:pStyle w:val="Heading4"/>
        <w:spacing w:before="120" w:after="120"/>
        <w:ind w:left="1134" w:hanging="708"/>
        <w:rPr>
          <w:rFonts w:ascii="Arial" w:eastAsia="Arial" w:hAnsi="Arial" w:cs="Arial"/>
          <w:i w:val="0"/>
          <w:iCs w:val="0"/>
          <w:color w:val="000000"/>
        </w:rPr>
      </w:pPr>
      <w:r>
        <w:rPr>
          <w:rFonts w:ascii="Arial" w:eastAsia="Arial" w:hAnsi="Arial" w:cs="Arial"/>
          <w:i w:val="0"/>
          <w:iCs w:val="0"/>
          <w:color w:val="000000"/>
        </w:rPr>
        <w:t>3.2</w:t>
      </w:r>
      <w:r>
        <w:rPr>
          <w:rFonts w:ascii="Arial" w:eastAsia="Arial" w:hAnsi="Arial" w:cs="Arial"/>
          <w:i w:val="0"/>
          <w:iCs w:val="0"/>
          <w:color w:val="000000"/>
        </w:rPr>
        <w:tab/>
        <w:t xml:space="preserve">If </w:t>
      </w:r>
      <w:r>
        <w:rPr>
          <w:rFonts w:ascii="Arial" w:eastAsia="Arial" w:hAnsi="Arial" w:cs="Arial"/>
          <w:i w:val="0"/>
          <w:iCs w:val="0"/>
          <w:color w:val="000000"/>
        </w:rPr>
        <w:t xml:space="preserve">the </w:t>
      </w:r>
      <w:r>
        <w:rPr>
          <w:rFonts w:ascii="Arial" w:eastAsia="Arial" w:hAnsi="Arial" w:cs="Arial"/>
          <w:color w:val="000000"/>
        </w:rPr>
        <w:t>Service Provider</w:t>
      </w:r>
      <w:r>
        <w:rPr>
          <w:rFonts w:ascii="Arial" w:eastAsia="Arial" w:hAnsi="Arial" w:cs="Arial"/>
          <w:i w:val="0"/>
          <w:iCs w:val="0"/>
          <w:color w:val="000000"/>
        </w:rPr>
        <w:t xml:space="preserve"> and/or any of its Subcontractors becomes an LGPS Admission Body in accordance with Paragraph 2.1 but the LGPS Admission Agreement is terminated during the term of the relevant Contract for any reason at a time when the </w:t>
      </w:r>
      <w:r>
        <w:rPr>
          <w:rFonts w:ascii="Arial" w:eastAsia="Arial" w:hAnsi="Arial" w:cs="Arial"/>
          <w:color w:val="000000"/>
        </w:rPr>
        <w:t>Service Provider</w:t>
      </w:r>
      <w:r>
        <w:rPr>
          <w:rFonts w:ascii="Arial" w:eastAsia="Arial" w:hAnsi="Arial" w:cs="Arial"/>
          <w:i w:val="0"/>
          <w:iCs w:val="0"/>
          <w:color w:val="000000"/>
        </w:rPr>
        <w:t xml:space="preserve"> or Subcontractors still employs any LGPS Eligible Employees, the </w:t>
      </w:r>
      <w:r>
        <w:rPr>
          <w:rFonts w:ascii="Arial" w:eastAsia="Arial" w:hAnsi="Arial" w:cs="Arial"/>
          <w:color w:val="000000"/>
        </w:rPr>
        <w:t>Service Provider</w:t>
      </w:r>
      <w:r>
        <w:rPr>
          <w:rFonts w:ascii="Arial" w:eastAsia="Arial" w:hAnsi="Arial" w:cs="Arial"/>
          <w:i w:val="0"/>
          <w:iCs w:val="0"/>
          <w:color w:val="000000"/>
        </w:rPr>
        <w:t xml:space="preserve"> shall (and procure that its Subcontractors shall) at no extra cost to the </w:t>
      </w:r>
      <w:r>
        <w:rPr>
          <w:rFonts w:ascii="Arial" w:eastAsia="Arial" w:hAnsi="Arial" w:cs="Arial"/>
          <w:color w:val="000000"/>
        </w:rPr>
        <w:t>Client</w:t>
      </w:r>
      <w:r>
        <w:rPr>
          <w:rFonts w:ascii="Arial" w:eastAsia="Arial" w:hAnsi="Arial" w:cs="Arial"/>
          <w:i w:val="0"/>
          <w:iCs w:val="0"/>
          <w:color w:val="000000"/>
        </w:rPr>
        <w:t>, offer the remaining LGPS Eligible Employees membership of a pension scheme which is Broadly</w:t>
      </w:r>
      <w:r>
        <w:rPr>
          <w:rFonts w:ascii="Arial" w:eastAsia="Arial" w:hAnsi="Arial" w:cs="Arial"/>
          <w:i w:val="0"/>
          <w:iCs w:val="0"/>
          <w:color w:val="000000"/>
        </w:rPr>
        <w:t xml:space="preserve"> Comparable to the LGPS on the date the LGPS Eligible Employees ceased to participate in the LGPS in accordance with the provisions of Paragraph 11 of Part D.</w:t>
      </w:r>
    </w:p>
    <w:p w14:paraId="28F020EC" w14:textId="77777777" w:rsidR="007960A8" w:rsidRDefault="00A26397">
      <w:pPr>
        <w:keepNext/>
        <w:widowControl/>
        <w:numPr>
          <w:ilvl w:val="0"/>
          <w:numId w:val="78"/>
        </w:numPr>
        <w:pBdr>
          <w:top w:val="nil"/>
          <w:left w:val="nil"/>
          <w:bottom w:val="nil"/>
          <w:right w:val="nil"/>
          <w:between w:val="nil"/>
        </w:pBdr>
        <w:spacing w:before="120" w:after="120"/>
        <w:ind w:left="426" w:hanging="426"/>
        <w:rPr>
          <w:b/>
          <w:bCs/>
          <w:color w:val="000000"/>
        </w:rPr>
      </w:pPr>
      <w:bookmarkStart w:id="76" w:name="_heading=h.3cqmetx" w:colFirst="0" w:colLast="0"/>
      <w:bookmarkEnd w:id="76"/>
      <w:r>
        <w:rPr>
          <w:b/>
          <w:bCs/>
          <w:color w:val="000000"/>
        </w:rPr>
        <w:t>Discretionary Benefits</w:t>
      </w:r>
    </w:p>
    <w:p w14:paraId="1F2BC5D1" w14:textId="77777777" w:rsidR="007960A8" w:rsidRDefault="00A26397">
      <w:pPr>
        <w:pStyle w:val="Heading3"/>
        <w:spacing w:before="120" w:after="120"/>
        <w:ind w:left="426" w:hanging="10"/>
        <w:jc w:val="left"/>
        <w:rPr>
          <w:rFonts w:ascii="Arial" w:eastAsia="Arial" w:hAnsi="Arial" w:cs="Arial"/>
          <w:sz w:val="22"/>
          <w:szCs w:val="22"/>
        </w:rPr>
      </w:pPr>
      <w:r>
        <w:rPr>
          <w:rFonts w:ascii="Arial" w:eastAsia="Arial" w:hAnsi="Arial" w:cs="Arial"/>
          <w:sz w:val="22"/>
          <w:szCs w:val="22"/>
        </w:rPr>
        <w:t xml:space="preserve">Where the </w:t>
      </w:r>
      <w:r>
        <w:rPr>
          <w:rFonts w:ascii="Arial" w:eastAsia="Arial" w:hAnsi="Arial" w:cs="Arial"/>
          <w:i/>
          <w:iCs/>
          <w:sz w:val="22"/>
          <w:szCs w:val="22"/>
        </w:rPr>
        <w:t>Service Provider</w:t>
      </w:r>
      <w:r>
        <w:rPr>
          <w:rFonts w:ascii="Arial" w:eastAsia="Arial" w:hAnsi="Arial" w:cs="Arial"/>
          <w:sz w:val="22"/>
          <w:szCs w:val="22"/>
        </w:rPr>
        <w:t xml:space="preserve"> and/or any of its Subcontractors is an LGPS Admission Body, the </w:t>
      </w:r>
      <w:r>
        <w:rPr>
          <w:rFonts w:ascii="Arial" w:eastAsia="Arial" w:hAnsi="Arial" w:cs="Arial"/>
          <w:i/>
          <w:iCs/>
          <w:sz w:val="22"/>
          <w:szCs w:val="22"/>
        </w:rPr>
        <w:t>Service Provider</w:t>
      </w:r>
      <w:r>
        <w:rPr>
          <w:rFonts w:ascii="Arial" w:eastAsia="Arial" w:hAnsi="Arial" w:cs="Arial"/>
          <w:sz w:val="22"/>
          <w:szCs w:val="22"/>
        </w:rPr>
        <w:t xml:space="preserve"> shall (and procure that its Subcontractors shall) comply with its obligations under regulation 60 of the 2013 Regulations in relation to the preparation of a discretionary po</w:t>
      </w:r>
      <w:r>
        <w:rPr>
          <w:rFonts w:ascii="Arial" w:eastAsia="Arial" w:hAnsi="Arial" w:cs="Arial"/>
          <w:sz w:val="22"/>
          <w:szCs w:val="22"/>
        </w:rPr>
        <w:t>licy statement.</w:t>
      </w:r>
    </w:p>
    <w:p w14:paraId="6D50B2B9" w14:textId="77777777" w:rsidR="007960A8" w:rsidRDefault="00A26397">
      <w:pPr>
        <w:keepNext/>
        <w:widowControl/>
        <w:numPr>
          <w:ilvl w:val="0"/>
          <w:numId w:val="78"/>
        </w:numPr>
        <w:pBdr>
          <w:top w:val="nil"/>
          <w:left w:val="nil"/>
          <w:bottom w:val="nil"/>
          <w:right w:val="nil"/>
          <w:between w:val="nil"/>
        </w:pBdr>
        <w:spacing w:before="120" w:after="120"/>
        <w:ind w:left="426" w:hanging="426"/>
        <w:rPr>
          <w:b/>
          <w:bCs/>
          <w:color w:val="000000"/>
        </w:rPr>
      </w:pPr>
      <w:r>
        <w:rPr>
          <w:b/>
          <w:bCs/>
          <w:color w:val="000000"/>
        </w:rPr>
        <w:t>LGPS Risk Sharing</w:t>
      </w:r>
      <w:r>
        <w:rPr>
          <w:b/>
          <w:bCs/>
          <w:color w:val="000000"/>
          <w:sz w:val="16"/>
          <w:szCs w:val="16"/>
          <w:vertAlign w:val="superscript"/>
        </w:rPr>
        <w:footnoteReference w:id="14"/>
      </w:r>
    </w:p>
    <w:p w14:paraId="4BE54E34" w14:textId="77777777" w:rsidR="007960A8" w:rsidRDefault="00A26397">
      <w:pPr>
        <w:widowControl/>
        <w:numPr>
          <w:ilvl w:val="1"/>
          <w:numId w:val="78"/>
        </w:numPr>
        <w:pBdr>
          <w:top w:val="nil"/>
          <w:left w:val="nil"/>
          <w:bottom w:val="nil"/>
          <w:right w:val="nil"/>
          <w:between w:val="nil"/>
        </w:pBdr>
        <w:spacing w:before="120" w:after="120"/>
        <w:ind w:left="1134" w:hanging="708"/>
        <w:rPr>
          <w:b/>
          <w:bCs/>
          <w:color w:val="000000"/>
        </w:rPr>
      </w:pPr>
      <w:r>
        <w:rPr>
          <w:color w:val="000000"/>
        </w:rPr>
        <w:t xml:space="preserve">Subject to Paragraphs 5.4 to 5.10, if at any time during the term of the relevant Contract the Administering Client, pursuant to the LGPS Admission Agreement or the LGPS Regulations, requires the </w:t>
      </w:r>
      <w:r>
        <w:rPr>
          <w:i/>
          <w:iCs/>
          <w:color w:val="000000"/>
        </w:rPr>
        <w:t>Service Provider</w:t>
      </w:r>
      <w:r>
        <w:rPr>
          <w:color w:val="000000"/>
        </w:rPr>
        <w:t xml:space="preserve"> or any </w:t>
      </w:r>
      <w:r>
        <w:rPr>
          <w:color w:val="000000"/>
        </w:rPr>
        <w:t>Subcontractor to pay employer contributions or other payments to the Fund in aggregate in excess of the Initial Contribution Rate, the excess of employer contributions above the Initial Contribution Rate for a Contract Year (the “Excess Amount”) shall be p</w:t>
      </w:r>
      <w:r>
        <w:rPr>
          <w:color w:val="000000"/>
        </w:rPr>
        <w:t xml:space="preserve">aid by the </w:t>
      </w:r>
      <w:r>
        <w:rPr>
          <w:i/>
          <w:iCs/>
          <w:color w:val="000000"/>
        </w:rPr>
        <w:t>Service Provider</w:t>
      </w:r>
      <w:r>
        <w:rPr>
          <w:color w:val="000000"/>
        </w:rPr>
        <w:t xml:space="preserve"> or the Subcontractor, as the case may be, and the </w:t>
      </w:r>
      <w:r>
        <w:rPr>
          <w:i/>
          <w:iCs/>
          <w:color w:val="000000"/>
        </w:rPr>
        <w:t>Service Provider</w:t>
      </w:r>
      <w:r>
        <w:rPr>
          <w:color w:val="000000"/>
        </w:rPr>
        <w:t xml:space="preserve"> shall be reimbursed by the </w:t>
      </w:r>
      <w:r>
        <w:rPr>
          <w:i/>
          <w:iCs/>
          <w:color w:val="000000"/>
        </w:rPr>
        <w:t>Client</w:t>
      </w:r>
      <w:r>
        <w:rPr>
          <w:color w:val="000000"/>
        </w:rPr>
        <w:t>.</w:t>
      </w:r>
    </w:p>
    <w:p w14:paraId="36F6096B" w14:textId="77777777" w:rsidR="007960A8" w:rsidRDefault="00A26397">
      <w:pPr>
        <w:widowControl/>
        <w:numPr>
          <w:ilvl w:val="1"/>
          <w:numId w:val="78"/>
        </w:numPr>
        <w:pBdr>
          <w:top w:val="nil"/>
          <w:left w:val="nil"/>
          <w:bottom w:val="nil"/>
          <w:right w:val="nil"/>
          <w:between w:val="nil"/>
        </w:pBdr>
        <w:spacing w:before="120" w:after="120"/>
        <w:ind w:left="1134" w:hanging="708"/>
        <w:rPr>
          <w:b/>
          <w:bCs/>
          <w:color w:val="000000"/>
        </w:rPr>
      </w:pPr>
      <w:r>
        <w:rPr>
          <w:color w:val="000000"/>
        </w:rPr>
        <w:t xml:space="preserve">Subject to Paragraphs 5.4 to 5.9 and 5.11, if at any time during the term of the relevant Contract, the Administering Client, </w:t>
      </w:r>
      <w:r>
        <w:rPr>
          <w:color w:val="000000"/>
        </w:rPr>
        <w:t xml:space="preserve">pursuant to the LGPS Admission Agreement or the LGPS Regulations, requires the </w:t>
      </w:r>
      <w:r>
        <w:rPr>
          <w:i/>
          <w:iCs/>
          <w:color w:val="000000"/>
        </w:rPr>
        <w:t>Service Provider</w:t>
      </w:r>
      <w:r>
        <w:rPr>
          <w:color w:val="000000"/>
        </w:rPr>
        <w:t xml:space="preserve"> or any Subcontractor to pay employer contributions or payments to the Fund in aggregate below the Initial Contribution Rate for a Contract Year, the </w:t>
      </w:r>
      <w:r>
        <w:rPr>
          <w:i/>
          <w:iCs/>
          <w:color w:val="000000"/>
        </w:rPr>
        <w:t>Service Pro</w:t>
      </w:r>
      <w:r>
        <w:rPr>
          <w:i/>
          <w:iCs/>
          <w:color w:val="000000"/>
        </w:rPr>
        <w:t>vider</w:t>
      </w:r>
      <w:r>
        <w:rPr>
          <w:color w:val="000000"/>
        </w:rPr>
        <w:t xml:space="preserve"> shall reimburse the </w:t>
      </w:r>
      <w:r>
        <w:rPr>
          <w:i/>
          <w:iCs/>
          <w:color w:val="000000"/>
        </w:rPr>
        <w:t>Client</w:t>
      </w:r>
      <w:r>
        <w:rPr>
          <w:color w:val="000000"/>
        </w:rPr>
        <w:t xml:space="preserve"> an amount equal to A–B (the “Refund Amount”) where:</w:t>
      </w:r>
    </w:p>
    <w:p w14:paraId="17D41043" w14:textId="77777777" w:rsidR="007960A8" w:rsidRDefault="00A26397">
      <w:pPr>
        <w:pStyle w:val="Heading3"/>
        <w:spacing w:before="120" w:after="120"/>
        <w:ind w:left="1985" w:hanging="851"/>
        <w:jc w:val="left"/>
        <w:rPr>
          <w:rFonts w:ascii="Arial" w:eastAsia="Arial" w:hAnsi="Arial" w:cs="Arial"/>
        </w:rPr>
      </w:pPr>
      <w:r>
        <w:rPr>
          <w:rFonts w:ascii="Arial" w:eastAsia="Arial" w:hAnsi="Arial" w:cs="Arial"/>
          <w:sz w:val="22"/>
          <w:szCs w:val="22"/>
        </w:rPr>
        <w:t>A =</w:t>
      </w:r>
      <w:r>
        <w:rPr>
          <w:rFonts w:ascii="Arial" w:eastAsia="Arial" w:hAnsi="Arial" w:cs="Arial"/>
          <w:sz w:val="22"/>
          <w:szCs w:val="22"/>
        </w:rPr>
        <w:tab/>
      </w:r>
      <w:r>
        <w:rPr>
          <w:rFonts w:ascii="Arial" w:eastAsia="Arial" w:hAnsi="Arial" w:cs="Arial"/>
          <w:sz w:val="22"/>
          <w:szCs w:val="22"/>
        </w:rPr>
        <w:t>the amount which would have been paid if contributions and payments had been paid equal to the Initial Contribution Rate for that Contract Year; and</w:t>
      </w:r>
    </w:p>
    <w:p w14:paraId="3D808B45" w14:textId="77777777" w:rsidR="007960A8" w:rsidRDefault="00A26397">
      <w:pPr>
        <w:pStyle w:val="Heading3"/>
        <w:spacing w:before="120" w:after="120"/>
        <w:ind w:left="1985" w:hanging="851"/>
        <w:jc w:val="left"/>
        <w:rPr>
          <w:rFonts w:ascii="Arial" w:eastAsia="Arial" w:hAnsi="Arial" w:cs="Arial"/>
          <w:sz w:val="22"/>
          <w:szCs w:val="22"/>
        </w:rPr>
      </w:pPr>
      <w:r>
        <w:rPr>
          <w:rFonts w:ascii="Arial" w:eastAsia="Arial" w:hAnsi="Arial" w:cs="Arial"/>
          <w:sz w:val="22"/>
          <w:szCs w:val="22"/>
        </w:rPr>
        <w:t>B =</w:t>
      </w:r>
      <w:r>
        <w:rPr>
          <w:rFonts w:ascii="Arial" w:eastAsia="Arial" w:hAnsi="Arial" w:cs="Arial"/>
          <w:sz w:val="22"/>
          <w:szCs w:val="22"/>
        </w:rPr>
        <w:tab/>
        <w:t xml:space="preserve">the amount of contributions or payments actually paid by the </w:t>
      </w:r>
      <w:r>
        <w:rPr>
          <w:rFonts w:ascii="Arial" w:eastAsia="Arial" w:hAnsi="Arial" w:cs="Arial"/>
          <w:i/>
          <w:iCs/>
          <w:sz w:val="22"/>
          <w:szCs w:val="22"/>
        </w:rPr>
        <w:t>Service Provider</w:t>
      </w:r>
      <w:r>
        <w:rPr>
          <w:rFonts w:ascii="Arial" w:eastAsia="Arial" w:hAnsi="Arial" w:cs="Arial"/>
          <w:sz w:val="22"/>
          <w:szCs w:val="22"/>
        </w:rPr>
        <w:t xml:space="preserve"> or Subcontractor for that</w:t>
      </w:r>
      <w:r>
        <w:rPr>
          <w:rFonts w:ascii="Arial" w:eastAsia="Arial" w:hAnsi="Arial" w:cs="Arial"/>
          <w:sz w:val="22"/>
          <w:szCs w:val="22"/>
        </w:rPr>
        <w:t xml:space="preserve"> Contract Year, as the case may be, to the Fund.</w:t>
      </w:r>
    </w:p>
    <w:p w14:paraId="076BA100"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Subject to Paragraphs 5.4 to 5.10, where the Administering Client obtains an actuarial valuation and a revised rates and adjustment certificate under the LGPS Regulations and/or the terms of the LGPS Admissi</w:t>
      </w:r>
      <w:r>
        <w:rPr>
          <w:color w:val="000000"/>
        </w:rPr>
        <w:t xml:space="preserve">on Agreement when the LGPS Admission Agreement ceases to have effect and the </w:t>
      </w:r>
      <w:r>
        <w:rPr>
          <w:i/>
          <w:iCs/>
          <w:color w:val="000000"/>
        </w:rPr>
        <w:t>Service Provider</w:t>
      </w:r>
      <w:r>
        <w:rPr>
          <w:color w:val="000000"/>
        </w:rPr>
        <w:t xml:space="preserve"> or any Subcontractor is required to pay any exit payment under Regulation 64(2) of the 2013 Regulations (the “</w:t>
      </w:r>
      <w:r>
        <w:rPr>
          <w:b/>
          <w:bCs/>
          <w:color w:val="000000"/>
        </w:rPr>
        <w:t>Exit Payment</w:t>
      </w:r>
      <w:r>
        <w:rPr>
          <w:color w:val="000000"/>
        </w:rPr>
        <w:t>”), such Exit Payment shall be paid by t</w:t>
      </w:r>
      <w:r>
        <w:rPr>
          <w:color w:val="000000"/>
        </w:rPr>
        <w:t xml:space="preserve">he </w:t>
      </w:r>
      <w:r>
        <w:rPr>
          <w:i/>
          <w:iCs/>
          <w:color w:val="000000"/>
        </w:rPr>
        <w:t>Service Provider</w:t>
      </w:r>
      <w:r>
        <w:rPr>
          <w:color w:val="000000"/>
        </w:rPr>
        <w:t xml:space="preserve"> or any Subcontractor (as the case may be) and the </w:t>
      </w:r>
      <w:r>
        <w:rPr>
          <w:i/>
          <w:iCs/>
          <w:color w:val="000000"/>
        </w:rPr>
        <w:t>Service Provider</w:t>
      </w:r>
      <w:r>
        <w:rPr>
          <w:color w:val="000000"/>
        </w:rPr>
        <w:t xml:space="preserve"> shall be reimbursed by the </w:t>
      </w:r>
      <w:r>
        <w:rPr>
          <w:i/>
          <w:iCs/>
          <w:color w:val="000000"/>
        </w:rPr>
        <w:t>Client</w:t>
      </w:r>
      <w:r>
        <w:rPr>
          <w:color w:val="000000"/>
        </w:rPr>
        <w:t>.</w:t>
      </w:r>
    </w:p>
    <w:p w14:paraId="470C22B0"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and any Subcontractors shall at all times be responsible for the following costs:</w:t>
      </w:r>
    </w:p>
    <w:p w14:paraId="379BA1CA"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any employer contributions relating to the costs of early retirement benefits arising on redundancy or as a result of business efficiency under Regulation 30(7) of the 2013 </w:t>
      </w:r>
      <w:r>
        <w:rPr>
          <w:color w:val="000000"/>
        </w:rPr>
        <w:t>Regulations or otherwise;</w:t>
      </w:r>
    </w:p>
    <w:p w14:paraId="689A92C7"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any payment of Fund benefits to active members on the grounds of ill health or infirmity of mind or body under Regulation 35 of the 2013 Regulations or otherwise</w:t>
      </w:r>
      <w:r>
        <w:rPr>
          <w:color w:val="000000"/>
          <w:sz w:val="16"/>
          <w:szCs w:val="16"/>
          <w:vertAlign w:val="superscript"/>
        </w:rPr>
        <w:footnoteReference w:id="15"/>
      </w:r>
      <w:r>
        <w:rPr>
          <w:color w:val="000000"/>
        </w:rPr>
        <w:t>;</w:t>
      </w:r>
    </w:p>
    <w:p w14:paraId="0CFDD8AD"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any payment of Fund benefits to deferred or deferred pensioner me</w:t>
      </w:r>
      <w:r>
        <w:rPr>
          <w:color w:val="000000"/>
        </w:rPr>
        <w:t>mbers on the grounds of ill health or infirmity of mind or body under Regulation 38 of the 2013 Regulations or otherwise;</w:t>
      </w:r>
    </w:p>
    <w:p w14:paraId="016E2C69"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any employer contributions relating to the costs of early or flexible retirement where the actuarial reduction is waived in whole or i</w:t>
      </w:r>
      <w:r>
        <w:rPr>
          <w:color w:val="000000"/>
        </w:rPr>
        <w:t xml:space="preserve">n part or a cost neutral reduction is not applied with the consent of the </w:t>
      </w:r>
      <w:r>
        <w:rPr>
          <w:i/>
          <w:iCs/>
          <w:color w:val="000000"/>
        </w:rPr>
        <w:t>Service Provider</w:t>
      </w:r>
      <w:r>
        <w:rPr>
          <w:color w:val="000000"/>
        </w:rPr>
        <w:t xml:space="preserve"> or any relevant Subcontractor including without limitation any decision made under Regulation 30(8) of the 2013 Regulations or Schedule 2 of The Local Government Pen</w:t>
      </w:r>
      <w:r>
        <w:rPr>
          <w:color w:val="000000"/>
        </w:rPr>
        <w:t>sion Scheme (Transitional Provisions, Savings and Amendment) Regulations 2014;</w:t>
      </w:r>
    </w:p>
    <w:p w14:paraId="7AAA5729"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any employer contributions relating to the costs of enhanced benefits made at the discretion of the </w:t>
      </w:r>
      <w:r>
        <w:rPr>
          <w:i/>
          <w:iCs/>
          <w:color w:val="000000"/>
        </w:rPr>
        <w:t>Service Provider</w:t>
      </w:r>
      <w:r>
        <w:rPr>
          <w:color w:val="000000"/>
        </w:rPr>
        <w:t xml:space="preserve"> or any relevant Subcontractors including without limitation </w:t>
      </w:r>
      <w:r>
        <w:rPr>
          <w:color w:val="000000"/>
        </w:rPr>
        <w:t>additional pension awarded under Regulation 31 of the 2013 Regulations or otherwise;</w:t>
      </w:r>
    </w:p>
    <w:p w14:paraId="73DEC7BD"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any increase to the employer contribution rate resulting from the award of pay increases by the </w:t>
      </w:r>
      <w:r>
        <w:rPr>
          <w:i/>
          <w:iCs/>
          <w:color w:val="000000"/>
        </w:rPr>
        <w:t>Service Provider</w:t>
      </w:r>
      <w:r>
        <w:rPr>
          <w:color w:val="000000"/>
        </w:rPr>
        <w:t xml:space="preserve"> or relevant Subcontractors in respect of all or any of the</w:t>
      </w:r>
      <w:r>
        <w:rPr>
          <w:color w:val="000000"/>
        </w:rPr>
        <w:t xml:space="preserve"> LGPS Eligible Employees in excess of the pay increases assumed in the Fund's most recent actuarial valuation (unless the </w:t>
      </w:r>
      <w:r>
        <w:rPr>
          <w:i/>
          <w:iCs/>
          <w:color w:val="000000"/>
        </w:rPr>
        <w:t>Service Provider</w:t>
      </w:r>
      <w:r>
        <w:rPr>
          <w:color w:val="000000"/>
        </w:rPr>
        <w:t xml:space="preserve"> and/or any Subcontractor is contractually bound to provide such increases on the Relevant Transfer Date);</w:t>
      </w:r>
    </w:p>
    <w:p w14:paraId="44A18F2D"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to the exte</w:t>
      </w:r>
      <w:r>
        <w:rPr>
          <w:color w:val="000000"/>
        </w:rPr>
        <w:t xml:space="preserve">nt not covered above, any other costs arising out of or in connection with the exercise of any discretion or the grant of any consent under the LGPS Regulations by the </w:t>
      </w:r>
      <w:r>
        <w:rPr>
          <w:i/>
          <w:iCs/>
          <w:color w:val="000000"/>
        </w:rPr>
        <w:t>Service Provider</w:t>
      </w:r>
      <w:r>
        <w:rPr>
          <w:color w:val="000000"/>
        </w:rPr>
        <w:t xml:space="preserve"> or any relevant Subcontractors where a member does not have an absolute</w:t>
      </w:r>
      <w:r>
        <w:rPr>
          <w:color w:val="000000"/>
        </w:rPr>
        <w:t xml:space="preserve"> entitlement to that benefit under the LGPS; </w:t>
      </w:r>
    </w:p>
    <w:p w14:paraId="04FE9262"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any cost of the administration of the Fund that are not met through the </w:t>
      </w:r>
      <w:r>
        <w:rPr>
          <w:i/>
          <w:iCs/>
          <w:color w:val="000000"/>
        </w:rPr>
        <w:t>Service Provider's</w:t>
      </w:r>
      <w:r>
        <w:rPr>
          <w:color w:val="000000"/>
        </w:rPr>
        <w:t xml:space="preserve"> or Subcontractor’s employer contribution rate, including without limitation an amount specified in a notice given by th</w:t>
      </w:r>
      <w:r>
        <w:rPr>
          <w:color w:val="000000"/>
        </w:rPr>
        <w:t xml:space="preserve">e Administering Client under Regulation 70 of the 2013 Regulations; </w:t>
      </w:r>
    </w:p>
    <w:p w14:paraId="354275B2"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the costs of any reports and advice requested by or arising from an instruction given by the </w:t>
      </w:r>
      <w:r>
        <w:rPr>
          <w:i/>
          <w:iCs/>
          <w:color w:val="000000"/>
        </w:rPr>
        <w:t>Service Provider</w:t>
      </w:r>
      <w:r>
        <w:rPr>
          <w:color w:val="000000"/>
        </w:rPr>
        <w:t xml:space="preserve"> or a Subcontractor from the Fund Actuary; and/or</w:t>
      </w:r>
    </w:p>
    <w:p w14:paraId="51A9FB10"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any interest payable under the 2013 Regulations or LGPS Administration Agreement.</w:t>
      </w:r>
    </w:p>
    <w:p w14:paraId="01118702"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For the purposes of calculating any Exit Payment, Excess Amount or Refund Amount, any part of such an amount which is attrib</w:t>
      </w:r>
      <w:r>
        <w:rPr>
          <w:color w:val="000000"/>
        </w:rPr>
        <w:t xml:space="preserve">utable to any costs which the </w:t>
      </w:r>
      <w:r>
        <w:rPr>
          <w:i/>
          <w:iCs/>
          <w:color w:val="000000"/>
        </w:rPr>
        <w:t>Service Provider</w:t>
      </w:r>
      <w:r>
        <w:rPr>
          <w:color w:val="000000"/>
        </w:rPr>
        <w:t xml:space="preserve"> or Subcontractors are responsible for in accordance with Paragraph 5.4 above shall be disregarded and excluded from the calculation. In the event of any dispute as to level of any cost that should be excluded </w:t>
      </w:r>
      <w:r>
        <w:rPr>
          <w:color w:val="000000"/>
        </w:rPr>
        <w:t>from the calculation, the opinion of the Fund Actuary shall be final and binding.</w:t>
      </w:r>
    </w:p>
    <w:p w14:paraId="18750450"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Where the Administering Client obtains an actuarial valuation and a revised rates and adjustment certificate under the LGPS Regulations and/or the terms of the LGPS Admission</w:t>
      </w:r>
      <w:r>
        <w:rPr>
          <w:color w:val="000000"/>
        </w:rPr>
        <w:t xml:space="preserve"> Agreement when the LGPS Admission Agreement ceases to have effect and the </w:t>
      </w:r>
      <w:r>
        <w:rPr>
          <w:i/>
          <w:iCs/>
          <w:color w:val="000000"/>
        </w:rPr>
        <w:t>Service Provider</w:t>
      </w:r>
      <w:r>
        <w:rPr>
          <w:color w:val="000000"/>
        </w:rPr>
        <w:t xml:space="preserve"> or any Subcontractor receives payment of an exit credit payment under Regulation 64(2) of the 2013 Regulations (the “</w:t>
      </w:r>
      <w:r>
        <w:rPr>
          <w:b/>
          <w:bCs/>
          <w:color w:val="000000"/>
        </w:rPr>
        <w:t>Exit Credit</w:t>
      </w:r>
      <w:r>
        <w:rPr>
          <w:color w:val="000000"/>
        </w:rPr>
        <w:t xml:space="preserve">”), the </w:t>
      </w:r>
      <w:r>
        <w:rPr>
          <w:i/>
          <w:iCs/>
          <w:color w:val="000000"/>
        </w:rPr>
        <w:t>Service Provider</w:t>
      </w:r>
      <w:r>
        <w:rPr>
          <w:color w:val="000000"/>
        </w:rPr>
        <w:t xml:space="preserve"> shall (or p</w:t>
      </w:r>
      <w:r>
        <w:rPr>
          <w:color w:val="000000"/>
        </w:rPr>
        <w:t xml:space="preserve">rocure that any Subcontractor shall) reimburse the </w:t>
      </w:r>
      <w:r>
        <w:rPr>
          <w:i/>
          <w:iCs/>
          <w:color w:val="000000"/>
        </w:rPr>
        <w:t>Client</w:t>
      </w:r>
      <w:r>
        <w:rPr>
          <w:color w:val="000000"/>
        </w:rPr>
        <w:t xml:space="preserve"> an amount equal to the Exit Credit within twenty (20) Working Days of receipt of the Exit Credit. </w:t>
      </w:r>
    </w:p>
    <w:p w14:paraId="5C332776"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(or procure that the Subcontractor shall) notify the </w:t>
      </w:r>
      <w:r>
        <w:rPr>
          <w:i/>
          <w:iCs/>
          <w:color w:val="000000"/>
        </w:rPr>
        <w:t>Client</w:t>
      </w:r>
      <w:r>
        <w:rPr>
          <w:color w:val="000000"/>
        </w:rPr>
        <w:t xml:space="preserve"> in writing w</w:t>
      </w:r>
      <w:r>
        <w:rPr>
          <w:color w:val="000000"/>
        </w:rPr>
        <w:t>ithin twenty (20) Working Days:</w:t>
      </w:r>
    </w:p>
    <w:p w14:paraId="317DBA43"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of the end of each Contract Year of any Excess Amount or Refund Amount due in respect of the Contract Year that has just ended and provide a reasonable summary of how the Excess Amount or Refund Amount was calculated; and</w:t>
      </w:r>
    </w:p>
    <w:p w14:paraId="3F5F7D26"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of</w:t>
      </w:r>
      <w:r>
        <w:rPr>
          <w:color w:val="000000"/>
        </w:rPr>
        <w:t xml:space="preserve"> being informed by the Administering Client of any Exit Payment or Exit Credit that is determined by as being due from or to the </w:t>
      </w:r>
      <w:r>
        <w:rPr>
          <w:i/>
          <w:iCs/>
          <w:color w:val="000000"/>
        </w:rPr>
        <w:t>Service Provider</w:t>
      </w:r>
      <w:r>
        <w:rPr>
          <w:color w:val="000000"/>
        </w:rPr>
        <w:t xml:space="preserve"> or a Subcontractor and provide a copy of any revised rates and adjustments certificate detailing the Exit Paym</w:t>
      </w:r>
      <w:r>
        <w:rPr>
          <w:color w:val="000000"/>
        </w:rPr>
        <w:t>ent or Exit Credit and its calculation.</w:t>
      </w:r>
    </w:p>
    <w:p w14:paraId="4D50E85B"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 xml:space="preserve">Within twenty (20) Working Days of receiving the notification under Paragraph 5.7 above, the </w:t>
      </w:r>
      <w:r>
        <w:rPr>
          <w:i/>
          <w:iCs/>
          <w:color w:val="000000"/>
        </w:rPr>
        <w:t>Client</w:t>
      </w:r>
      <w:r>
        <w:rPr>
          <w:color w:val="000000"/>
        </w:rPr>
        <w:t xml:space="preserve"> shall either:</w:t>
      </w:r>
    </w:p>
    <w:p w14:paraId="33EEC4D3"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notify the </w:t>
      </w:r>
      <w:r>
        <w:rPr>
          <w:i/>
          <w:iCs/>
          <w:color w:val="000000"/>
        </w:rPr>
        <w:t>Service Provider</w:t>
      </w:r>
      <w:r>
        <w:rPr>
          <w:color w:val="000000"/>
        </w:rPr>
        <w:t xml:space="preserve"> in writing of its acceptance of the Excess Amount, Refund Amount or Exit P</w:t>
      </w:r>
      <w:r>
        <w:rPr>
          <w:color w:val="000000"/>
        </w:rPr>
        <w:t>ayment;</w:t>
      </w:r>
    </w:p>
    <w:p w14:paraId="6A019D5B"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request further information or evidence about the Excess Amount, Refund Amount or Exit Payment from the </w:t>
      </w:r>
      <w:r>
        <w:rPr>
          <w:i/>
          <w:iCs/>
          <w:color w:val="000000"/>
        </w:rPr>
        <w:t>Service Provider</w:t>
      </w:r>
      <w:r>
        <w:rPr>
          <w:color w:val="000000"/>
        </w:rPr>
        <w:t>; and/or</w:t>
      </w:r>
    </w:p>
    <w:p w14:paraId="5AFE8991" w14:textId="77777777" w:rsidR="007960A8" w:rsidRDefault="00A26397">
      <w:pPr>
        <w:widowControl/>
        <w:numPr>
          <w:ilvl w:val="2"/>
          <w:numId w:val="78"/>
        </w:numPr>
        <w:pBdr>
          <w:top w:val="nil"/>
          <w:left w:val="nil"/>
          <w:bottom w:val="nil"/>
          <w:right w:val="nil"/>
          <w:between w:val="nil"/>
        </w:pBdr>
        <w:spacing w:before="120" w:after="120"/>
        <w:ind w:left="1985" w:hanging="851"/>
        <w:rPr>
          <w:color w:val="000000"/>
        </w:rPr>
      </w:pPr>
      <w:r>
        <w:rPr>
          <w:color w:val="000000"/>
        </w:rPr>
        <w:t xml:space="preserve">request a meeting with the </w:t>
      </w:r>
      <w:r>
        <w:rPr>
          <w:i/>
          <w:iCs/>
          <w:color w:val="000000"/>
        </w:rPr>
        <w:t>Service Provider</w:t>
      </w:r>
      <w:r>
        <w:rPr>
          <w:color w:val="000000"/>
        </w:rPr>
        <w:t xml:space="preserve"> to discuss or clarify the information or evidence provided.</w:t>
      </w:r>
    </w:p>
    <w:p w14:paraId="71F073E3"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 xml:space="preserve">Where the Excess Amount, Refund Amount or Exit Payment is agreed following the receipt of further information or evidence or following a meeting in accordance with Paragraph 5.8 above, the </w:t>
      </w:r>
      <w:r>
        <w:rPr>
          <w:i/>
          <w:iCs/>
          <w:color w:val="000000"/>
        </w:rPr>
        <w:t>Client</w:t>
      </w:r>
      <w:r>
        <w:rPr>
          <w:color w:val="000000"/>
        </w:rPr>
        <w:t xml:space="preserve"> shall notify the </w:t>
      </w:r>
      <w:r>
        <w:rPr>
          <w:i/>
          <w:iCs/>
          <w:color w:val="000000"/>
        </w:rPr>
        <w:t>Service Provider</w:t>
      </w:r>
      <w:r>
        <w:rPr>
          <w:color w:val="000000"/>
        </w:rPr>
        <w:t xml:space="preserve"> in writing. In the event that the </w:t>
      </w:r>
      <w:r>
        <w:rPr>
          <w:i/>
          <w:iCs/>
          <w:color w:val="000000"/>
        </w:rPr>
        <w:t>Service Provider</w:t>
      </w:r>
      <w:r>
        <w:rPr>
          <w:color w:val="000000"/>
        </w:rPr>
        <w:t xml:space="preserve"> and the </w:t>
      </w:r>
      <w:r>
        <w:rPr>
          <w:i/>
          <w:iCs/>
          <w:color w:val="000000"/>
        </w:rPr>
        <w:t>Client</w:t>
      </w:r>
      <w:r>
        <w:rPr>
          <w:color w:val="000000"/>
        </w:rPr>
        <w:t xml:space="preserve"> are unable to agree the amount of the Excess Amount, Refund Amount or Exit Payment then they shall follow the Dispute Resolution Procedure. </w:t>
      </w:r>
    </w:p>
    <w:p w14:paraId="309AC11B"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Any Excess Amo</w:t>
      </w:r>
      <w:r>
        <w:rPr>
          <w:color w:val="000000"/>
        </w:rPr>
        <w:t xml:space="preserve">unt or Exit Payment agreed by the </w:t>
      </w:r>
      <w:r>
        <w:rPr>
          <w:i/>
          <w:iCs/>
          <w:color w:val="000000"/>
        </w:rPr>
        <w:t>Client</w:t>
      </w:r>
      <w:r>
        <w:rPr>
          <w:color w:val="000000"/>
        </w:rPr>
        <w:t xml:space="preserve"> or in accordance with the Dispute Resolution Procedure shall be paid by the </w:t>
      </w:r>
      <w:r>
        <w:rPr>
          <w:i/>
          <w:iCs/>
          <w:color w:val="000000"/>
        </w:rPr>
        <w:t>Client</w:t>
      </w:r>
      <w:r>
        <w:rPr>
          <w:color w:val="000000"/>
        </w:rPr>
        <w:t xml:space="preserve"> within timescales as agreed between </w:t>
      </w:r>
      <w:r>
        <w:rPr>
          <w:i/>
          <w:iCs/>
          <w:color w:val="000000"/>
        </w:rPr>
        <w:t>Client</w:t>
      </w:r>
      <w:r>
        <w:rPr>
          <w:color w:val="000000"/>
        </w:rPr>
        <w:t xml:space="preserve"> and </w:t>
      </w:r>
      <w:r>
        <w:rPr>
          <w:i/>
          <w:iCs/>
          <w:color w:val="000000"/>
        </w:rPr>
        <w:t>Service Provider</w:t>
      </w:r>
      <w:r>
        <w:rPr>
          <w:color w:val="000000"/>
        </w:rPr>
        <w:t xml:space="preserve">. The amount to be paid by the </w:t>
      </w:r>
      <w:r>
        <w:rPr>
          <w:i/>
          <w:iCs/>
          <w:color w:val="000000"/>
        </w:rPr>
        <w:t>Client</w:t>
      </w:r>
      <w:r>
        <w:rPr>
          <w:color w:val="000000"/>
        </w:rPr>
        <w:t xml:space="preserve"> shall be an amount equal to the</w:t>
      </w:r>
      <w:r>
        <w:rPr>
          <w:color w:val="000000"/>
        </w:rPr>
        <w:t xml:space="preserve"> Excess Amount or Exit Payment less an amount equal to any corporation tax relief which has been claimed in respect of the Excess Amount or Exit Payment by the </w:t>
      </w:r>
      <w:r>
        <w:rPr>
          <w:i/>
          <w:iCs/>
          <w:color w:val="000000"/>
        </w:rPr>
        <w:t>Service Provider</w:t>
      </w:r>
      <w:r>
        <w:rPr>
          <w:color w:val="000000"/>
        </w:rPr>
        <w:t xml:space="preserve"> or a Subcontractor. </w:t>
      </w:r>
    </w:p>
    <w:p w14:paraId="3BEEE32E"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 xml:space="preserve">Any Refund Amount agreed by the </w:t>
      </w:r>
      <w:r>
        <w:rPr>
          <w:i/>
          <w:iCs/>
          <w:color w:val="000000"/>
        </w:rPr>
        <w:t>Client</w:t>
      </w:r>
      <w:r>
        <w:rPr>
          <w:color w:val="000000"/>
        </w:rPr>
        <w:t xml:space="preserve"> or in accordance wi</w:t>
      </w:r>
      <w:r>
        <w:rPr>
          <w:color w:val="000000"/>
        </w:rPr>
        <w:t xml:space="preserve">th the Dispute Resolution Procedure as payable by the </w:t>
      </w:r>
      <w:r>
        <w:rPr>
          <w:i/>
          <w:iCs/>
          <w:color w:val="000000"/>
        </w:rPr>
        <w:t>Service Provider</w:t>
      </w:r>
      <w:r>
        <w:rPr>
          <w:color w:val="000000"/>
        </w:rPr>
        <w:t xml:space="preserve"> or any Subcontractor to the </w:t>
      </w:r>
      <w:r>
        <w:rPr>
          <w:i/>
          <w:iCs/>
          <w:color w:val="000000"/>
        </w:rPr>
        <w:t>Client</w:t>
      </w:r>
      <w:r>
        <w:rPr>
          <w:color w:val="000000"/>
        </w:rPr>
        <w:t xml:space="preserve">, shall be paid by the </w:t>
      </w:r>
      <w:r>
        <w:rPr>
          <w:i/>
          <w:iCs/>
          <w:color w:val="000000"/>
        </w:rPr>
        <w:t>Service Provider</w:t>
      </w:r>
      <w:r>
        <w:rPr>
          <w:color w:val="000000"/>
        </w:rPr>
        <w:t xml:space="preserve"> or any Subcontractor forthwith as the liability has been agreed. In the event the </w:t>
      </w:r>
      <w:r>
        <w:rPr>
          <w:i/>
          <w:iCs/>
          <w:color w:val="000000"/>
        </w:rPr>
        <w:t>Service Provider</w:t>
      </w:r>
      <w:r>
        <w:rPr>
          <w:color w:val="000000"/>
        </w:rPr>
        <w:t xml:space="preserve"> or any Subco</w:t>
      </w:r>
      <w:r>
        <w:rPr>
          <w:color w:val="000000"/>
        </w:rPr>
        <w:t xml:space="preserve">ntractor fails to pay any agreed Refund Amount, the </w:t>
      </w:r>
      <w:r>
        <w:rPr>
          <w:i/>
          <w:iCs/>
          <w:color w:val="000000"/>
        </w:rPr>
        <w:t>Client</w:t>
      </w:r>
      <w:r>
        <w:rPr>
          <w:color w:val="000000"/>
        </w:rPr>
        <w:t xml:space="preserve"> shall demand in writing the immediate payment of the agreed Refund Amount by the </w:t>
      </w:r>
      <w:r>
        <w:rPr>
          <w:i/>
          <w:iCs/>
          <w:color w:val="000000"/>
        </w:rPr>
        <w:t>Service Provider</w:t>
      </w:r>
      <w:r>
        <w:rPr>
          <w:color w:val="000000"/>
        </w:rPr>
        <w:t xml:space="preserve"> and the </w:t>
      </w:r>
      <w:r>
        <w:rPr>
          <w:i/>
          <w:iCs/>
          <w:color w:val="000000"/>
        </w:rPr>
        <w:t>Service Provider</w:t>
      </w:r>
      <w:r>
        <w:rPr>
          <w:color w:val="000000"/>
        </w:rPr>
        <w:t xml:space="preserve"> shall make payment within seven (7) Working Days of such demand.</w:t>
      </w:r>
    </w:p>
    <w:p w14:paraId="568E224B" w14:textId="77777777" w:rsidR="007960A8" w:rsidRDefault="00A26397">
      <w:pPr>
        <w:widowControl/>
        <w:numPr>
          <w:ilvl w:val="1"/>
          <w:numId w:val="78"/>
        </w:numPr>
        <w:pBdr>
          <w:top w:val="nil"/>
          <w:left w:val="nil"/>
          <w:bottom w:val="nil"/>
          <w:right w:val="nil"/>
          <w:between w:val="nil"/>
        </w:pBdr>
        <w:spacing w:before="120" w:after="120"/>
        <w:ind w:left="1134" w:hanging="708"/>
        <w:rPr>
          <w:color w:val="000000"/>
        </w:rPr>
      </w:pPr>
      <w:r>
        <w:rPr>
          <w:color w:val="000000"/>
        </w:rPr>
        <w:t>This Para</w:t>
      </w:r>
      <w:r>
        <w:rPr>
          <w:color w:val="000000"/>
        </w:rPr>
        <w:t xml:space="preserve">graph 5 shall survive termination of the relevant Contract. </w:t>
      </w:r>
    </w:p>
    <w:p w14:paraId="25C67522" w14:textId="77777777" w:rsidR="007960A8" w:rsidRDefault="007960A8">
      <w:pPr>
        <w:keepNext/>
        <w:pBdr>
          <w:top w:val="nil"/>
          <w:left w:val="nil"/>
          <w:bottom w:val="nil"/>
          <w:right w:val="nil"/>
          <w:between w:val="nil"/>
        </w:pBdr>
        <w:spacing w:before="120" w:after="120"/>
        <w:ind w:left="720" w:hanging="720"/>
        <w:rPr>
          <w:b/>
          <w:bCs/>
          <w:color w:val="000000"/>
        </w:rPr>
      </w:pPr>
    </w:p>
    <w:p w14:paraId="498863AE" w14:textId="77777777" w:rsidR="007960A8" w:rsidRDefault="00A26397">
      <w:pPr>
        <w:spacing w:before="120" w:after="120"/>
        <w:rPr>
          <w:b/>
          <w:bCs/>
          <w:sz w:val="36"/>
          <w:szCs w:val="36"/>
        </w:rPr>
      </w:pPr>
      <w:bookmarkStart w:id="77" w:name="_heading=h.1rvwp1q" w:colFirst="0" w:colLast="0"/>
      <w:bookmarkEnd w:id="77"/>
      <w:r>
        <w:br w:type="page"/>
      </w:r>
      <w:r>
        <w:rPr>
          <w:b/>
          <w:bCs/>
          <w:sz w:val="36"/>
          <w:szCs w:val="36"/>
        </w:rPr>
        <w:t>Annex D4: Other Schemes</w:t>
      </w:r>
    </w:p>
    <w:p w14:paraId="1064EB3F" w14:textId="77777777" w:rsidR="007960A8" w:rsidRDefault="00A26397">
      <w:pPr>
        <w:spacing w:before="120" w:after="120"/>
        <w:rPr>
          <w:b/>
          <w:bCs/>
        </w:rPr>
      </w:pPr>
      <w:r>
        <w:rPr>
          <w:b/>
          <w:bCs/>
          <w:highlight w:val="yellow"/>
        </w:rPr>
        <w:t>[Guidance:</w:t>
      </w:r>
      <w:r>
        <w:rPr>
          <w:highlight w:val="yellow"/>
        </w:rPr>
        <w:t xml:space="preserve"> Placeholder for Pension Schemes other than LGPS, CSPS &amp; NHSPS]</w:t>
      </w:r>
    </w:p>
    <w:p w14:paraId="0AA18BFC" w14:textId="77777777" w:rsidR="007960A8" w:rsidRDefault="00A26397">
      <w:pPr>
        <w:pBdr>
          <w:top w:val="nil"/>
          <w:left w:val="nil"/>
          <w:bottom w:val="nil"/>
          <w:right w:val="nil"/>
          <w:between w:val="nil"/>
        </w:pBdr>
        <w:spacing w:before="120" w:after="120"/>
        <w:rPr>
          <w:b/>
          <w:bCs/>
          <w:color w:val="000000"/>
          <w:sz w:val="36"/>
          <w:szCs w:val="36"/>
        </w:rPr>
      </w:pPr>
      <w:r>
        <w:br w:type="page"/>
      </w:r>
      <w:r>
        <w:rPr>
          <w:b/>
          <w:bCs/>
          <w:color w:val="000000"/>
          <w:sz w:val="36"/>
          <w:szCs w:val="36"/>
        </w:rPr>
        <w:t xml:space="preserve">Part E: Staff Transfer on Exit </w:t>
      </w:r>
    </w:p>
    <w:p w14:paraId="7283E995" w14:textId="77777777" w:rsidR="007960A8" w:rsidRDefault="00A26397">
      <w:pPr>
        <w:keepNext/>
        <w:widowControl/>
        <w:numPr>
          <w:ilvl w:val="0"/>
          <w:numId w:val="80"/>
        </w:numPr>
        <w:pBdr>
          <w:top w:val="nil"/>
          <w:left w:val="nil"/>
          <w:bottom w:val="nil"/>
          <w:right w:val="nil"/>
          <w:between w:val="nil"/>
        </w:pBdr>
        <w:spacing w:before="120" w:after="120"/>
        <w:ind w:left="426" w:hanging="426"/>
        <w:rPr>
          <w:b/>
          <w:bCs/>
          <w:smallCaps/>
          <w:color w:val="000000"/>
        </w:rPr>
      </w:pPr>
      <w:r>
        <w:rPr>
          <w:b/>
          <w:bCs/>
          <w:color w:val="000000"/>
        </w:rPr>
        <w:t>Obligations before a Staff Transfer</w:t>
      </w:r>
    </w:p>
    <w:p w14:paraId="49A4EB52"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bookmarkStart w:id="78" w:name="_heading=h.4bvk7pj" w:colFirst="0" w:colLast="0"/>
      <w:bookmarkEnd w:id="78"/>
      <w:r>
        <w:rPr>
          <w:color w:val="000000"/>
        </w:rPr>
        <w:t xml:space="preserve">The </w:t>
      </w:r>
      <w:r>
        <w:rPr>
          <w:i/>
          <w:iCs/>
          <w:color w:val="000000"/>
        </w:rPr>
        <w:t>Service Provider</w:t>
      </w:r>
      <w:r>
        <w:rPr>
          <w:color w:val="000000"/>
        </w:rPr>
        <w:t xml:space="preserve"> agrees that within 20 Working Days of the earliest of:</w:t>
      </w:r>
    </w:p>
    <w:p w14:paraId="56E47BBC"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79" w:name="_heading=h.2r0uhxc" w:colFirst="0" w:colLast="0"/>
      <w:bookmarkEnd w:id="79"/>
      <w:r>
        <w:rPr>
          <w:color w:val="000000"/>
        </w:rPr>
        <w:t xml:space="preserve">receipt of a notification from the </w:t>
      </w:r>
      <w:r>
        <w:rPr>
          <w:i/>
          <w:iCs/>
          <w:color w:val="000000"/>
        </w:rPr>
        <w:t>Client</w:t>
      </w:r>
      <w:r>
        <w:rPr>
          <w:color w:val="000000"/>
        </w:rPr>
        <w:t xml:space="preserve"> of a Service Transfer or intended Service Transfer;</w:t>
      </w:r>
    </w:p>
    <w:p w14:paraId="166BB810"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80" w:name="_heading=h.1664s55" w:colFirst="0" w:colLast="0"/>
      <w:bookmarkEnd w:id="80"/>
      <w:r>
        <w:rPr>
          <w:color w:val="000000"/>
        </w:rPr>
        <w:t>receipt of the giving of notice of early termination or any Partial Termination of the relevant Contract;</w:t>
      </w:r>
    </w:p>
    <w:p w14:paraId="3D80EC58"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the date which is 12 Months before the end of the </w:t>
      </w:r>
      <w:r>
        <w:rPr>
          <w:i/>
          <w:iCs/>
          <w:color w:val="000000"/>
        </w:rPr>
        <w:t>service period</w:t>
      </w:r>
      <w:r>
        <w:rPr>
          <w:color w:val="000000"/>
        </w:rPr>
        <w:t>; and</w:t>
      </w:r>
    </w:p>
    <w:p w14:paraId="15F7BE18"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receipt of a written reques</w:t>
      </w:r>
      <w:r>
        <w:rPr>
          <w:color w:val="000000"/>
        </w:rPr>
        <w:t xml:space="preserve">t of the </w:t>
      </w:r>
      <w:r>
        <w:rPr>
          <w:i/>
          <w:iCs/>
          <w:color w:val="000000"/>
        </w:rPr>
        <w:t>Client</w:t>
      </w:r>
      <w:r>
        <w:rPr>
          <w:color w:val="000000"/>
        </w:rPr>
        <w:t xml:space="preserve"> at any time (provided that the </w:t>
      </w:r>
      <w:r>
        <w:rPr>
          <w:i/>
          <w:iCs/>
          <w:color w:val="000000"/>
        </w:rPr>
        <w:t>Client</w:t>
      </w:r>
      <w:r>
        <w:rPr>
          <w:color w:val="000000"/>
        </w:rPr>
        <w:t xml:space="preserve"> shall only be entitled to make one such request in any 6 Month period),</w:t>
      </w:r>
    </w:p>
    <w:p w14:paraId="5C445531" w14:textId="77777777" w:rsidR="007960A8" w:rsidRDefault="00A26397">
      <w:pPr>
        <w:pBdr>
          <w:top w:val="nil"/>
          <w:left w:val="nil"/>
          <w:bottom w:val="nil"/>
          <w:right w:val="nil"/>
          <w:between w:val="nil"/>
        </w:pBdr>
        <w:spacing w:before="120" w:after="120"/>
        <w:ind w:left="1134"/>
        <w:rPr>
          <w:color w:val="000000"/>
        </w:rPr>
      </w:pPr>
      <w:r>
        <w:rPr>
          <w:color w:val="000000"/>
        </w:rPr>
        <w:t>it shall provide in a suitably anonymised format so as to comply with the Data Protection Legislation, the Provisional Service Pro</w:t>
      </w:r>
      <w:r>
        <w:rPr>
          <w:color w:val="000000"/>
        </w:rPr>
        <w:t xml:space="preserve">vider Staff List, together with the Staffing Information in relation to the Provisional Service Provider Staff List and it shall provide an updated Provisional Service Provider Personnel List at such intervals as are reasonably requested by the </w:t>
      </w:r>
      <w:r>
        <w:rPr>
          <w:i/>
          <w:iCs/>
          <w:color w:val="000000"/>
        </w:rPr>
        <w:t>Client</w:t>
      </w:r>
      <w:r>
        <w:rPr>
          <w:color w:val="000000"/>
        </w:rPr>
        <w:t>.</w:t>
      </w:r>
    </w:p>
    <w:p w14:paraId="448514AA"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bookmarkStart w:id="81" w:name="_heading=h.3q5sasy" w:colFirst="0" w:colLast="0"/>
      <w:bookmarkEnd w:id="81"/>
      <w:r>
        <w:rPr>
          <w:color w:val="000000"/>
        </w:rPr>
        <w:t xml:space="preserve">At least 20 Working Days prior to the Service Transfer Date, the </w:t>
      </w:r>
      <w:r>
        <w:rPr>
          <w:i/>
          <w:iCs/>
          <w:color w:val="000000"/>
        </w:rPr>
        <w:t>Service Provider</w:t>
      </w:r>
      <w:r>
        <w:rPr>
          <w:color w:val="000000"/>
        </w:rPr>
        <w:t xml:space="preserve"> shall provide to the </w:t>
      </w:r>
      <w:r>
        <w:rPr>
          <w:i/>
          <w:iCs/>
          <w:color w:val="000000"/>
        </w:rPr>
        <w:t>Client</w:t>
      </w:r>
      <w:r>
        <w:rPr>
          <w:color w:val="000000"/>
        </w:rPr>
        <w:t xml:space="preserve"> or at the direction of the </w:t>
      </w:r>
      <w:r>
        <w:rPr>
          <w:i/>
          <w:iCs/>
          <w:color w:val="000000"/>
        </w:rPr>
        <w:t>Client</w:t>
      </w:r>
      <w:r>
        <w:rPr>
          <w:color w:val="000000"/>
        </w:rPr>
        <w:t xml:space="preserve"> to any Replacement Service Provider and/or any Replacement Subcontractor (i) the Final Service Provider Staff Li</w:t>
      </w:r>
      <w:r>
        <w:rPr>
          <w:color w:val="000000"/>
        </w:rPr>
        <w:t>st, which shall identify the basis upon which they are Transferring Service Provider Employees and (ii) the Staffing Information in relation to the Final Service Provider Staff List (insofar as such information has not previously been provided).</w:t>
      </w:r>
    </w:p>
    <w:p w14:paraId="40768BC2"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shall be permitted to use and disclose information provided by the </w:t>
      </w:r>
      <w:r>
        <w:rPr>
          <w:i/>
          <w:iCs/>
          <w:color w:val="000000"/>
        </w:rPr>
        <w:t>Service Provider</w:t>
      </w:r>
      <w:r>
        <w:rPr>
          <w:color w:val="000000"/>
        </w:rPr>
        <w:t xml:space="preserve"> under Paragraphs 1.1 and 1.2 for the purpose of informing any prospective Replacement Service Provider and/or Replacement Subcontractor. </w:t>
      </w:r>
    </w:p>
    <w:p w14:paraId="1EDC6EB1"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warrants, fo</w:t>
      </w:r>
      <w:r>
        <w:rPr>
          <w:color w:val="000000"/>
        </w:rPr>
        <w:t xml:space="preserve">r the benefit of the </w:t>
      </w:r>
      <w:r>
        <w:rPr>
          <w:i/>
          <w:iCs/>
          <w:color w:val="000000"/>
        </w:rPr>
        <w:t>Client</w:t>
      </w:r>
      <w:r>
        <w:rPr>
          <w:color w:val="000000"/>
        </w:rPr>
        <w:t xml:space="preserve">, any Replacement </w:t>
      </w:r>
      <w:r>
        <w:rPr>
          <w:i/>
          <w:iCs/>
          <w:color w:val="000000"/>
        </w:rPr>
        <w:t>Client</w:t>
      </w:r>
      <w:r>
        <w:rPr>
          <w:color w:val="000000"/>
        </w:rPr>
        <w:t>, and any Replacement Subcontractor that all information provided pursuant to Paragraphs 1.1 and 1.2 shall be true and accurate in all material respects at the time of providing the information.</w:t>
      </w:r>
    </w:p>
    <w:p w14:paraId="098F2E48"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From the d</w:t>
      </w:r>
      <w:r>
        <w:rPr>
          <w:color w:val="000000"/>
        </w:rPr>
        <w:t xml:space="preserve">ate of the earliest event referred to in Paragraph 1.1.1, 1.1.2 and 1.1.3, the </w:t>
      </w:r>
      <w:r>
        <w:rPr>
          <w:i/>
          <w:iCs/>
          <w:color w:val="000000"/>
        </w:rPr>
        <w:t>Service Provider</w:t>
      </w:r>
      <w:r>
        <w:rPr>
          <w:color w:val="000000"/>
        </w:rPr>
        <w:t xml:space="preserve"> agrees that it shall not, and agrees to procure that each Subcontractor shall not, assign any person to the provision of the </w:t>
      </w:r>
      <w:r>
        <w:rPr>
          <w:i/>
          <w:iCs/>
          <w:color w:val="000000"/>
        </w:rPr>
        <w:t>services</w:t>
      </w:r>
      <w:r>
        <w:rPr>
          <w:color w:val="000000"/>
        </w:rPr>
        <w:t xml:space="preserve"> who is not listed on the P</w:t>
      </w:r>
      <w:r>
        <w:rPr>
          <w:color w:val="000000"/>
        </w:rPr>
        <w:t xml:space="preserve">rovisional Staff Personnel List and shall not without the approval of the </w:t>
      </w:r>
      <w:r>
        <w:rPr>
          <w:i/>
          <w:iCs/>
          <w:color w:val="000000"/>
        </w:rPr>
        <w:t>Client</w:t>
      </w:r>
      <w:r>
        <w:rPr>
          <w:color w:val="000000"/>
        </w:rPr>
        <w:t xml:space="preserve"> (not to be unreasonably withheld or delayed):</w:t>
      </w:r>
    </w:p>
    <w:p w14:paraId="54EF398D"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replace or re-deploy any Service Provider Staff listed on the Provisional Service Provider Staff List other than where any replac</w:t>
      </w:r>
      <w:r>
        <w:rPr>
          <w:color w:val="000000"/>
        </w:rPr>
        <w:t>ement is of equivalent grade, skills, experience and expertise and is employed on the same terms and conditions of employment as the person they replace;</w:t>
      </w:r>
    </w:p>
    <w:p w14:paraId="787FB54E"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make, promise, propose, permit or implement any material changes to the terms and conditions of employ</w:t>
      </w:r>
      <w:r>
        <w:rPr>
          <w:color w:val="000000"/>
        </w:rPr>
        <w:t>ment of the Service Provider Staff (including pensions and any payments connected with the termination of employment);</w:t>
      </w:r>
    </w:p>
    <w:p w14:paraId="565B5E6E"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increase the proportion of working time spent on the </w:t>
      </w:r>
      <w:r>
        <w:rPr>
          <w:i/>
          <w:iCs/>
          <w:color w:val="000000"/>
        </w:rPr>
        <w:t>services</w:t>
      </w:r>
      <w:r>
        <w:rPr>
          <w:color w:val="000000"/>
        </w:rPr>
        <w:t xml:space="preserve"> (or the relevant part of the </w:t>
      </w:r>
      <w:r>
        <w:rPr>
          <w:i/>
          <w:iCs/>
          <w:color w:val="000000"/>
        </w:rPr>
        <w:t>services</w:t>
      </w:r>
      <w:r>
        <w:rPr>
          <w:color w:val="000000"/>
        </w:rPr>
        <w:t>) by any of the Service Provider Staff</w:t>
      </w:r>
      <w:r>
        <w:rPr>
          <w:color w:val="000000"/>
        </w:rPr>
        <w:t xml:space="preserve"> save for fulfilling assignments and projects previously scheduled and agreed;</w:t>
      </w:r>
    </w:p>
    <w:p w14:paraId="0A428DC9"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introduce any new contractual or customary practice concerning the making of any lump sum payment on the termination of employment of any employees listed on the Provisional Ser</w:t>
      </w:r>
      <w:r>
        <w:rPr>
          <w:color w:val="000000"/>
        </w:rPr>
        <w:t>vice Provider Staff List;</w:t>
      </w:r>
    </w:p>
    <w:p w14:paraId="36461A1B"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increase or reduce the total number of employees so engaged, or deploy any other person to perform the </w:t>
      </w:r>
      <w:r>
        <w:rPr>
          <w:i/>
          <w:iCs/>
          <w:color w:val="000000"/>
        </w:rPr>
        <w:t>services</w:t>
      </w:r>
      <w:r>
        <w:rPr>
          <w:color w:val="000000"/>
        </w:rPr>
        <w:t xml:space="preserve"> (or the relevant part of the </w:t>
      </w:r>
      <w:r>
        <w:rPr>
          <w:i/>
          <w:iCs/>
          <w:color w:val="000000"/>
        </w:rPr>
        <w:t>services</w:t>
      </w:r>
      <w:r>
        <w:rPr>
          <w:color w:val="000000"/>
        </w:rPr>
        <w:t>);</w:t>
      </w:r>
    </w:p>
    <w:p w14:paraId="3A645F97"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terminate or give notice to terminate the employment or contracts of any persons on the Service Provider’s Provisional Service Provider Staff List save by due disciplinary process;</w:t>
      </w:r>
    </w:p>
    <w:p w14:paraId="37B3FF45" w14:textId="77777777" w:rsidR="007960A8" w:rsidRDefault="00A26397">
      <w:pPr>
        <w:pBdr>
          <w:top w:val="nil"/>
          <w:left w:val="nil"/>
          <w:bottom w:val="nil"/>
          <w:right w:val="nil"/>
          <w:between w:val="nil"/>
        </w:pBdr>
        <w:spacing w:before="120" w:after="120"/>
        <w:ind w:left="1134"/>
        <w:rPr>
          <w:color w:val="000000"/>
        </w:rPr>
      </w:pPr>
      <w:r>
        <w:rPr>
          <w:color w:val="000000"/>
        </w:rPr>
        <w:t xml:space="preserve">and shall promptly notify, and procure that each Subcontractor shall promptly notify, the </w:t>
      </w:r>
      <w:r>
        <w:rPr>
          <w:i/>
          <w:iCs/>
          <w:color w:val="000000"/>
        </w:rPr>
        <w:t>Client</w:t>
      </w:r>
      <w:r>
        <w:rPr>
          <w:color w:val="000000"/>
        </w:rPr>
        <w:t xml:space="preserve"> or, at the direction of the </w:t>
      </w:r>
      <w:r>
        <w:rPr>
          <w:i/>
          <w:iCs/>
          <w:color w:val="000000"/>
        </w:rPr>
        <w:t>Client</w:t>
      </w:r>
      <w:r>
        <w:rPr>
          <w:color w:val="000000"/>
        </w:rPr>
        <w:t xml:space="preserve">, any Replacement Service Provider and any Replacement Subcontractor of any notice to terminate employment given by the </w:t>
      </w:r>
      <w:r>
        <w:rPr>
          <w:i/>
          <w:iCs/>
          <w:color w:val="000000"/>
        </w:rPr>
        <w:t>Servi</w:t>
      </w:r>
      <w:r>
        <w:rPr>
          <w:i/>
          <w:iCs/>
          <w:color w:val="000000"/>
        </w:rPr>
        <w:t>ce Provider</w:t>
      </w:r>
      <w:r>
        <w:rPr>
          <w:color w:val="000000"/>
        </w:rPr>
        <w:t xml:space="preserve"> or relevant Subcontractor or received from any persons listed on the Provisional Service Provider Staff List regardless of when such notice takes effect.</w:t>
      </w:r>
    </w:p>
    <w:p w14:paraId="0F54C4A0"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On or around each anniversary of the </w:t>
      </w:r>
      <w:r>
        <w:rPr>
          <w:i/>
          <w:iCs/>
          <w:color w:val="000000"/>
        </w:rPr>
        <w:t>Starting Date</w:t>
      </w:r>
      <w:r>
        <w:rPr>
          <w:color w:val="000000"/>
        </w:rPr>
        <w:t xml:space="preserve"> and up to four times during the last 12</w:t>
      </w:r>
      <w:r>
        <w:rPr>
          <w:color w:val="000000"/>
        </w:rPr>
        <w:t xml:space="preserve"> Months of the </w:t>
      </w:r>
      <w:r>
        <w:rPr>
          <w:i/>
          <w:iCs/>
          <w:color w:val="000000"/>
        </w:rPr>
        <w:t>service period</w:t>
      </w:r>
      <w:r>
        <w:rPr>
          <w:color w:val="000000"/>
        </w:rPr>
        <w:t xml:space="preserve">, the </w:t>
      </w:r>
      <w:r>
        <w:rPr>
          <w:i/>
          <w:iCs/>
          <w:color w:val="000000"/>
        </w:rPr>
        <w:t>Client</w:t>
      </w:r>
      <w:r>
        <w:rPr>
          <w:color w:val="000000"/>
        </w:rPr>
        <w:t xml:space="preserve"> may make written requests to the </w:t>
      </w:r>
      <w:r>
        <w:rPr>
          <w:i/>
          <w:iCs/>
          <w:color w:val="000000"/>
        </w:rPr>
        <w:t>Service Provider</w:t>
      </w:r>
      <w:r>
        <w:rPr>
          <w:color w:val="000000"/>
        </w:rPr>
        <w:t xml:space="preserve"> for information relating to the manner in which the </w:t>
      </w:r>
      <w:r>
        <w:rPr>
          <w:i/>
          <w:iCs/>
          <w:color w:val="000000"/>
        </w:rPr>
        <w:t>services</w:t>
      </w:r>
      <w:r>
        <w:rPr>
          <w:color w:val="000000"/>
        </w:rPr>
        <w:t xml:space="preserve"> are organised. Within 20 Working Days of receipt of a written request the </w:t>
      </w:r>
      <w:r>
        <w:rPr>
          <w:i/>
          <w:iCs/>
          <w:color w:val="000000"/>
        </w:rPr>
        <w:t>Service Provider</w:t>
      </w:r>
      <w:r>
        <w:rPr>
          <w:color w:val="000000"/>
        </w:rPr>
        <w:t xml:space="preserve"> shall provid</w:t>
      </w:r>
      <w:r>
        <w:rPr>
          <w:color w:val="000000"/>
        </w:rPr>
        <w:t xml:space="preserve">e, and shall procure that each Subcontractor shall provide, to the </w:t>
      </w:r>
      <w:r>
        <w:rPr>
          <w:i/>
          <w:iCs/>
          <w:color w:val="000000"/>
        </w:rPr>
        <w:t>Client</w:t>
      </w:r>
      <w:r>
        <w:rPr>
          <w:color w:val="000000"/>
        </w:rPr>
        <w:t xml:space="preserve"> such information as the </w:t>
      </w:r>
      <w:r>
        <w:rPr>
          <w:i/>
          <w:iCs/>
          <w:color w:val="000000"/>
        </w:rPr>
        <w:t>Client</w:t>
      </w:r>
      <w:r>
        <w:rPr>
          <w:color w:val="000000"/>
        </w:rPr>
        <w:t xml:space="preserve"> may reasonably require relating to the manner in which the </w:t>
      </w:r>
      <w:r>
        <w:rPr>
          <w:i/>
          <w:iCs/>
          <w:color w:val="000000"/>
        </w:rPr>
        <w:t>services</w:t>
      </w:r>
      <w:r>
        <w:rPr>
          <w:color w:val="000000"/>
        </w:rPr>
        <w:t xml:space="preserve"> are organised, which shall include:</w:t>
      </w:r>
    </w:p>
    <w:p w14:paraId="4207D756"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the numbers of employees engaged in providing t</w:t>
      </w:r>
      <w:r>
        <w:rPr>
          <w:color w:val="000000"/>
        </w:rPr>
        <w:t xml:space="preserve">he </w:t>
      </w:r>
      <w:r>
        <w:rPr>
          <w:i/>
          <w:iCs/>
          <w:color w:val="000000"/>
        </w:rPr>
        <w:t>services</w:t>
      </w:r>
      <w:r>
        <w:rPr>
          <w:color w:val="000000"/>
        </w:rPr>
        <w:t>;</w:t>
      </w:r>
    </w:p>
    <w:p w14:paraId="41DCD456"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the percentage of time spent by each employee engaged in providing the </w:t>
      </w:r>
      <w:r>
        <w:rPr>
          <w:i/>
          <w:iCs/>
          <w:color w:val="000000"/>
        </w:rPr>
        <w:t>services</w:t>
      </w:r>
      <w:r>
        <w:rPr>
          <w:color w:val="000000"/>
        </w:rPr>
        <w:t>;</w:t>
      </w:r>
    </w:p>
    <w:p w14:paraId="4FCAB5C4"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the extent to which each employee qualifies for membership of any of the Statutory Schemes or any Broadly Comparable scheme set up pursuant to the provisions of a</w:t>
      </w:r>
      <w:r>
        <w:rPr>
          <w:color w:val="000000"/>
        </w:rPr>
        <w:t>ny of the Annexes to Part D (Pensions) (as appropriate); and</w:t>
      </w:r>
    </w:p>
    <w:p w14:paraId="2EAC07D5"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 description of the nature of the work undertaken by each employee by location.</w:t>
      </w:r>
    </w:p>
    <w:p w14:paraId="18B531E0"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provide, and shall procure that each Subcontractor shall provide, all reasonable cooper</w:t>
      </w:r>
      <w:r>
        <w:rPr>
          <w:color w:val="000000"/>
        </w:rPr>
        <w:t xml:space="preserve">ation and assistance to the </w:t>
      </w:r>
      <w:r>
        <w:rPr>
          <w:i/>
          <w:iCs/>
          <w:color w:val="000000"/>
        </w:rPr>
        <w:t>Client</w:t>
      </w:r>
      <w:r>
        <w:rPr>
          <w:color w:val="000000"/>
        </w:rPr>
        <w:t>, any Replacement Service Provider and/or any Replacement Subcontractor to ensure the smooth transfer of the Transferring Service Provider Employees on the Service Transfer Date including providing sufficient information i</w:t>
      </w:r>
      <w:r>
        <w:rPr>
          <w:color w:val="000000"/>
        </w:rPr>
        <w:t>n advance of the Service Transfer Date to ensure that all necessary payroll arrangements can be made to enable the Transferring Service Provider Employees to be paid as appropriate. Without prejudice to the generality of the foregoing, within 5 Working Day</w:t>
      </w:r>
      <w:r>
        <w:rPr>
          <w:color w:val="000000"/>
        </w:rPr>
        <w:t xml:space="preserve">s following the Service Transfer Date, the </w:t>
      </w:r>
      <w:r>
        <w:rPr>
          <w:i/>
          <w:iCs/>
          <w:color w:val="000000"/>
        </w:rPr>
        <w:t>Service Provider</w:t>
      </w:r>
      <w:r>
        <w:rPr>
          <w:color w:val="000000"/>
        </w:rPr>
        <w:t xml:space="preserve"> shall provide, and shall procure that each Subcontractor shall provide, to the </w:t>
      </w:r>
      <w:r>
        <w:rPr>
          <w:i/>
          <w:iCs/>
          <w:color w:val="000000"/>
        </w:rPr>
        <w:t>Client</w:t>
      </w:r>
      <w:r>
        <w:rPr>
          <w:color w:val="000000"/>
        </w:rPr>
        <w:t xml:space="preserve"> or, at the direction of the </w:t>
      </w:r>
      <w:r>
        <w:rPr>
          <w:i/>
          <w:iCs/>
          <w:color w:val="000000"/>
        </w:rPr>
        <w:t>Client</w:t>
      </w:r>
      <w:r>
        <w:rPr>
          <w:color w:val="000000"/>
        </w:rPr>
        <w:t>, to any Replacement Service Provider and/or any Replacement Subcontractor (</w:t>
      </w:r>
      <w:r>
        <w:rPr>
          <w:color w:val="000000"/>
        </w:rPr>
        <w:t>as appropriate), in respect of each person on the Final Service Provider Staff List who is a Transferring Service Provider Employee:</w:t>
      </w:r>
    </w:p>
    <w:p w14:paraId="7A471A64"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the most recent month's pay slip data;</w:t>
      </w:r>
    </w:p>
    <w:p w14:paraId="14CC5B21"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details of cumulative pay for tax and pension purposes;</w:t>
      </w:r>
    </w:p>
    <w:p w14:paraId="7ED0AA92"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details of cumulative tax paid;</w:t>
      </w:r>
    </w:p>
    <w:p w14:paraId="262C9BFA"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updated tax code as at the Service Transfer Date if the code has changed since it was previously have been provided;</w:t>
      </w:r>
    </w:p>
    <w:p w14:paraId="18687FE4"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updated details of any voluntary deductions from pay</w:t>
      </w:r>
      <w:r>
        <w:t xml:space="preserve"> </w:t>
      </w:r>
      <w:r>
        <w:rPr>
          <w:color w:val="000000"/>
        </w:rPr>
        <w:t>as at the Service Transfer Date if changes have occurr</w:t>
      </w:r>
      <w:r>
        <w:rPr>
          <w:color w:val="000000"/>
        </w:rPr>
        <w:t xml:space="preserve">ed since the details were previously provided; </w:t>
      </w:r>
    </w:p>
    <w:p w14:paraId="7BFF1EE6"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 copy of the personal file and all other records regarding the service of the Transferring Service Provider Employee;</w:t>
      </w:r>
    </w:p>
    <w:p w14:paraId="05514BEE"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all information required to meet the minimum recording keeping requirements under the Wor</w:t>
      </w:r>
      <w:r>
        <w:rPr>
          <w:color w:val="000000"/>
        </w:rPr>
        <w:t>king Time Regulations 1998 and the National Minimum Wage Regulations 1998; and</w:t>
      </w:r>
    </w:p>
    <w:p w14:paraId="1ADA8C01"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updated bank/building society or other account details for payroll purposes if they have changed since they were previously provided.</w:t>
      </w:r>
    </w:p>
    <w:p w14:paraId="4D39D216" w14:textId="77777777" w:rsidR="007960A8" w:rsidRDefault="00A26397">
      <w:pPr>
        <w:keepNext/>
        <w:widowControl/>
        <w:numPr>
          <w:ilvl w:val="0"/>
          <w:numId w:val="80"/>
        </w:numPr>
        <w:pBdr>
          <w:top w:val="nil"/>
          <w:left w:val="nil"/>
          <w:bottom w:val="nil"/>
          <w:right w:val="nil"/>
          <w:between w:val="nil"/>
        </w:pBdr>
        <w:spacing w:before="120" w:after="120"/>
        <w:ind w:left="426" w:hanging="426"/>
        <w:rPr>
          <w:b/>
          <w:bCs/>
          <w:smallCaps/>
          <w:color w:val="000000"/>
        </w:rPr>
      </w:pPr>
      <w:r>
        <w:rPr>
          <w:b/>
          <w:bCs/>
          <w:color w:val="000000"/>
        </w:rPr>
        <w:t>Staff Transfer when the contract ends</w:t>
      </w:r>
    </w:p>
    <w:p w14:paraId="3E3D7A06"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Client</w:t>
      </w:r>
      <w:r>
        <w:rPr>
          <w:color w:val="000000"/>
        </w:rPr>
        <w:t xml:space="preserve"> and the </w:t>
      </w:r>
      <w:r>
        <w:rPr>
          <w:i/>
          <w:iCs/>
          <w:color w:val="000000"/>
        </w:rPr>
        <w:t>Service Provider</w:t>
      </w:r>
      <w:r>
        <w:rPr>
          <w:color w:val="000000"/>
        </w:rPr>
        <w:t xml:space="preserve"> acknowledge that subsequent to the commencement of the provision of the </w:t>
      </w:r>
      <w:r>
        <w:rPr>
          <w:i/>
          <w:iCs/>
          <w:color w:val="000000"/>
        </w:rPr>
        <w:t>services</w:t>
      </w:r>
      <w:r>
        <w:rPr>
          <w:color w:val="000000"/>
        </w:rPr>
        <w:t xml:space="preserve">, the identity of the provider of the </w:t>
      </w:r>
      <w:r>
        <w:rPr>
          <w:i/>
          <w:iCs/>
          <w:color w:val="000000"/>
        </w:rPr>
        <w:t>services</w:t>
      </w:r>
      <w:r>
        <w:rPr>
          <w:color w:val="000000"/>
        </w:rPr>
        <w:t xml:space="preserve"> (or any part of the Services) may change (whether as a result of termination or Partial Termi</w:t>
      </w:r>
      <w:r>
        <w:rPr>
          <w:color w:val="000000"/>
        </w:rPr>
        <w:t xml:space="preserve">nation of the relevant Contract or otherwise) resulting in the </w:t>
      </w:r>
      <w:r>
        <w:rPr>
          <w:i/>
          <w:iCs/>
          <w:color w:val="000000"/>
        </w:rPr>
        <w:t>services</w:t>
      </w:r>
      <w:r>
        <w:rPr>
          <w:color w:val="000000"/>
        </w:rPr>
        <w:t xml:space="preserve"> being undertaken by a Replacement Service Provider and/or a Replacement Subcontractor. Such change in the identity of the supplier of such </w:t>
      </w:r>
      <w:r>
        <w:rPr>
          <w:i/>
          <w:iCs/>
          <w:color w:val="000000"/>
        </w:rPr>
        <w:t>services</w:t>
      </w:r>
      <w:r>
        <w:rPr>
          <w:color w:val="000000"/>
        </w:rPr>
        <w:t xml:space="preserve"> may constitute a Relevant Transfer t</w:t>
      </w:r>
      <w:r>
        <w:rPr>
          <w:color w:val="000000"/>
        </w:rPr>
        <w:t xml:space="preserve">o which the Employment Regulations and/or the Acquired Rights Directive will apply. The </w:t>
      </w:r>
      <w:r>
        <w:rPr>
          <w:i/>
          <w:iCs/>
          <w:color w:val="000000"/>
        </w:rPr>
        <w:t>Client</w:t>
      </w:r>
      <w:r>
        <w:rPr>
          <w:color w:val="000000"/>
        </w:rPr>
        <w:t xml:space="preserve"> and the </w:t>
      </w:r>
      <w:r>
        <w:rPr>
          <w:i/>
          <w:iCs/>
          <w:color w:val="000000"/>
        </w:rPr>
        <w:t>Service Provider</w:t>
      </w:r>
      <w:r>
        <w:rPr>
          <w:color w:val="000000"/>
        </w:rPr>
        <w:t xml:space="preserve"> agree that, as a result of the operation of the Employment Regulations, where a Relevant Transfer occurs, the contracts of employment be</w:t>
      </w:r>
      <w:r>
        <w:rPr>
          <w:color w:val="000000"/>
        </w:rPr>
        <w:t xml:space="preserve">tween the </w:t>
      </w:r>
      <w:r>
        <w:rPr>
          <w:i/>
          <w:iCs/>
          <w:color w:val="000000"/>
        </w:rPr>
        <w:t>Service Provider</w:t>
      </w:r>
      <w:r>
        <w:rPr>
          <w:color w:val="000000"/>
        </w:rPr>
        <w:t xml:space="preserve"> and the Transferring Service Provider Employees (except in relation to any contract terms disapplied through operation of regulation 10(2) of the Employment Regulations) will have effect on and from the Service Transfer Date as i</w:t>
      </w:r>
      <w:r>
        <w:rPr>
          <w:color w:val="000000"/>
        </w:rPr>
        <w:t>f originally made between the Replacement Service Provider and/or a Replacement Subcontractor (as the case may be) and each such Transferring Service Provider Employee.</w:t>
      </w:r>
    </w:p>
    <w:p w14:paraId="577EFE76"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and shall procure that each Subcontractor shall, comply with all its obligations in respect of the Transferring Service Provider Employees arising under the Employment Regulations in respect of the period up to (and including) the Service Transfer </w:t>
      </w:r>
      <w:r>
        <w:rPr>
          <w:color w:val="000000"/>
        </w:rPr>
        <w:t>Date and shall perform and discharge, and procure that each Subcontractor shall perform and discharge, all its obligations in respect of all the Transferring Service Provider Employees arising in respect of the period up to (and including) the Service Tran</w:t>
      </w:r>
      <w:r>
        <w:rPr>
          <w:color w:val="000000"/>
        </w:rPr>
        <w:t xml:space="preserve">sfer Date (including (without limit) the payment of all remuneration, benefits, entitlements, and outgoings, all wages, pay for accrued but untaken holiday, bonuses, commissions, payments of PAYE, national insurance contributions and pension contributions </w:t>
      </w:r>
      <w:r>
        <w:rPr>
          <w:color w:val="000000"/>
        </w:rPr>
        <w:t>and all such sums due as a result of any Fair Deal Employees' participation in the Schemes which in any case are attributable in whole or in part to the period ending on (and including) the Service Transfer Date) and any necessary apportionments in respect</w:t>
      </w:r>
      <w:r>
        <w:rPr>
          <w:color w:val="000000"/>
        </w:rPr>
        <w:t xml:space="preserve"> of any periodic payments shall be made between: (i) the </w:t>
      </w:r>
      <w:r>
        <w:rPr>
          <w:i/>
          <w:iCs/>
          <w:color w:val="000000"/>
        </w:rPr>
        <w:t>Service Provider</w:t>
      </w:r>
      <w:r>
        <w:rPr>
          <w:color w:val="000000"/>
        </w:rPr>
        <w:t xml:space="preserve"> and/or the Subcontractor (as appropriate); and (ii) the Replacement Service Provider and/or Replacement Subcontractor. </w:t>
      </w:r>
    </w:p>
    <w:p w14:paraId="3DF4DD3E"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bookmarkStart w:id="82" w:name="_heading=h.25b2l0r" w:colFirst="0" w:colLast="0"/>
      <w:bookmarkEnd w:id="82"/>
      <w:r>
        <w:rPr>
          <w:color w:val="000000"/>
        </w:rPr>
        <w:t xml:space="preserve">Subject to Paragraph 2.4, the </w:t>
      </w:r>
      <w:r>
        <w:rPr>
          <w:i/>
          <w:iCs/>
          <w:color w:val="000000"/>
        </w:rPr>
        <w:t>Service Provider</w:t>
      </w:r>
      <w:r>
        <w:rPr>
          <w:color w:val="000000"/>
        </w:rPr>
        <w:t xml:space="preserve"> shall indemnify</w:t>
      </w:r>
      <w:r>
        <w:rPr>
          <w:color w:val="000000"/>
        </w:rPr>
        <w:t xml:space="preserve"> the </w:t>
      </w:r>
      <w:r>
        <w:rPr>
          <w:i/>
          <w:iCs/>
          <w:color w:val="000000"/>
        </w:rPr>
        <w:t>Client</w:t>
      </w:r>
      <w:r>
        <w:rPr>
          <w:color w:val="000000"/>
        </w:rPr>
        <w:t xml:space="preserve"> and/or the Replacement Service Provider and/or any Replacement Subcontractor against any Employee Liabilities arising from or as a result of: </w:t>
      </w:r>
    </w:p>
    <w:p w14:paraId="75D86E55"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any act or omission of the </w:t>
      </w:r>
      <w:r>
        <w:rPr>
          <w:i/>
          <w:iCs/>
          <w:color w:val="000000"/>
        </w:rPr>
        <w:t>Service Provider</w:t>
      </w:r>
      <w:r>
        <w:rPr>
          <w:color w:val="000000"/>
        </w:rPr>
        <w:t xml:space="preserve"> or any Subcontractor in respect of any Transferring Servi</w:t>
      </w:r>
      <w:r>
        <w:rPr>
          <w:color w:val="000000"/>
        </w:rPr>
        <w:t xml:space="preserve">ce Provider Employee or any appropriate employee representative (as defined in the Employment Regulations) of any Transferring Service Provider Employee whether occurring before, on or after the Service Transfer Date; </w:t>
      </w:r>
    </w:p>
    <w:p w14:paraId="0B0DB8C8"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the breach or non-observance by the </w:t>
      </w:r>
      <w:r>
        <w:rPr>
          <w:i/>
          <w:iCs/>
          <w:color w:val="000000"/>
        </w:rPr>
        <w:t>S</w:t>
      </w:r>
      <w:r>
        <w:rPr>
          <w:i/>
          <w:iCs/>
          <w:color w:val="000000"/>
        </w:rPr>
        <w:t>ervice Provider</w:t>
      </w:r>
      <w:r>
        <w:rPr>
          <w:color w:val="000000"/>
        </w:rPr>
        <w:t xml:space="preserve"> or any Subcontractor occurring on or before the Service Transfer Date of: </w:t>
      </w:r>
    </w:p>
    <w:p w14:paraId="2876748C" w14:textId="77777777" w:rsidR="007960A8" w:rsidRDefault="00A26397">
      <w:pPr>
        <w:pStyle w:val="Heading5"/>
        <w:numPr>
          <w:ilvl w:val="4"/>
          <w:numId w:val="84"/>
        </w:numPr>
        <w:spacing w:before="120" w:after="120"/>
        <w:ind w:left="2835" w:hanging="850"/>
        <w:jc w:val="left"/>
        <w:rPr>
          <w:rFonts w:ascii="Arial" w:eastAsia="Arial" w:hAnsi="Arial" w:cs="Arial"/>
          <w:sz w:val="22"/>
          <w:szCs w:val="22"/>
        </w:rPr>
      </w:pPr>
      <w:r>
        <w:rPr>
          <w:rFonts w:ascii="Arial" w:eastAsia="Arial" w:hAnsi="Arial" w:cs="Arial"/>
          <w:sz w:val="22"/>
          <w:szCs w:val="22"/>
        </w:rPr>
        <w:t>any collective agreement applicable to the Transferring Service Provider Employees; and/or</w:t>
      </w:r>
    </w:p>
    <w:p w14:paraId="6361F8EC" w14:textId="77777777" w:rsidR="007960A8" w:rsidRDefault="00A26397">
      <w:pPr>
        <w:pStyle w:val="Heading5"/>
        <w:numPr>
          <w:ilvl w:val="4"/>
          <w:numId w:val="84"/>
        </w:numPr>
        <w:spacing w:before="120" w:after="120"/>
        <w:ind w:left="2835" w:hanging="850"/>
        <w:jc w:val="left"/>
        <w:rPr>
          <w:rFonts w:ascii="Arial" w:eastAsia="Arial" w:hAnsi="Arial" w:cs="Arial"/>
          <w:sz w:val="22"/>
          <w:szCs w:val="22"/>
        </w:rPr>
      </w:pPr>
      <w:r>
        <w:rPr>
          <w:rFonts w:ascii="Arial" w:eastAsia="Arial" w:hAnsi="Arial" w:cs="Arial"/>
          <w:sz w:val="22"/>
          <w:szCs w:val="22"/>
        </w:rPr>
        <w:t>any other custom or practice with a trade union or staff association in re</w:t>
      </w:r>
      <w:r>
        <w:rPr>
          <w:rFonts w:ascii="Arial" w:eastAsia="Arial" w:hAnsi="Arial" w:cs="Arial"/>
          <w:sz w:val="22"/>
          <w:szCs w:val="22"/>
        </w:rPr>
        <w:t xml:space="preserve">spect of any Transferring Service Provider Employees which the </w:t>
      </w:r>
      <w:r>
        <w:rPr>
          <w:rFonts w:ascii="Arial" w:eastAsia="Arial" w:hAnsi="Arial" w:cs="Arial"/>
          <w:i/>
          <w:iCs/>
          <w:sz w:val="22"/>
          <w:szCs w:val="22"/>
        </w:rPr>
        <w:t>Service Provider</w:t>
      </w:r>
      <w:r>
        <w:rPr>
          <w:rFonts w:ascii="Arial" w:eastAsia="Arial" w:hAnsi="Arial" w:cs="Arial"/>
          <w:sz w:val="22"/>
          <w:szCs w:val="22"/>
        </w:rPr>
        <w:t xml:space="preserve"> or any Subcontractor is contractually bound to honour;</w:t>
      </w:r>
    </w:p>
    <w:p w14:paraId="40975C50"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83" w:name="_heading=h.kgcv8k" w:colFirst="0" w:colLast="0"/>
      <w:bookmarkEnd w:id="83"/>
      <w:r>
        <w:rPr>
          <w:color w:val="000000"/>
        </w:rPr>
        <w:t>any claim by any trade union or other body or person representing any Transferring Service Provider Employees arising fro</w:t>
      </w:r>
      <w:r>
        <w:rPr>
          <w:color w:val="000000"/>
        </w:rPr>
        <w:t xml:space="preserve">m or connected with any failure by the </w:t>
      </w:r>
      <w:r>
        <w:rPr>
          <w:i/>
          <w:iCs/>
          <w:color w:val="000000"/>
        </w:rPr>
        <w:t>Service Provider</w:t>
      </w:r>
      <w:r>
        <w:rPr>
          <w:color w:val="000000"/>
        </w:rPr>
        <w:t xml:space="preserve"> or a Subcontractor to comply with any legal obligation to such trade union, body or person arising on or before the Service Transfer Date;</w:t>
      </w:r>
    </w:p>
    <w:p w14:paraId="09BD3618"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proceeding, claim or demand by HMRC or other statutory au</w:t>
      </w:r>
      <w:r>
        <w:rPr>
          <w:color w:val="000000"/>
        </w:rPr>
        <w:t>thority in respect of any financial obligation including, but not limited to, PAYE and primary and secondary national insurance contributions:</w:t>
      </w:r>
    </w:p>
    <w:p w14:paraId="3AD0DFB5" w14:textId="77777777" w:rsidR="007960A8" w:rsidRDefault="00A26397">
      <w:pPr>
        <w:pStyle w:val="Heading5"/>
        <w:numPr>
          <w:ilvl w:val="4"/>
          <w:numId w:val="70"/>
        </w:numPr>
        <w:spacing w:before="120" w:after="120"/>
        <w:ind w:left="2835" w:hanging="850"/>
        <w:jc w:val="left"/>
        <w:rPr>
          <w:rFonts w:ascii="Arial" w:eastAsia="Arial" w:hAnsi="Arial" w:cs="Arial"/>
          <w:sz w:val="22"/>
          <w:szCs w:val="22"/>
        </w:rPr>
      </w:pPr>
      <w:r>
        <w:rPr>
          <w:rFonts w:ascii="Arial" w:eastAsia="Arial" w:hAnsi="Arial" w:cs="Arial"/>
          <w:sz w:val="22"/>
          <w:szCs w:val="22"/>
        </w:rPr>
        <w:t xml:space="preserve">in relation to any Transferring Service Provider Employee, to the extent that the proceeding, claim or demand by </w:t>
      </w:r>
      <w:r>
        <w:rPr>
          <w:rFonts w:ascii="Arial" w:eastAsia="Arial" w:hAnsi="Arial" w:cs="Arial"/>
          <w:sz w:val="22"/>
          <w:szCs w:val="22"/>
        </w:rPr>
        <w:t>HMRC or other statutory authority relates to financial obligations arising on and before the Service Transfer Date; and</w:t>
      </w:r>
    </w:p>
    <w:p w14:paraId="7A22E3F0" w14:textId="77777777" w:rsidR="007960A8" w:rsidRDefault="00A26397">
      <w:pPr>
        <w:pStyle w:val="Heading5"/>
        <w:numPr>
          <w:ilvl w:val="4"/>
          <w:numId w:val="70"/>
        </w:numPr>
        <w:spacing w:before="120" w:after="120"/>
        <w:ind w:left="2835" w:hanging="850"/>
        <w:jc w:val="left"/>
        <w:rPr>
          <w:rFonts w:ascii="Arial" w:eastAsia="Arial" w:hAnsi="Arial" w:cs="Arial"/>
          <w:sz w:val="22"/>
          <w:szCs w:val="22"/>
        </w:rPr>
      </w:pPr>
      <w:r>
        <w:rPr>
          <w:rFonts w:ascii="Arial" w:eastAsia="Arial" w:hAnsi="Arial" w:cs="Arial"/>
          <w:sz w:val="22"/>
          <w:szCs w:val="22"/>
        </w:rPr>
        <w:t>in relation to any employee who is not identified in the Final Service Provider Staff List, and in respect of whom it is later alleged o</w:t>
      </w:r>
      <w:r>
        <w:rPr>
          <w:rFonts w:ascii="Arial" w:eastAsia="Arial" w:hAnsi="Arial" w:cs="Arial"/>
          <w:sz w:val="22"/>
          <w:szCs w:val="22"/>
        </w:rPr>
        <w:t xml:space="preserve">r determined that the Employment Regulations applied so as to transfer his/her employment from the </w:t>
      </w:r>
      <w:r>
        <w:rPr>
          <w:rFonts w:ascii="Arial" w:eastAsia="Arial" w:hAnsi="Arial" w:cs="Arial"/>
          <w:i/>
          <w:iCs/>
          <w:sz w:val="22"/>
          <w:szCs w:val="22"/>
        </w:rPr>
        <w:t>Service Provider</w:t>
      </w:r>
      <w:r>
        <w:rPr>
          <w:rFonts w:ascii="Arial" w:eastAsia="Arial" w:hAnsi="Arial" w:cs="Arial"/>
          <w:sz w:val="22"/>
          <w:szCs w:val="22"/>
        </w:rPr>
        <w:t xml:space="preserve"> to the </w:t>
      </w:r>
      <w:r>
        <w:rPr>
          <w:rFonts w:ascii="Arial" w:eastAsia="Arial" w:hAnsi="Arial" w:cs="Arial"/>
          <w:i/>
          <w:iCs/>
          <w:sz w:val="22"/>
          <w:szCs w:val="22"/>
        </w:rPr>
        <w:t>Client</w:t>
      </w:r>
      <w:r>
        <w:rPr>
          <w:rFonts w:ascii="Arial" w:eastAsia="Arial" w:hAnsi="Arial" w:cs="Arial"/>
          <w:sz w:val="22"/>
          <w:szCs w:val="22"/>
        </w:rPr>
        <w:t xml:space="preserve"> and/or Replacement Service Provider and/or any Replacement Subcontractor, to the extent that the proceeding, claim or demand b</w:t>
      </w:r>
      <w:r>
        <w:rPr>
          <w:rFonts w:ascii="Arial" w:eastAsia="Arial" w:hAnsi="Arial" w:cs="Arial"/>
          <w:sz w:val="22"/>
          <w:szCs w:val="22"/>
        </w:rPr>
        <w:t>y HMRC or other statutory authority relates to financial obligations arising on or before the Service Transfer Date;</w:t>
      </w:r>
    </w:p>
    <w:p w14:paraId="278F6F71"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a failure of the </w:t>
      </w:r>
      <w:r>
        <w:rPr>
          <w:i/>
          <w:iCs/>
          <w:color w:val="000000"/>
        </w:rPr>
        <w:t>Service Provider</w:t>
      </w:r>
      <w:r>
        <w:rPr>
          <w:color w:val="000000"/>
        </w:rPr>
        <w:t xml:space="preserve"> or any Subcontractor to discharge or procure the discharge of all wages, salaries and all other benefits and all PAYE tax deductions and national insurance contributions relating to the Transferring Service Provider Employees in respect of the period up t</w:t>
      </w:r>
      <w:r>
        <w:rPr>
          <w:color w:val="000000"/>
        </w:rPr>
        <w:t>o (and including) the Service Transfer Date);</w:t>
      </w:r>
    </w:p>
    <w:p w14:paraId="44B30244"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any claim made by or in respect of any person employed or formerly employed by the </w:t>
      </w:r>
      <w:r>
        <w:rPr>
          <w:i/>
          <w:iCs/>
          <w:color w:val="000000"/>
        </w:rPr>
        <w:t>Service Provider</w:t>
      </w:r>
      <w:r>
        <w:rPr>
          <w:color w:val="000000"/>
        </w:rPr>
        <w:t xml:space="preserve"> or any Subcontractor other than a Transferring Service Provider Employee identified in the Final Service Provider Staff List for whom it is alleged the </w:t>
      </w:r>
      <w:r>
        <w:rPr>
          <w:i/>
          <w:iCs/>
          <w:color w:val="000000"/>
        </w:rPr>
        <w:t>Client</w:t>
      </w:r>
      <w:r>
        <w:rPr>
          <w:color w:val="000000"/>
        </w:rPr>
        <w:t xml:space="preserve"> and/or the Replacement Service Provider and/or any Replacement Subcontractor may be liable by vi</w:t>
      </w:r>
      <w:r>
        <w:rPr>
          <w:color w:val="000000"/>
        </w:rPr>
        <w:t>rtue of the relevant Contract and/or the Employment Regulations and/or the Acquired Rights Directive; and</w:t>
      </w:r>
    </w:p>
    <w:p w14:paraId="226AB7BB"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claim made by or in respect of a Transferring Service Provider Employee or any appropriate employee representative (as defined in the Employment R</w:t>
      </w:r>
      <w:r>
        <w:rPr>
          <w:color w:val="000000"/>
        </w:rPr>
        <w:t xml:space="preserve">egulations) of any Transferring Service Provider Employee relating to any act or omission of the </w:t>
      </w:r>
      <w:r>
        <w:rPr>
          <w:i/>
          <w:iCs/>
          <w:color w:val="000000"/>
        </w:rPr>
        <w:t>Service Provider</w:t>
      </w:r>
      <w:r>
        <w:rPr>
          <w:color w:val="000000"/>
        </w:rPr>
        <w:t xml:space="preserve"> or any Subcontractor in relation to its obligations under regulation 13 of the Employment Regulations, except to the extent that the liability</w:t>
      </w:r>
      <w:r>
        <w:rPr>
          <w:color w:val="000000"/>
        </w:rPr>
        <w:t xml:space="preserve"> arises from the failure by the </w:t>
      </w:r>
      <w:r>
        <w:rPr>
          <w:i/>
          <w:iCs/>
          <w:color w:val="000000"/>
        </w:rPr>
        <w:t>Client</w:t>
      </w:r>
      <w:r>
        <w:rPr>
          <w:color w:val="000000"/>
        </w:rPr>
        <w:t xml:space="preserve"> and/or Replacement Service Provider to comply with regulation 13(4) of the Employment Regulations.</w:t>
      </w:r>
    </w:p>
    <w:p w14:paraId="73175048"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bookmarkStart w:id="84" w:name="_heading=h.34g0dwd" w:colFirst="0" w:colLast="0"/>
      <w:bookmarkEnd w:id="84"/>
      <w:r>
        <w:rPr>
          <w:color w:val="000000"/>
        </w:rPr>
        <w:t>The indemnities in Paragraph 2.3 shall not apply to the extent that the Employee Liabilities arise or are attributable</w:t>
      </w:r>
      <w:r>
        <w:rPr>
          <w:color w:val="000000"/>
        </w:rPr>
        <w:t xml:space="preserve"> to any act or omission of the Replacement Service Provider and/or any Replacement Subcontractor whether occurring or having its origin before, on or after the Service Transfer Date including any Employee Liabilities: </w:t>
      </w:r>
    </w:p>
    <w:p w14:paraId="606FC1B5"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arising out of the resignation of any</w:t>
      </w:r>
      <w:r>
        <w:rPr>
          <w:color w:val="000000"/>
        </w:rPr>
        <w:t xml:space="preserve"> Transferring Service Provider Employee before the Service Transfer Date on account of substantial detrimental changes to their terms and conditions of employment or working conditions proposed by the Replacement Service Provider and/or any Replacement Sub</w:t>
      </w:r>
      <w:r>
        <w:rPr>
          <w:color w:val="000000"/>
        </w:rPr>
        <w:t>contractor to occur in the period on or after the Service Transfer Date); or</w:t>
      </w:r>
    </w:p>
    <w:p w14:paraId="3A6717CB"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arising from the Replacement Service Provider’s failure, and/or Replacement Subcontractor’s failure, to comply with its obligations under the Employment Regulations.</w:t>
      </w:r>
    </w:p>
    <w:p w14:paraId="200894D3"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bookmarkStart w:id="85" w:name="_heading=h.1jlao46" w:colFirst="0" w:colLast="0"/>
      <w:bookmarkEnd w:id="85"/>
      <w:r>
        <w:rPr>
          <w:color w:val="000000"/>
        </w:rPr>
        <w:t>If any person</w:t>
      </w:r>
      <w:r>
        <w:rPr>
          <w:color w:val="000000"/>
        </w:rPr>
        <w:t xml:space="preserve"> who is not identified in the Final Service Provider Staff List claims, or it is determined in relation to any employees of the </w:t>
      </w:r>
      <w:r>
        <w:rPr>
          <w:i/>
          <w:iCs/>
          <w:color w:val="000000"/>
        </w:rPr>
        <w:t>Service Provider</w:t>
      </w:r>
      <w:r>
        <w:rPr>
          <w:color w:val="000000"/>
        </w:rPr>
        <w:t xml:space="preserve">, that his/her contract of employment has been transferred from the </w:t>
      </w:r>
      <w:r>
        <w:rPr>
          <w:i/>
          <w:iCs/>
          <w:color w:val="000000"/>
        </w:rPr>
        <w:t>Service Provider</w:t>
      </w:r>
      <w:r>
        <w:rPr>
          <w:color w:val="000000"/>
        </w:rPr>
        <w:t xml:space="preserve"> to the Replacement Service </w:t>
      </w:r>
      <w:r>
        <w:rPr>
          <w:color w:val="000000"/>
        </w:rPr>
        <w:t>Provider and/or Replacement Subcontractor pursuant to the Employment Regulations or the Acquired Rights Directive, then:</w:t>
      </w:r>
    </w:p>
    <w:p w14:paraId="04422079"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86" w:name="_heading=h.43ky6rz" w:colFirst="0" w:colLast="0"/>
      <w:bookmarkEnd w:id="86"/>
      <w:r>
        <w:rPr>
          <w:color w:val="000000"/>
        </w:rPr>
        <w:t xml:space="preserve">the </w:t>
      </w:r>
      <w:r>
        <w:rPr>
          <w:i/>
          <w:iCs/>
          <w:color w:val="000000"/>
        </w:rPr>
        <w:t>Client</w:t>
      </w:r>
      <w:r>
        <w:rPr>
          <w:color w:val="000000"/>
        </w:rPr>
        <w:t xml:space="preserve"> shall procure that the Replacement Service Provider and/or Replacement Subcontractor will, within 5 Working Days of becoming</w:t>
      </w:r>
      <w:r>
        <w:rPr>
          <w:color w:val="000000"/>
        </w:rPr>
        <w:t xml:space="preserve"> aware of that fact, notify the </w:t>
      </w:r>
      <w:r>
        <w:rPr>
          <w:i/>
          <w:iCs/>
          <w:color w:val="000000"/>
        </w:rPr>
        <w:t>Client</w:t>
      </w:r>
      <w:r>
        <w:rPr>
          <w:color w:val="000000"/>
        </w:rPr>
        <w:t xml:space="preserve"> and the </w:t>
      </w:r>
      <w:r>
        <w:rPr>
          <w:i/>
          <w:iCs/>
          <w:color w:val="000000"/>
        </w:rPr>
        <w:t>Service Provider</w:t>
      </w:r>
      <w:r>
        <w:rPr>
          <w:color w:val="000000"/>
        </w:rPr>
        <w:t xml:space="preserve"> in writing; and </w:t>
      </w:r>
    </w:p>
    <w:p w14:paraId="77E46FCF"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87" w:name="_heading=h.2iq8gzs" w:colFirst="0" w:colLast="0"/>
      <w:bookmarkEnd w:id="87"/>
      <w:r>
        <w:rPr>
          <w:color w:val="000000"/>
        </w:rPr>
        <w:t xml:space="preserve">the </w:t>
      </w:r>
      <w:r>
        <w:rPr>
          <w:i/>
          <w:iCs/>
          <w:color w:val="000000"/>
        </w:rPr>
        <w:t>Service Provider</w:t>
      </w:r>
      <w:r>
        <w:rPr>
          <w:color w:val="000000"/>
        </w:rPr>
        <w:t xml:space="preserve"> may offer (or may procure that a Subcontractor may offer) employment to such person, or take such other reasonable steps as it considered appropriate to deal the matter provided always that such steps are in compliance with Law, within 15 Working Days of </w:t>
      </w:r>
      <w:r>
        <w:rPr>
          <w:color w:val="000000"/>
        </w:rPr>
        <w:t xml:space="preserve">receipt of notice from the Replacement Service Provider and/or Replacement Subcontractor. </w:t>
      </w:r>
    </w:p>
    <w:p w14:paraId="11A25EB3"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If such offer pursuant to Paragraph 2.5.2 is accepted, or if the situation has otherwise been resolved by the </w:t>
      </w:r>
      <w:r>
        <w:rPr>
          <w:i/>
          <w:iCs/>
          <w:color w:val="000000"/>
        </w:rPr>
        <w:t>Service Provider</w:t>
      </w:r>
      <w:r>
        <w:rPr>
          <w:color w:val="000000"/>
        </w:rPr>
        <w:t xml:space="preserve"> or a Subcontractor, the </w:t>
      </w:r>
      <w:r>
        <w:rPr>
          <w:i/>
          <w:iCs/>
          <w:color w:val="000000"/>
        </w:rPr>
        <w:t>Client</w:t>
      </w:r>
      <w:r>
        <w:rPr>
          <w:color w:val="000000"/>
        </w:rPr>
        <w:t xml:space="preserve"> shall, </w:t>
      </w:r>
      <w:r>
        <w:rPr>
          <w:color w:val="000000"/>
        </w:rPr>
        <w:t>or shall procure that the Replacement Service Provider and/or Replacement Subcontractor shall, immediately release or procure the release the person from his/her employment or alleged employment.</w:t>
      </w:r>
    </w:p>
    <w:p w14:paraId="1D17AE4E"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bookmarkStart w:id="88" w:name="_heading=h.xvir7l" w:colFirst="0" w:colLast="0"/>
      <w:bookmarkEnd w:id="88"/>
      <w:r>
        <w:rPr>
          <w:color w:val="000000"/>
        </w:rPr>
        <w:t>If after the 15 Working Day period specified in Paragraph 2.</w:t>
      </w:r>
      <w:r>
        <w:rPr>
          <w:color w:val="000000"/>
        </w:rPr>
        <w:t xml:space="preserve">5.2 has elapsed: </w:t>
      </w:r>
    </w:p>
    <w:p w14:paraId="30869F6F"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no such offer has been made: </w:t>
      </w:r>
    </w:p>
    <w:p w14:paraId="379F2889"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such offer has been made but not accepted; or </w:t>
      </w:r>
    </w:p>
    <w:p w14:paraId="6FE2E6FC"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the situation has not otherwise been resolved</w:t>
      </w:r>
    </w:p>
    <w:p w14:paraId="6EC43BDE" w14:textId="77777777" w:rsidR="007960A8" w:rsidRDefault="00A26397">
      <w:pPr>
        <w:pBdr>
          <w:top w:val="nil"/>
          <w:left w:val="nil"/>
          <w:bottom w:val="nil"/>
          <w:right w:val="nil"/>
          <w:between w:val="nil"/>
        </w:pBdr>
        <w:spacing w:before="120" w:after="120"/>
        <w:ind w:left="1134"/>
        <w:rPr>
          <w:color w:val="000000"/>
        </w:rPr>
      </w:pPr>
      <w:r>
        <w:rPr>
          <w:color w:val="000000"/>
        </w:rPr>
        <w:t xml:space="preserve">the </w:t>
      </w:r>
      <w:r>
        <w:rPr>
          <w:i/>
          <w:iCs/>
          <w:color w:val="000000"/>
        </w:rPr>
        <w:t>Client</w:t>
      </w:r>
      <w:r>
        <w:rPr>
          <w:color w:val="000000"/>
        </w:rPr>
        <w:t xml:space="preserve"> shall advise the Replacement Service Provider and/or Replacement Subcontractor (as appropriate) that it </w:t>
      </w:r>
      <w:r>
        <w:rPr>
          <w:color w:val="000000"/>
        </w:rPr>
        <w:t>may within 5 Working Days give notice to terminate the employment or alleged employment of such person.</w:t>
      </w:r>
    </w:p>
    <w:p w14:paraId="7939AA42"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Subject to the Replacement Service Provider's and/or Replacement Subcontractor acting in accordance with the provisions of Paragraphs 2.5 to 2.7 and in </w:t>
      </w:r>
      <w:r>
        <w:rPr>
          <w:color w:val="000000"/>
        </w:rPr>
        <w:t xml:space="preserve">accordance with all applicable proper employment procedures set out in </w:t>
      </w:r>
      <w:r>
        <w:rPr>
          <w:i/>
          <w:iCs/>
          <w:color w:val="000000"/>
        </w:rPr>
        <w:t>applicable law</w:t>
      </w:r>
      <w:r>
        <w:rPr>
          <w:color w:val="000000"/>
        </w:rPr>
        <w:t xml:space="preserve"> and subject to Paragraph 2.9 below, the </w:t>
      </w:r>
      <w:r>
        <w:rPr>
          <w:i/>
          <w:iCs/>
          <w:color w:val="000000"/>
        </w:rPr>
        <w:t>Service Provider</w:t>
      </w:r>
      <w:r>
        <w:rPr>
          <w:color w:val="000000"/>
        </w:rPr>
        <w:t xml:space="preserve"> will indemnify the Replacement Service Provider and/or Replacement Subcontractor against all Employee Liabilities</w:t>
      </w:r>
      <w:r>
        <w:rPr>
          <w:color w:val="000000"/>
        </w:rPr>
        <w:t xml:space="preserve"> arising out of the termination of the employment of any of the </w:t>
      </w:r>
      <w:r>
        <w:rPr>
          <w:i/>
          <w:iCs/>
          <w:color w:val="000000"/>
        </w:rPr>
        <w:t>Service Provider’s</w:t>
      </w:r>
      <w:r>
        <w:rPr>
          <w:color w:val="000000"/>
        </w:rPr>
        <w:t xml:space="preserve"> employees pursuant to the provisions of Paragraph 2.7 provided that the Replacement Service Provider takes, or shall procure that the Replacement Subcontractor takes, all re</w:t>
      </w:r>
      <w:r>
        <w:rPr>
          <w:color w:val="000000"/>
        </w:rPr>
        <w:t xml:space="preserve">asonable steps to minimise any such Employee Liabilities. </w:t>
      </w:r>
    </w:p>
    <w:p w14:paraId="3445947F"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bookmarkStart w:id="89" w:name="_heading=h.3hv69ve" w:colFirst="0" w:colLast="0"/>
      <w:bookmarkEnd w:id="89"/>
      <w:r>
        <w:rPr>
          <w:color w:val="000000"/>
        </w:rPr>
        <w:t xml:space="preserve">The indemnity in Paragraph 2.8: </w:t>
      </w:r>
    </w:p>
    <w:p w14:paraId="6C5EA2FA"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shall not apply to:</w:t>
      </w:r>
    </w:p>
    <w:p w14:paraId="059F3EAB" w14:textId="77777777" w:rsidR="007960A8" w:rsidRDefault="00A26397">
      <w:pPr>
        <w:widowControl/>
        <w:numPr>
          <w:ilvl w:val="3"/>
          <w:numId w:val="80"/>
        </w:numPr>
        <w:pBdr>
          <w:top w:val="nil"/>
          <w:left w:val="nil"/>
          <w:bottom w:val="nil"/>
          <w:right w:val="nil"/>
          <w:between w:val="nil"/>
        </w:pBdr>
        <w:spacing w:before="120" w:after="120"/>
        <w:ind w:left="2835" w:hanging="850"/>
        <w:rPr>
          <w:color w:val="000000"/>
        </w:rPr>
      </w:pPr>
      <w:r>
        <w:rPr>
          <w:color w:val="000000"/>
        </w:rPr>
        <w:t xml:space="preserve">any claim for: </w:t>
      </w:r>
    </w:p>
    <w:p w14:paraId="4933E4B0" w14:textId="77777777" w:rsidR="007960A8" w:rsidRDefault="00A26397">
      <w:pPr>
        <w:widowControl/>
        <w:numPr>
          <w:ilvl w:val="5"/>
          <w:numId w:val="80"/>
        </w:numPr>
        <w:pBdr>
          <w:top w:val="nil"/>
          <w:left w:val="nil"/>
          <w:bottom w:val="nil"/>
          <w:right w:val="nil"/>
          <w:between w:val="nil"/>
        </w:pBdr>
        <w:spacing w:before="120" w:after="120"/>
        <w:ind w:left="3686" w:hanging="851"/>
        <w:rPr>
          <w:color w:val="000000"/>
        </w:rPr>
      </w:pPr>
      <w:r>
        <w:rPr>
          <w:color w:val="000000"/>
        </w:rPr>
        <w:t>any contravention of the Equality Act 2010 (or predecessor/successor legislation); or</w:t>
      </w:r>
    </w:p>
    <w:p w14:paraId="66D9011D" w14:textId="77777777" w:rsidR="007960A8" w:rsidRDefault="00A26397">
      <w:pPr>
        <w:widowControl/>
        <w:numPr>
          <w:ilvl w:val="5"/>
          <w:numId w:val="80"/>
        </w:numPr>
        <w:pBdr>
          <w:top w:val="nil"/>
          <w:left w:val="nil"/>
          <w:bottom w:val="nil"/>
          <w:right w:val="nil"/>
          <w:between w:val="nil"/>
        </w:pBdr>
        <w:spacing w:before="120" w:after="120"/>
        <w:ind w:left="3686" w:hanging="851"/>
        <w:rPr>
          <w:color w:val="000000"/>
        </w:rPr>
      </w:pPr>
      <w:r>
        <w:rPr>
          <w:color w:val="000000"/>
        </w:rPr>
        <w:t xml:space="preserve">equal pay or compensation for less favourable treatment of part-time workers or fixed-term employees, </w:t>
      </w:r>
    </w:p>
    <w:p w14:paraId="2E0C92D3" w14:textId="77777777" w:rsidR="007960A8" w:rsidRDefault="00A26397">
      <w:pPr>
        <w:pBdr>
          <w:top w:val="nil"/>
          <w:left w:val="nil"/>
          <w:bottom w:val="nil"/>
          <w:right w:val="nil"/>
          <w:between w:val="nil"/>
        </w:pBdr>
        <w:spacing w:before="120" w:after="120"/>
        <w:ind w:left="2880"/>
        <w:rPr>
          <w:color w:val="000000"/>
        </w:rPr>
      </w:pPr>
      <w:r>
        <w:rPr>
          <w:color w:val="000000"/>
        </w:rPr>
        <w:t>arising as a result of any alleged act or omission of the Replacement Service Provider and/or Replacement Subcontractor, or</w:t>
      </w:r>
    </w:p>
    <w:p w14:paraId="33696199" w14:textId="77777777" w:rsidR="007960A8" w:rsidRDefault="00A26397">
      <w:pPr>
        <w:widowControl/>
        <w:numPr>
          <w:ilvl w:val="3"/>
          <w:numId w:val="80"/>
        </w:numPr>
        <w:pBdr>
          <w:top w:val="nil"/>
          <w:left w:val="nil"/>
          <w:bottom w:val="nil"/>
          <w:right w:val="nil"/>
          <w:between w:val="nil"/>
        </w:pBdr>
        <w:spacing w:before="120" w:after="120"/>
        <w:ind w:left="2835" w:hanging="850"/>
        <w:rPr>
          <w:color w:val="000000"/>
        </w:rPr>
      </w:pPr>
      <w:r>
        <w:rPr>
          <w:color w:val="000000"/>
        </w:rPr>
        <w:t>any claim that the termination of employment was unfair because the Replacement Service Provider and/or Replacement Subcontractor ne</w:t>
      </w:r>
      <w:r>
        <w:rPr>
          <w:color w:val="000000"/>
        </w:rPr>
        <w:t xml:space="preserve">glected to follow a fair dismissal procedure; and </w:t>
      </w:r>
    </w:p>
    <w:p w14:paraId="6CD20638"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bookmarkStart w:id="90" w:name="_heading=h.1x0gk37" w:colFirst="0" w:colLast="0"/>
      <w:bookmarkEnd w:id="90"/>
      <w:r>
        <w:rPr>
          <w:color w:val="000000"/>
        </w:rPr>
        <w:t xml:space="preserve">shall apply only where the notification referred to in Paragraph 2.5.1 is made by the Replacement Service Provider and/or Replacement Subcontractor to the </w:t>
      </w:r>
      <w:r>
        <w:rPr>
          <w:i/>
          <w:iCs/>
          <w:color w:val="000000"/>
        </w:rPr>
        <w:t>Service Provider</w:t>
      </w:r>
      <w:r>
        <w:rPr>
          <w:color w:val="000000"/>
        </w:rPr>
        <w:t xml:space="preserve"> within 6 months of the Service Tr</w:t>
      </w:r>
      <w:r>
        <w:rPr>
          <w:color w:val="000000"/>
        </w:rPr>
        <w:t>ansfer Date.</w:t>
      </w:r>
    </w:p>
    <w:p w14:paraId="504571CD"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If any such person as is described in Paragraph 2.5 is neither re-employed by the </w:t>
      </w:r>
      <w:r>
        <w:rPr>
          <w:i/>
          <w:iCs/>
          <w:color w:val="000000"/>
        </w:rPr>
        <w:t>Service Provider</w:t>
      </w:r>
      <w:r>
        <w:rPr>
          <w:color w:val="000000"/>
        </w:rPr>
        <w:t xml:space="preserve"> or any Subcontractor nor dismissed by the Replacement Service Provider and/or Replacement Subcontractor within the time scales set out in Paragraphs 2.5 to 2.7, such person shall be treated as a Transferring Service Provider Employee.</w:t>
      </w:r>
    </w:p>
    <w:p w14:paraId="132BAF33"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r>
        <w:rPr>
          <w:color w:val="000000"/>
        </w:rPr>
        <w:t xml:space="preserve">The </w:t>
      </w:r>
      <w:r>
        <w:rPr>
          <w:i/>
          <w:iCs/>
          <w:color w:val="000000"/>
        </w:rPr>
        <w:t>Service Provider</w:t>
      </w:r>
      <w:r>
        <w:rPr>
          <w:color w:val="000000"/>
        </w:rPr>
        <w:t xml:space="preserve"> shall comply, and shall procure that each Subcontractor shall comply, with all its obligations under the Employment Regulations and shall perform and discharge, and shall procure that each Subcontractor shall perform and discharge, all its obligations in </w:t>
      </w:r>
      <w:r>
        <w:rPr>
          <w:color w:val="000000"/>
        </w:rPr>
        <w:t>respect of any person identified in the Final Service Provider Staff List before and on the Service Transfer Date (including the payment of all remuneration, benefits, entitlements and outgoings, all wages, accrued but untaken holiday pay, bonuses, commiss</w:t>
      </w:r>
      <w:r>
        <w:rPr>
          <w:color w:val="000000"/>
        </w:rPr>
        <w:t>ions, payments of PAYE, national insurance contributions and pension contributions and such sums due as a result of any Fair Deal Employees' participation in the Schemes and any requirement to set up a broadly comparable pension scheme which in any case ar</w:t>
      </w:r>
      <w:r>
        <w:rPr>
          <w:color w:val="000000"/>
        </w:rPr>
        <w:t>e attributable in whole or in part in respect of the period up to (and including) the Service Transfer Date) and any necessary apportionments in respect of any periodic payments shall be made between:</w:t>
      </w:r>
    </w:p>
    <w:p w14:paraId="0DECF652"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t xml:space="preserve">the </w:t>
      </w:r>
      <w:r>
        <w:rPr>
          <w:i/>
          <w:iCs/>
        </w:rPr>
        <w:t>Service Provider</w:t>
      </w:r>
      <w:r>
        <w:t xml:space="preserve"> and/or any Subcontractor; and</w:t>
      </w:r>
    </w:p>
    <w:p w14:paraId="56B26381"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t>the Replacement Service Provider and/or the Replacement Subcontractor.</w:t>
      </w:r>
    </w:p>
    <w:p w14:paraId="14A04327"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bookmarkStart w:id="91" w:name="_heading=h.4h042r0" w:colFirst="0" w:colLast="0"/>
      <w:bookmarkEnd w:id="91"/>
      <w:r>
        <w:rPr>
          <w:color w:val="000000"/>
        </w:rPr>
        <w:t xml:space="preserve">The </w:t>
      </w:r>
      <w:r>
        <w:rPr>
          <w:i/>
          <w:iCs/>
          <w:color w:val="000000"/>
        </w:rPr>
        <w:t>Service Provider</w:t>
      </w:r>
      <w:r>
        <w:rPr>
          <w:color w:val="000000"/>
        </w:rPr>
        <w:t xml:space="preserve"> shall, and shall procure that each Subcontractor shall, promptly provide the </w:t>
      </w:r>
      <w:r>
        <w:rPr>
          <w:i/>
          <w:iCs/>
          <w:color w:val="000000"/>
        </w:rPr>
        <w:t>Client</w:t>
      </w:r>
      <w:r>
        <w:rPr>
          <w:color w:val="000000"/>
        </w:rPr>
        <w:t xml:space="preserve"> and any Replacement Service Provider and/or Replacement Subcontractor, in writin</w:t>
      </w:r>
      <w:r>
        <w:rPr>
          <w:color w:val="000000"/>
        </w:rPr>
        <w:t xml:space="preserve">g such information as is necessary to enable the </w:t>
      </w:r>
      <w:r>
        <w:rPr>
          <w:i/>
          <w:iCs/>
          <w:color w:val="000000"/>
        </w:rPr>
        <w:t>Client</w:t>
      </w:r>
      <w:r>
        <w:rPr>
          <w:color w:val="000000"/>
        </w:rPr>
        <w:t xml:space="preserve">, the Replacement Service Provider and/or Replacement Subcontractor to carry out their respective duties under regulation 13 of the Employment Regulations. The </w:t>
      </w:r>
      <w:r>
        <w:rPr>
          <w:i/>
          <w:iCs/>
          <w:color w:val="000000"/>
        </w:rPr>
        <w:t>Client</w:t>
      </w:r>
      <w:r>
        <w:rPr>
          <w:color w:val="000000"/>
        </w:rPr>
        <w:t xml:space="preserve"> shall procure that the Replacement</w:t>
      </w:r>
      <w:r>
        <w:rPr>
          <w:color w:val="000000"/>
        </w:rPr>
        <w:t xml:space="preserve"> Service Provider and/or Replacement Subcontractor, shall promptly provide to the Service Provider and each Subcontractor in writing such information as is necessary to enable the </w:t>
      </w:r>
      <w:r>
        <w:rPr>
          <w:i/>
          <w:iCs/>
          <w:color w:val="000000"/>
        </w:rPr>
        <w:t>Service Provider</w:t>
      </w:r>
      <w:r>
        <w:rPr>
          <w:color w:val="000000"/>
        </w:rPr>
        <w:t xml:space="preserve"> and each Subcontractor to carry out their respective duties</w:t>
      </w:r>
      <w:r>
        <w:rPr>
          <w:color w:val="000000"/>
        </w:rPr>
        <w:t xml:space="preserve"> under regulation 13 of the Employment Regulations.</w:t>
      </w:r>
    </w:p>
    <w:p w14:paraId="633CE93C" w14:textId="77777777" w:rsidR="007960A8" w:rsidRDefault="00A26397">
      <w:pPr>
        <w:widowControl/>
        <w:numPr>
          <w:ilvl w:val="1"/>
          <w:numId w:val="80"/>
        </w:numPr>
        <w:pBdr>
          <w:top w:val="nil"/>
          <w:left w:val="nil"/>
          <w:bottom w:val="nil"/>
          <w:right w:val="nil"/>
          <w:between w:val="nil"/>
        </w:pBdr>
        <w:spacing w:before="120" w:after="120"/>
        <w:ind w:left="1134" w:hanging="708"/>
        <w:rPr>
          <w:color w:val="000000"/>
        </w:rPr>
      </w:pPr>
      <w:bookmarkStart w:id="92" w:name="_heading=h.2w5ecyt" w:colFirst="0" w:colLast="0"/>
      <w:bookmarkEnd w:id="92"/>
      <w:r>
        <w:rPr>
          <w:color w:val="000000"/>
        </w:rPr>
        <w:t xml:space="preserve">Subject to Paragraph 2.14, the </w:t>
      </w:r>
      <w:r>
        <w:rPr>
          <w:i/>
          <w:iCs/>
          <w:color w:val="000000"/>
        </w:rPr>
        <w:t>Client</w:t>
      </w:r>
      <w:r>
        <w:rPr>
          <w:color w:val="000000"/>
        </w:rPr>
        <w:t xml:space="preserve"> shall procure that the Replacement Service Provider indemnifies the </w:t>
      </w:r>
      <w:r>
        <w:rPr>
          <w:i/>
          <w:iCs/>
          <w:color w:val="000000"/>
        </w:rPr>
        <w:t>Service Provider</w:t>
      </w:r>
      <w:r>
        <w:rPr>
          <w:color w:val="000000"/>
        </w:rPr>
        <w:t xml:space="preserve"> on its own behalf and on behalf of any Replacement Subcontractor and its Subcontr</w:t>
      </w:r>
      <w:r>
        <w:rPr>
          <w:color w:val="000000"/>
        </w:rPr>
        <w:t>actors against any Employee Liabilities arising from or as a result of:</w:t>
      </w:r>
    </w:p>
    <w:p w14:paraId="32CC9A3C"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act or omission of the Replacement Service Provider and/or Replacement Subcontractor in respect of any Transferring Service Provider Employee in the Final Service Provider Staff Li</w:t>
      </w:r>
      <w:r>
        <w:rPr>
          <w:color w:val="000000"/>
        </w:rPr>
        <w:t xml:space="preserve">st or any appropriate employee representative (as defined in the Employment Regulations) of any such Transferring Service Provider Employee; </w:t>
      </w:r>
    </w:p>
    <w:p w14:paraId="6E45B7CD"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the breach or non-observance by the Replacement Service Provider and/or Replacement Subcontractor on or after the </w:t>
      </w:r>
      <w:r>
        <w:rPr>
          <w:color w:val="000000"/>
        </w:rPr>
        <w:t xml:space="preserve">Service Transfer Date of: </w:t>
      </w:r>
    </w:p>
    <w:p w14:paraId="03A922AC" w14:textId="77777777" w:rsidR="007960A8" w:rsidRDefault="00A26397">
      <w:pPr>
        <w:pStyle w:val="Heading5"/>
        <w:numPr>
          <w:ilvl w:val="4"/>
          <w:numId w:val="89"/>
        </w:numPr>
        <w:spacing w:before="120" w:after="120"/>
        <w:ind w:left="2835" w:hanging="850"/>
        <w:jc w:val="left"/>
        <w:rPr>
          <w:rFonts w:ascii="Arial" w:eastAsia="Arial" w:hAnsi="Arial" w:cs="Arial"/>
          <w:sz w:val="22"/>
          <w:szCs w:val="22"/>
        </w:rPr>
      </w:pPr>
      <w:r>
        <w:rPr>
          <w:rFonts w:ascii="Arial" w:eastAsia="Arial" w:hAnsi="Arial" w:cs="Arial"/>
          <w:sz w:val="22"/>
          <w:szCs w:val="22"/>
        </w:rPr>
        <w:t xml:space="preserve">any collective agreement applicable to the Transferring Service Provider Employees identified in the Final Service Provider Staff List; and/or </w:t>
      </w:r>
    </w:p>
    <w:p w14:paraId="0AA3C2E1" w14:textId="77777777" w:rsidR="007960A8" w:rsidRDefault="00A26397">
      <w:pPr>
        <w:pStyle w:val="Heading5"/>
        <w:numPr>
          <w:ilvl w:val="4"/>
          <w:numId w:val="89"/>
        </w:numPr>
        <w:spacing w:before="120" w:after="120"/>
        <w:ind w:left="2835" w:hanging="850"/>
        <w:jc w:val="left"/>
        <w:rPr>
          <w:rFonts w:ascii="Arial" w:eastAsia="Arial" w:hAnsi="Arial" w:cs="Arial"/>
          <w:sz w:val="22"/>
          <w:szCs w:val="22"/>
        </w:rPr>
      </w:pPr>
      <w:r>
        <w:rPr>
          <w:rFonts w:ascii="Arial" w:eastAsia="Arial" w:hAnsi="Arial" w:cs="Arial"/>
          <w:sz w:val="22"/>
          <w:szCs w:val="22"/>
        </w:rPr>
        <w:t>any custom or practice in respect of any Transferring Service Provider Employees iden</w:t>
      </w:r>
      <w:r>
        <w:rPr>
          <w:rFonts w:ascii="Arial" w:eastAsia="Arial" w:hAnsi="Arial" w:cs="Arial"/>
          <w:sz w:val="22"/>
          <w:szCs w:val="22"/>
        </w:rPr>
        <w:t>tified in the Final Service Provider Staff List which the Replacement Service Provider and/or Replacement Subcontractor is contractually bound to honour;</w:t>
      </w:r>
    </w:p>
    <w:p w14:paraId="4777F386"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claim by any trade union or other body or person representing any Transferring Service Provider Em</w:t>
      </w:r>
      <w:r>
        <w:rPr>
          <w:color w:val="000000"/>
        </w:rPr>
        <w:t>ployees identified in the Final Service Provider Staff List arising from or connected with any failure by the Replacement Service Provider and/or Replacement Subcontractor to comply with any legal obligation to such trade union, body or person arising on o</w:t>
      </w:r>
      <w:r>
        <w:rPr>
          <w:color w:val="000000"/>
        </w:rPr>
        <w:t>r after the Service Transfer Date;</w:t>
      </w:r>
    </w:p>
    <w:p w14:paraId="5FC647F3"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proposal by the Replacement Service Provider and/or Replacement Subcontractor to change the terms and conditions of employment or working conditions of any Transferring Service Provider Employees identified in the Fin</w:t>
      </w:r>
      <w:r>
        <w:rPr>
          <w:color w:val="000000"/>
        </w:rPr>
        <w:t>al Service Provider Staff List on or after their transfer to the Replacement Service Provider or Replacement Subcontractor (as the case may be) on the Service Transfer Date, or to change the terms and conditions of employment or working conditions of any p</w:t>
      </w:r>
      <w:r>
        <w:rPr>
          <w:color w:val="000000"/>
        </w:rPr>
        <w:t>erson identified in the Final Service Provider Staff List who would have been a Transferring Service Provider Employee but for their resignation (or decision to treat their employment as terminated under regulation 4(9) of the Employment Regulations or oth</w:t>
      </w:r>
      <w:r>
        <w:rPr>
          <w:color w:val="000000"/>
        </w:rPr>
        <w:t xml:space="preserve">erwise) before the Service Transfer Date as a result of or for a reason connected to such proposed changes; </w:t>
      </w:r>
    </w:p>
    <w:p w14:paraId="54C3212C"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statement communicated to or action undertaken by the Replacement Service Provider or Replacement Subcontractor to, or in respect of, any Trans</w:t>
      </w:r>
      <w:r>
        <w:rPr>
          <w:color w:val="000000"/>
        </w:rPr>
        <w:t xml:space="preserve">ferring Service Provider Employee identified in the Final Service Provider Staff List on or before the Service Transfer Date regarding the Relevant Transfer which has not been agreed in advance with the </w:t>
      </w:r>
      <w:r>
        <w:rPr>
          <w:i/>
          <w:iCs/>
          <w:color w:val="000000"/>
        </w:rPr>
        <w:t>Service Provider</w:t>
      </w:r>
      <w:r>
        <w:rPr>
          <w:color w:val="000000"/>
        </w:rPr>
        <w:t xml:space="preserve"> in writing;</w:t>
      </w:r>
    </w:p>
    <w:p w14:paraId="5CDC8467"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any proceeding, claim or demand by HMRC or other statutory authority in respect of any financial obligation including, but not limited to, PAYE and primary and secondary national insurance contributions:</w:t>
      </w:r>
    </w:p>
    <w:p w14:paraId="12D04115" w14:textId="77777777" w:rsidR="007960A8" w:rsidRDefault="00A26397">
      <w:pPr>
        <w:pStyle w:val="Heading5"/>
        <w:numPr>
          <w:ilvl w:val="4"/>
          <w:numId w:val="79"/>
        </w:numPr>
        <w:spacing w:before="120" w:after="120"/>
        <w:ind w:left="2835" w:hanging="850"/>
        <w:jc w:val="left"/>
        <w:rPr>
          <w:rFonts w:ascii="Arial" w:eastAsia="Arial" w:hAnsi="Arial" w:cs="Arial"/>
          <w:sz w:val="22"/>
          <w:szCs w:val="22"/>
        </w:rPr>
      </w:pPr>
      <w:r>
        <w:rPr>
          <w:rFonts w:ascii="Arial" w:eastAsia="Arial" w:hAnsi="Arial" w:cs="Arial"/>
          <w:sz w:val="22"/>
          <w:szCs w:val="22"/>
        </w:rPr>
        <w:t xml:space="preserve">in relation to any Transferring </w:t>
      </w:r>
      <w:r>
        <w:rPr>
          <w:rFonts w:ascii="Arial" w:eastAsia="Arial" w:hAnsi="Arial" w:cs="Arial"/>
          <w:sz w:val="22"/>
          <w:szCs w:val="22"/>
        </w:rPr>
        <w:t>Service Provider</w:t>
      </w:r>
      <w:r>
        <w:rPr>
          <w:rFonts w:ascii="Arial" w:eastAsia="Arial" w:hAnsi="Arial" w:cs="Arial"/>
          <w:sz w:val="22"/>
          <w:szCs w:val="22"/>
        </w:rPr>
        <w:t xml:space="preserve"> Emp</w:t>
      </w:r>
      <w:r>
        <w:rPr>
          <w:rFonts w:ascii="Arial" w:eastAsia="Arial" w:hAnsi="Arial" w:cs="Arial"/>
          <w:sz w:val="22"/>
          <w:szCs w:val="22"/>
        </w:rPr>
        <w:t xml:space="preserve">loyee identified in the Final </w:t>
      </w:r>
      <w:r>
        <w:rPr>
          <w:rFonts w:ascii="Arial" w:eastAsia="Arial" w:hAnsi="Arial" w:cs="Arial"/>
          <w:sz w:val="22"/>
          <w:szCs w:val="22"/>
        </w:rPr>
        <w:t>Service Provider</w:t>
      </w:r>
      <w:r>
        <w:rPr>
          <w:rFonts w:ascii="Arial" w:eastAsia="Arial" w:hAnsi="Arial" w:cs="Arial"/>
          <w:sz w:val="22"/>
          <w:szCs w:val="22"/>
        </w:rPr>
        <w:t xml:space="preserve"> Staff List, to the extent that the proceeding, claim or demand by HMRC or other statutory authority relates to financial obligations arising after the Service Transfer Date; and</w:t>
      </w:r>
    </w:p>
    <w:p w14:paraId="5A5D780D" w14:textId="77777777" w:rsidR="007960A8" w:rsidRDefault="00A26397">
      <w:pPr>
        <w:pStyle w:val="Heading5"/>
        <w:numPr>
          <w:ilvl w:val="4"/>
          <w:numId w:val="79"/>
        </w:numPr>
        <w:spacing w:before="120" w:after="120"/>
        <w:ind w:left="2835" w:hanging="850"/>
        <w:jc w:val="left"/>
        <w:rPr>
          <w:rFonts w:ascii="Arial" w:eastAsia="Arial" w:hAnsi="Arial" w:cs="Arial"/>
          <w:sz w:val="22"/>
          <w:szCs w:val="22"/>
        </w:rPr>
      </w:pPr>
      <w:r>
        <w:rPr>
          <w:rFonts w:ascii="Arial" w:eastAsia="Arial" w:hAnsi="Arial" w:cs="Arial"/>
          <w:sz w:val="22"/>
          <w:szCs w:val="22"/>
        </w:rPr>
        <w:t>in relation to any employee who</w:t>
      </w:r>
      <w:r>
        <w:rPr>
          <w:rFonts w:ascii="Arial" w:eastAsia="Arial" w:hAnsi="Arial" w:cs="Arial"/>
          <w:sz w:val="22"/>
          <w:szCs w:val="22"/>
        </w:rPr>
        <w:t xml:space="preserve"> is not a Transferring </w:t>
      </w:r>
      <w:r>
        <w:rPr>
          <w:rFonts w:ascii="Arial" w:eastAsia="Arial" w:hAnsi="Arial" w:cs="Arial"/>
          <w:sz w:val="22"/>
          <w:szCs w:val="22"/>
        </w:rPr>
        <w:t>Service Provider</w:t>
      </w:r>
      <w:r>
        <w:rPr>
          <w:rFonts w:ascii="Arial" w:eastAsia="Arial" w:hAnsi="Arial" w:cs="Arial"/>
          <w:sz w:val="22"/>
          <w:szCs w:val="22"/>
        </w:rPr>
        <w:t xml:space="preserve"> Employee identified in the Final </w:t>
      </w:r>
      <w:r>
        <w:rPr>
          <w:rFonts w:ascii="Arial" w:eastAsia="Arial" w:hAnsi="Arial" w:cs="Arial"/>
          <w:sz w:val="22"/>
          <w:szCs w:val="22"/>
        </w:rPr>
        <w:t>Service Provider</w:t>
      </w:r>
      <w:r>
        <w:rPr>
          <w:rFonts w:ascii="Arial" w:eastAsia="Arial" w:hAnsi="Arial" w:cs="Arial"/>
          <w:sz w:val="22"/>
          <w:szCs w:val="22"/>
        </w:rPr>
        <w:t xml:space="preserve"> Staff List, and in respect of whom it is later alleged or determined that the Employment Regulations applied so as to transfer his/her employment from the </w:t>
      </w:r>
      <w:r>
        <w:rPr>
          <w:rFonts w:ascii="Arial" w:eastAsia="Arial" w:hAnsi="Arial" w:cs="Arial"/>
          <w:i/>
          <w:iCs/>
          <w:sz w:val="22"/>
          <w:szCs w:val="22"/>
        </w:rPr>
        <w:t>Service Pro</w:t>
      </w:r>
      <w:r>
        <w:rPr>
          <w:rFonts w:ascii="Arial" w:eastAsia="Arial" w:hAnsi="Arial" w:cs="Arial"/>
          <w:i/>
          <w:iCs/>
          <w:sz w:val="22"/>
          <w:szCs w:val="22"/>
        </w:rPr>
        <w:t>vider</w:t>
      </w:r>
      <w:r>
        <w:rPr>
          <w:rFonts w:ascii="Arial" w:eastAsia="Arial" w:hAnsi="Arial" w:cs="Arial"/>
          <w:sz w:val="22"/>
          <w:szCs w:val="22"/>
        </w:rPr>
        <w:t xml:space="preserve"> or Subcontractor, to the Replacement </w:t>
      </w:r>
      <w:r>
        <w:t>Service Provider</w:t>
      </w:r>
      <w:r>
        <w:rPr>
          <w:rFonts w:ascii="Arial" w:eastAsia="Arial" w:hAnsi="Arial" w:cs="Arial"/>
          <w:sz w:val="22"/>
          <w:szCs w:val="22"/>
        </w:rPr>
        <w:t xml:space="preserve"> or Replacement Subcontractor to the extent that the proceeding, claim or demand by HMRC or other statutory authority relates to financial obligations arising after the Service Transfer Date;</w:t>
      </w:r>
    </w:p>
    <w:p w14:paraId="4ED3781E"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a fai</w:t>
      </w:r>
      <w:r>
        <w:rPr>
          <w:color w:val="000000"/>
        </w:rPr>
        <w:t xml:space="preserve">lure of the Replacement Service Provider or Replacement Subcontractor to discharge or procure the discharge of all wages, salaries and all other benefits and all PAYE tax deductions and national insurance contributions relating to the Transferring Service </w:t>
      </w:r>
      <w:r>
        <w:rPr>
          <w:color w:val="000000"/>
        </w:rPr>
        <w:t>Provider Employees identified in the Final Service Provider Staff List in respect of the period from (and including) the Service Transfer Date; and</w:t>
      </w:r>
    </w:p>
    <w:p w14:paraId="21B3F83C" w14:textId="77777777" w:rsidR="007960A8" w:rsidRDefault="00A26397">
      <w:pPr>
        <w:widowControl/>
        <w:numPr>
          <w:ilvl w:val="2"/>
          <w:numId w:val="80"/>
        </w:numPr>
        <w:pBdr>
          <w:top w:val="nil"/>
          <w:left w:val="nil"/>
          <w:bottom w:val="nil"/>
          <w:right w:val="nil"/>
          <w:between w:val="nil"/>
        </w:pBdr>
        <w:spacing w:before="120" w:after="120"/>
        <w:ind w:left="1985" w:hanging="851"/>
        <w:rPr>
          <w:color w:val="000000"/>
        </w:rPr>
      </w:pPr>
      <w:r>
        <w:rPr>
          <w:color w:val="000000"/>
        </w:rPr>
        <w:t xml:space="preserve">any claim made by or in respect of a Transferring Service Provider Employee identified in the Final Service </w:t>
      </w:r>
      <w:r>
        <w:rPr>
          <w:color w:val="000000"/>
        </w:rPr>
        <w:t>Provider Staff List or any appropriate employee representative (as defined in the Employment Regulations) of any such Transferring Service Provider Employee relating to any act or omission of the Replacement Service Provider or Replacement Subcontractor in</w:t>
      </w:r>
      <w:r>
        <w:rPr>
          <w:color w:val="000000"/>
        </w:rPr>
        <w:t xml:space="preserve"> relation to obligations under regulation 13 of the Employment Regulations.</w:t>
      </w:r>
    </w:p>
    <w:p w14:paraId="1046C767" w14:textId="77777777" w:rsidR="007960A8" w:rsidRDefault="00A26397">
      <w:pPr>
        <w:keepNext/>
        <w:widowControl/>
        <w:numPr>
          <w:ilvl w:val="1"/>
          <w:numId w:val="80"/>
        </w:numPr>
        <w:pBdr>
          <w:top w:val="nil"/>
          <w:left w:val="nil"/>
          <w:bottom w:val="nil"/>
          <w:right w:val="nil"/>
          <w:between w:val="nil"/>
        </w:pBdr>
        <w:spacing w:before="120" w:after="120"/>
        <w:ind w:left="1134" w:hanging="708"/>
        <w:rPr>
          <w:color w:val="000000"/>
        </w:rPr>
      </w:pPr>
      <w:r>
        <w:rPr>
          <w:color w:val="000000"/>
        </w:rPr>
        <w:t>The indemnities in Paragraph 2.13 shall not apply to the extent that the Employee Liabilities arise or are attributable to an act or omission of the Service Provider and/or any Subcontractor (as applicable) whether occurring or having its origin before, on</w:t>
      </w:r>
      <w:r>
        <w:rPr>
          <w:color w:val="000000"/>
        </w:rPr>
        <w:t xml:space="preserve"> or after the Service Transfer Date, including any Employee Liabilities arising from the failure by the </w:t>
      </w:r>
      <w:r>
        <w:rPr>
          <w:i/>
          <w:iCs/>
          <w:color w:val="000000"/>
        </w:rPr>
        <w:t>Service</w:t>
      </w:r>
      <w:r>
        <w:rPr>
          <w:color w:val="000000"/>
        </w:rPr>
        <w:t xml:space="preserve"> </w:t>
      </w:r>
      <w:r>
        <w:rPr>
          <w:i/>
          <w:iCs/>
          <w:color w:val="000000"/>
        </w:rPr>
        <w:t>Provider</w:t>
      </w:r>
      <w:r>
        <w:rPr>
          <w:color w:val="000000"/>
        </w:rPr>
        <w:t xml:space="preserve"> and/or any Subcontractor (as applicable) to comply with its obligations under the Employment Regulations.</w:t>
      </w:r>
    </w:p>
    <w:p w14:paraId="065C7757" w14:textId="77777777" w:rsidR="007960A8" w:rsidRDefault="007960A8">
      <w:pPr>
        <w:keepNext/>
        <w:pBdr>
          <w:top w:val="nil"/>
          <w:left w:val="nil"/>
          <w:bottom w:val="nil"/>
          <w:right w:val="nil"/>
          <w:between w:val="nil"/>
        </w:pBdr>
        <w:spacing w:before="120" w:after="120"/>
        <w:rPr>
          <w:color w:val="000000"/>
        </w:rPr>
        <w:sectPr w:rsidR="007960A8">
          <w:headerReference w:type="even" r:id="rId18"/>
          <w:headerReference w:type="default" r:id="rId19"/>
          <w:footerReference w:type="even" r:id="rId20"/>
          <w:footerReference w:type="default" r:id="rId21"/>
          <w:headerReference w:type="first" r:id="rId22"/>
          <w:footerReference w:type="first" r:id="rId23"/>
          <w:pgSz w:w="11910" w:h="16840"/>
          <w:pgMar w:top="1440" w:right="1440" w:bottom="1440" w:left="1440" w:header="709" w:footer="709" w:gutter="0"/>
          <w:cols w:space="720"/>
        </w:sectPr>
      </w:pPr>
    </w:p>
    <w:p w14:paraId="245AEB92" w14:textId="77777777" w:rsidR="007960A8" w:rsidRDefault="00A26397">
      <w:pPr>
        <w:spacing w:before="120" w:after="120"/>
        <w:rPr>
          <w:b/>
          <w:bCs/>
          <w:sz w:val="36"/>
          <w:szCs w:val="36"/>
        </w:rPr>
      </w:pPr>
      <w:r>
        <w:rPr>
          <w:b/>
          <w:bCs/>
          <w:sz w:val="36"/>
          <w:szCs w:val="36"/>
        </w:rPr>
        <w:t xml:space="preserve">Annex </w:t>
      </w:r>
      <w:bookmarkStart w:id="93" w:name="bookmark=id.p5rawa8tb337" w:colFirst="0" w:colLast="0"/>
      <w:bookmarkEnd w:id="93"/>
      <w:r>
        <w:rPr>
          <w:b/>
          <w:bCs/>
          <w:sz w:val="36"/>
          <w:szCs w:val="36"/>
        </w:rPr>
        <w:t xml:space="preserve">E1: </w:t>
      </w:r>
      <w:bookmarkStart w:id="94" w:name="bookmark=id.vtvns1j4ehg" w:colFirst="0" w:colLast="0"/>
      <w:bookmarkEnd w:id="94"/>
      <w:r>
        <w:rPr>
          <w:b/>
          <w:bCs/>
          <w:sz w:val="36"/>
          <w:szCs w:val="36"/>
        </w:rPr>
        <w:t>List of Notified Subcontractors</w:t>
      </w:r>
    </w:p>
    <w:p w14:paraId="4F0C04E6" w14:textId="77777777" w:rsidR="007960A8" w:rsidRDefault="00A26397">
      <w:pPr>
        <w:spacing w:before="120" w:after="120"/>
        <w:rPr>
          <w:b/>
          <w:bCs/>
        </w:rPr>
      </w:pPr>
      <w:r>
        <w:br w:type="page"/>
      </w:r>
    </w:p>
    <w:p w14:paraId="1B24C2A0" w14:textId="77777777" w:rsidR="007960A8" w:rsidRDefault="007960A8">
      <w:pPr>
        <w:pBdr>
          <w:top w:val="nil"/>
          <w:left w:val="nil"/>
          <w:bottom w:val="nil"/>
          <w:right w:val="nil"/>
          <w:between w:val="nil"/>
        </w:pBdr>
        <w:spacing w:before="120" w:after="120"/>
        <w:rPr>
          <w:b/>
          <w:bCs/>
          <w:color w:val="000000"/>
        </w:rPr>
      </w:pPr>
    </w:p>
    <w:p w14:paraId="6C4B2A25" w14:textId="77777777" w:rsidR="007960A8" w:rsidRDefault="00A26397">
      <w:pPr>
        <w:spacing w:before="120" w:after="120"/>
        <w:rPr>
          <w:b/>
          <w:bCs/>
          <w:sz w:val="36"/>
          <w:szCs w:val="36"/>
        </w:rPr>
      </w:pPr>
      <w:bookmarkStart w:id="95" w:name="_heading=h.1smtxgf" w:colFirst="0" w:colLast="0"/>
      <w:bookmarkEnd w:id="95"/>
      <w:r>
        <w:rPr>
          <w:b/>
          <w:bCs/>
          <w:sz w:val="36"/>
          <w:szCs w:val="36"/>
        </w:rPr>
        <w:t xml:space="preserve">Annex </w:t>
      </w:r>
      <w:bookmarkStart w:id="96" w:name="bookmark=id.o34vxk9dcura" w:colFirst="0" w:colLast="0"/>
      <w:bookmarkEnd w:id="96"/>
      <w:r>
        <w:rPr>
          <w:b/>
          <w:bCs/>
          <w:sz w:val="36"/>
          <w:szCs w:val="36"/>
        </w:rPr>
        <w:t xml:space="preserve">E2: </w:t>
      </w:r>
      <w:bookmarkStart w:id="97" w:name="bookmark=id.hee90n4zvino" w:colFirst="0" w:colLast="0"/>
      <w:bookmarkEnd w:id="97"/>
      <w:r>
        <w:rPr>
          <w:b/>
          <w:bCs/>
          <w:sz w:val="36"/>
          <w:szCs w:val="36"/>
        </w:rPr>
        <w:t>Staffing Information</w:t>
      </w:r>
    </w:p>
    <w:p w14:paraId="1A9CCC39" w14:textId="77777777" w:rsidR="007960A8" w:rsidRDefault="00A26397">
      <w:pPr>
        <w:pBdr>
          <w:top w:val="nil"/>
          <w:left w:val="nil"/>
          <w:bottom w:val="nil"/>
          <w:right w:val="nil"/>
          <w:between w:val="nil"/>
        </w:pBdr>
        <w:spacing w:before="120" w:after="120"/>
        <w:rPr>
          <w:b/>
          <w:bCs/>
          <w:color w:val="000000"/>
        </w:rPr>
      </w:pPr>
      <w:r>
        <w:rPr>
          <w:b/>
          <w:bCs/>
          <w:color w:val="000000"/>
        </w:rPr>
        <w:t>EMPLOYEE INFORMATION (ANONYMISED)</w:t>
      </w:r>
    </w:p>
    <w:p w14:paraId="0C536713" w14:textId="77777777" w:rsidR="007960A8" w:rsidRDefault="00A26397">
      <w:pPr>
        <w:pBdr>
          <w:top w:val="nil"/>
          <w:left w:val="nil"/>
          <w:bottom w:val="nil"/>
          <w:right w:val="nil"/>
          <w:between w:val="nil"/>
        </w:pBdr>
        <w:spacing w:before="120" w:after="120"/>
        <w:rPr>
          <w:color w:val="000000"/>
        </w:rPr>
      </w:pPr>
      <w:r>
        <w:rPr>
          <w:color w:val="000000"/>
        </w:rPr>
        <w:t>Name of Transferor: [</w:t>
      </w:r>
      <w:r>
        <w:rPr>
          <w:b/>
          <w:bCs/>
          <w:color w:val="000000"/>
        </w:rPr>
        <w:t xml:space="preserve">Insert </w:t>
      </w:r>
      <w:r>
        <w:rPr>
          <w:color w:val="000000"/>
        </w:rPr>
        <w:t>name of Transferor]</w:t>
      </w:r>
    </w:p>
    <w:p w14:paraId="76A5F880" w14:textId="77777777" w:rsidR="007960A8" w:rsidRDefault="00A26397">
      <w:pPr>
        <w:pBdr>
          <w:top w:val="nil"/>
          <w:left w:val="nil"/>
          <w:bottom w:val="nil"/>
          <w:right w:val="nil"/>
          <w:between w:val="nil"/>
        </w:pBdr>
        <w:spacing w:before="120" w:after="120"/>
        <w:rPr>
          <w:color w:val="000000"/>
        </w:rPr>
      </w:pPr>
      <w:r>
        <w:rPr>
          <w:color w:val="000000"/>
        </w:rPr>
        <w:t>Number of Employees in-scope to transfer: [      ]</w:t>
      </w:r>
    </w:p>
    <w:p w14:paraId="583B33F8" w14:textId="77777777" w:rsidR="007960A8" w:rsidRDefault="00A26397">
      <w:pPr>
        <w:pBdr>
          <w:top w:val="nil"/>
          <w:left w:val="nil"/>
          <w:bottom w:val="nil"/>
          <w:right w:val="nil"/>
          <w:between w:val="nil"/>
        </w:pBdr>
        <w:spacing w:before="120" w:after="120"/>
        <w:rPr>
          <w:b/>
          <w:bCs/>
          <w:i/>
          <w:iCs/>
          <w:color w:val="000000"/>
          <w:highlight w:val="yellow"/>
        </w:rPr>
      </w:pPr>
      <w:r>
        <w:rPr>
          <w:b/>
          <w:bCs/>
          <w:i/>
          <w:iCs/>
          <w:color w:val="000000"/>
          <w:highlight w:val="yellow"/>
        </w:rPr>
        <w:t>[Guidance notes</w:t>
      </w:r>
    </w:p>
    <w:p w14:paraId="72459977" w14:textId="77777777" w:rsidR="007960A8" w:rsidRDefault="00A26397">
      <w:pPr>
        <w:widowControl/>
        <w:numPr>
          <w:ilvl w:val="0"/>
          <w:numId w:val="88"/>
        </w:numPr>
        <w:pBdr>
          <w:top w:val="nil"/>
          <w:left w:val="nil"/>
          <w:bottom w:val="nil"/>
          <w:right w:val="nil"/>
          <w:between w:val="nil"/>
        </w:pBdr>
        <w:spacing w:before="120" w:after="120"/>
        <w:rPr>
          <w:b/>
          <w:bCs/>
          <w:i/>
          <w:iCs/>
          <w:color w:val="000000"/>
          <w:highlight w:val="yellow"/>
        </w:rPr>
      </w:pPr>
      <w:r>
        <w:rPr>
          <w:b/>
          <w:bCs/>
          <w:i/>
          <w:iCs/>
          <w:color w:val="000000"/>
          <w:highlight w:val="yellow"/>
        </w:rPr>
        <w:t>If you have any Key Subcontractors, please complete all the above information for any staff employed by such Key Subcontractor(s) in a separate spreadsheet.</w:t>
      </w:r>
    </w:p>
    <w:p w14:paraId="731D6B67" w14:textId="77777777" w:rsidR="007960A8" w:rsidRDefault="00A26397">
      <w:pPr>
        <w:widowControl/>
        <w:numPr>
          <w:ilvl w:val="0"/>
          <w:numId w:val="88"/>
        </w:numPr>
        <w:pBdr>
          <w:top w:val="nil"/>
          <w:left w:val="nil"/>
          <w:bottom w:val="nil"/>
          <w:right w:val="nil"/>
          <w:between w:val="nil"/>
        </w:pBdr>
        <w:spacing w:before="120" w:after="120"/>
        <w:rPr>
          <w:b/>
          <w:bCs/>
          <w:i/>
          <w:iCs/>
          <w:color w:val="000000"/>
          <w:highlight w:val="yellow"/>
        </w:rPr>
      </w:pPr>
      <w:r>
        <w:rPr>
          <w:b/>
          <w:bCs/>
          <w:i/>
          <w:iCs/>
          <w:color w:val="000000"/>
          <w:highlight w:val="yellow"/>
        </w:rPr>
        <w:t>This spreadsheet is used to collect information from the current employer (transferor) about employ</w:t>
      </w:r>
      <w:r>
        <w:rPr>
          <w:b/>
          <w:bCs/>
          <w:i/>
          <w:iCs/>
          <w:color w:val="000000"/>
          <w:highlight w:val="yellow"/>
        </w:rPr>
        <w:t>ees performing the relevant services to help plan for a potential TUPE transfer. Some or all of this information may be disclosed to bidders as part of a procurement process. The information should not reveal the employees' identities.</w:t>
      </w:r>
    </w:p>
    <w:p w14:paraId="4AAE5451" w14:textId="77777777" w:rsidR="007960A8" w:rsidRDefault="00A26397">
      <w:pPr>
        <w:widowControl/>
        <w:numPr>
          <w:ilvl w:val="0"/>
          <w:numId w:val="88"/>
        </w:numPr>
        <w:pBdr>
          <w:top w:val="nil"/>
          <w:left w:val="nil"/>
          <w:bottom w:val="nil"/>
          <w:right w:val="nil"/>
          <w:between w:val="nil"/>
        </w:pBdr>
        <w:spacing w:before="120" w:after="120"/>
        <w:sectPr w:rsidR="007960A8">
          <w:headerReference w:type="default" r:id="rId24"/>
          <w:footerReference w:type="default" r:id="rId25"/>
          <w:headerReference w:type="first" r:id="rId26"/>
          <w:footerReference w:type="first" r:id="rId27"/>
          <w:pgSz w:w="11910" w:h="16840"/>
          <w:pgMar w:top="2080" w:right="1220" w:bottom="1200" w:left="1220" w:header="838" w:footer="1000" w:gutter="0"/>
          <w:cols w:space="720"/>
        </w:sectPr>
      </w:pPr>
      <w:r>
        <w:rPr>
          <w:b/>
          <w:bCs/>
          <w:i/>
          <w:iCs/>
          <w:color w:val="000000"/>
          <w:highlight w:val="yellow"/>
        </w:rPr>
        <w:t>If the information cannot be included on this form, attach the additional information, such as relevant policies, and cross reference to the item number and employee number where appropriate.]</w:t>
      </w:r>
    </w:p>
    <w:p w14:paraId="1CE571AF" w14:textId="77777777" w:rsidR="007960A8" w:rsidRDefault="007960A8">
      <w:pPr>
        <w:spacing w:before="120" w:after="120"/>
      </w:pPr>
    </w:p>
    <w:tbl>
      <w:tblPr>
        <w:tblStyle w:val="a8"/>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869"/>
        <w:gridCol w:w="1115"/>
        <w:gridCol w:w="1276"/>
        <w:gridCol w:w="992"/>
        <w:gridCol w:w="4111"/>
        <w:gridCol w:w="1843"/>
        <w:gridCol w:w="3827"/>
      </w:tblGrid>
      <w:tr w:rsidR="007960A8" w14:paraId="22FC3602" w14:textId="77777777">
        <w:tc>
          <w:tcPr>
            <w:tcW w:w="15310" w:type="dxa"/>
            <w:gridSpan w:val="8"/>
            <w:shd w:val="clear" w:color="auto" w:fill="FFFF99"/>
          </w:tcPr>
          <w:p w14:paraId="2946FA47" w14:textId="77777777" w:rsidR="007960A8" w:rsidRDefault="00A26397">
            <w:pPr>
              <w:pBdr>
                <w:top w:val="nil"/>
                <w:left w:val="nil"/>
                <w:bottom w:val="nil"/>
                <w:right w:val="nil"/>
                <w:between w:val="nil"/>
              </w:pBdr>
              <w:spacing w:before="120" w:after="120"/>
              <w:rPr>
                <w:b/>
                <w:bCs/>
              </w:rPr>
            </w:pPr>
            <w:r>
              <w:rPr>
                <w:b/>
                <w:bCs/>
              </w:rPr>
              <w:t>EMPLOYEE DETAILS &amp; KEY TERMS</w:t>
            </w:r>
          </w:p>
        </w:tc>
      </w:tr>
      <w:tr w:rsidR="007960A8" w14:paraId="690D13B4" w14:textId="77777777">
        <w:tc>
          <w:tcPr>
            <w:tcW w:w="1277" w:type="dxa"/>
            <w:shd w:val="clear" w:color="auto" w:fill="CCECFF"/>
            <w:vAlign w:val="center"/>
          </w:tcPr>
          <w:p w14:paraId="40B0B7C1" w14:textId="77777777" w:rsidR="007960A8" w:rsidRDefault="00A26397">
            <w:pPr>
              <w:pBdr>
                <w:top w:val="nil"/>
                <w:left w:val="nil"/>
                <w:bottom w:val="nil"/>
                <w:right w:val="nil"/>
                <w:between w:val="nil"/>
              </w:pBdr>
              <w:spacing w:before="120" w:after="120"/>
              <w:rPr>
                <w:b/>
                <w:bCs/>
              </w:rPr>
            </w:pPr>
            <w:r>
              <w:rPr>
                <w:b/>
                <w:bCs/>
              </w:rPr>
              <w:t>Details</w:t>
            </w:r>
          </w:p>
        </w:tc>
        <w:tc>
          <w:tcPr>
            <w:tcW w:w="869" w:type="dxa"/>
            <w:shd w:val="clear" w:color="auto" w:fill="FFFF99"/>
            <w:vAlign w:val="center"/>
          </w:tcPr>
          <w:p w14:paraId="56863676" w14:textId="77777777" w:rsidR="007960A8" w:rsidRDefault="00A26397">
            <w:pPr>
              <w:pBdr>
                <w:top w:val="nil"/>
                <w:left w:val="nil"/>
                <w:bottom w:val="nil"/>
                <w:right w:val="nil"/>
                <w:between w:val="nil"/>
              </w:pBdr>
              <w:spacing w:before="120" w:after="120"/>
              <w:rPr>
                <w:b/>
                <w:bCs/>
              </w:rPr>
            </w:pPr>
            <w:r>
              <w:rPr>
                <w:b/>
                <w:bCs/>
              </w:rPr>
              <w:t>Job Title</w:t>
            </w:r>
          </w:p>
        </w:tc>
        <w:tc>
          <w:tcPr>
            <w:tcW w:w="1115" w:type="dxa"/>
            <w:shd w:val="clear" w:color="auto" w:fill="FFFF99"/>
            <w:vAlign w:val="center"/>
          </w:tcPr>
          <w:p w14:paraId="75E4346A" w14:textId="77777777" w:rsidR="007960A8" w:rsidRDefault="00A26397">
            <w:pPr>
              <w:pBdr>
                <w:top w:val="nil"/>
                <w:left w:val="nil"/>
                <w:bottom w:val="nil"/>
                <w:right w:val="nil"/>
                <w:between w:val="nil"/>
              </w:pBdr>
              <w:spacing w:before="120" w:after="120"/>
              <w:rPr>
                <w:b/>
                <w:bCs/>
              </w:rPr>
            </w:pPr>
            <w:r>
              <w:rPr>
                <w:b/>
                <w:bCs/>
              </w:rPr>
              <w:t>Grade / band</w:t>
            </w:r>
          </w:p>
        </w:tc>
        <w:tc>
          <w:tcPr>
            <w:tcW w:w="1276" w:type="dxa"/>
            <w:shd w:val="clear" w:color="auto" w:fill="FFFF99"/>
            <w:vAlign w:val="center"/>
          </w:tcPr>
          <w:p w14:paraId="4EBBC7C2" w14:textId="77777777" w:rsidR="007960A8" w:rsidRDefault="00A26397">
            <w:pPr>
              <w:pBdr>
                <w:top w:val="nil"/>
                <w:left w:val="nil"/>
                <w:bottom w:val="nil"/>
                <w:right w:val="nil"/>
                <w:between w:val="nil"/>
              </w:pBdr>
              <w:spacing w:before="120" w:after="120"/>
              <w:rPr>
                <w:b/>
                <w:bCs/>
              </w:rPr>
            </w:pPr>
            <w:r>
              <w:rPr>
                <w:b/>
                <w:bCs/>
              </w:rPr>
              <w:t>W</w:t>
            </w:r>
            <w:r>
              <w:rPr>
                <w:b/>
                <w:bCs/>
              </w:rPr>
              <w:t xml:space="preserve">ork Location </w:t>
            </w:r>
          </w:p>
        </w:tc>
        <w:tc>
          <w:tcPr>
            <w:tcW w:w="992" w:type="dxa"/>
            <w:shd w:val="clear" w:color="auto" w:fill="FFFF99"/>
            <w:vAlign w:val="center"/>
          </w:tcPr>
          <w:p w14:paraId="14EB440E" w14:textId="77777777" w:rsidR="007960A8" w:rsidRDefault="00A26397">
            <w:pPr>
              <w:pBdr>
                <w:top w:val="nil"/>
                <w:left w:val="nil"/>
                <w:bottom w:val="nil"/>
                <w:right w:val="nil"/>
                <w:between w:val="nil"/>
              </w:pBdr>
              <w:spacing w:before="120" w:after="120"/>
              <w:rPr>
                <w:b/>
                <w:bCs/>
              </w:rPr>
            </w:pPr>
            <w:r>
              <w:rPr>
                <w:b/>
                <w:bCs/>
              </w:rPr>
              <w:t>Age</w:t>
            </w:r>
          </w:p>
        </w:tc>
        <w:tc>
          <w:tcPr>
            <w:tcW w:w="4111" w:type="dxa"/>
            <w:shd w:val="clear" w:color="auto" w:fill="FFFF99"/>
            <w:vAlign w:val="center"/>
          </w:tcPr>
          <w:p w14:paraId="209E9A1D" w14:textId="77777777" w:rsidR="007960A8" w:rsidRDefault="00A26397">
            <w:pPr>
              <w:pBdr>
                <w:top w:val="nil"/>
                <w:left w:val="nil"/>
                <w:bottom w:val="nil"/>
                <w:right w:val="nil"/>
                <w:between w:val="nil"/>
              </w:pBdr>
              <w:spacing w:before="120" w:after="120"/>
              <w:rPr>
                <w:b/>
                <w:bCs/>
              </w:rPr>
            </w:pPr>
            <w:r>
              <w:rPr>
                <w:b/>
                <w:bCs/>
              </w:rPr>
              <w:t>Employment status (for example, employee, fixed-term employee, self-employed, agency worker)?</w:t>
            </w:r>
          </w:p>
        </w:tc>
        <w:tc>
          <w:tcPr>
            <w:tcW w:w="1843" w:type="dxa"/>
            <w:shd w:val="clear" w:color="auto" w:fill="FFFF99"/>
            <w:vAlign w:val="center"/>
          </w:tcPr>
          <w:p w14:paraId="7F8B19E1" w14:textId="77777777" w:rsidR="007960A8" w:rsidRDefault="00A26397">
            <w:pPr>
              <w:pBdr>
                <w:top w:val="nil"/>
                <w:left w:val="nil"/>
                <w:bottom w:val="nil"/>
                <w:right w:val="nil"/>
                <w:between w:val="nil"/>
              </w:pBdr>
              <w:spacing w:before="120" w:after="120"/>
              <w:rPr>
                <w:b/>
                <w:bCs/>
              </w:rPr>
            </w:pPr>
            <w:bookmarkStart w:id="98" w:name="_heading=h.4cmhg48" w:colFirst="0" w:colLast="0"/>
            <w:bookmarkEnd w:id="98"/>
            <w:r>
              <w:rPr>
                <w:b/>
                <w:bCs/>
              </w:rPr>
              <w:t>Continuous service date (dd/mm/yy)</w:t>
            </w:r>
          </w:p>
        </w:tc>
        <w:tc>
          <w:tcPr>
            <w:tcW w:w="3827" w:type="dxa"/>
            <w:shd w:val="clear" w:color="auto" w:fill="FFFF99"/>
            <w:vAlign w:val="center"/>
          </w:tcPr>
          <w:p w14:paraId="166CDAA8" w14:textId="77777777" w:rsidR="007960A8" w:rsidRDefault="00A26397">
            <w:pPr>
              <w:pBdr>
                <w:top w:val="nil"/>
                <w:left w:val="nil"/>
                <w:bottom w:val="nil"/>
                <w:right w:val="nil"/>
                <w:between w:val="nil"/>
              </w:pBdr>
              <w:spacing w:before="120" w:after="120"/>
              <w:rPr>
                <w:b/>
                <w:bCs/>
              </w:rPr>
            </w:pPr>
            <w:r>
              <w:rPr>
                <w:b/>
                <w:bCs/>
              </w:rPr>
              <w:t>Date employment started with existing employer</w:t>
            </w:r>
          </w:p>
        </w:tc>
      </w:tr>
      <w:tr w:rsidR="007960A8" w14:paraId="195055C3" w14:textId="77777777">
        <w:tc>
          <w:tcPr>
            <w:tcW w:w="1277" w:type="dxa"/>
            <w:shd w:val="clear" w:color="auto" w:fill="CCECFF"/>
          </w:tcPr>
          <w:p w14:paraId="35B9D4D5" w14:textId="77777777" w:rsidR="007960A8" w:rsidRDefault="00A26397">
            <w:pPr>
              <w:pBdr>
                <w:top w:val="nil"/>
                <w:left w:val="nil"/>
                <w:bottom w:val="nil"/>
                <w:right w:val="nil"/>
                <w:between w:val="nil"/>
              </w:pBdr>
              <w:spacing w:before="120" w:after="120"/>
              <w:rPr>
                <w:b/>
                <w:bCs/>
              </w:rPr>
            </w:pPr>
            <w:r>
              <w:rPr>
                <w:b/>
                <w:bCs/>
              </w:rPr>
              <w:t>Emp No 1</w:t>
            </w:r>
          </w:p>
        </w:tc>
        <w:tc>
          <w:tcPr>
            <w:tcW w:w="869" w:type="dxa"/>
          </w:tcPr>
          <w:p w14:paraId="3526AD32" w14:textId="77777777" w:rsidR="007960A8" w:rsidRDefault="00A26397">
            <w:pPr>
              <w:pBdr>
                <w:top w:val="nil"/>
                <w:left w:val="nil"/>
                <w:bottom w:val="nil"/>
                <w:right w:val="nil"/>
                <w:between w:val="nil"/>
              </w:pBdr>
              <w:spacing w:before="120" w:after="120"/>
            </w:pPr>
            <w:r>
              <w:t xml:space="preserve"> </w:t>
            </w:r>
          </w:p>
        </w:tc>
        <w:tc>
          <w:tcPr>
            <w:tcW w:w="1115" w:type="dxa"/>
          </w:tcPr>
          <w:p w14:paraId="27CF2B63" w14:textId="77777777" w:rsidR="007960A8" w:rsidRDefault="00A26397">
            <w:pPr>
              <w:pBdr>
                <w:top w:val="nil"/>
                <w:left w:val="nil"/>
                <w:bottom w:val="nil"/>
                <w:right w:val="nil"/>
                <w:between w:val="nil"/>
              </w:pBdr>
              <w:spacing w:before="120" w:after="120"/>
            </w:pPr>
            <w:r>
              <w:t xml:space="preserve"> </w:t>
            </w:r>
          </w:p>
        </w:tc>
        <w:tc>
          <w:tcPr>
            <w:tcW w:w="1276" w:type="dxa"/>
          </w:tcPr>
          <w:p w14:paraId="51C02EBC" w14:textId="77777777" w:rsidR="007960A8" w:rsidRDefault="00A26397">
            <w:pPr>
              <w:pBdr>
                <w:top w:val="nil"/>
                <w:left w:val="nil"/>
                <w:bottom w:val="nil"/>
                <w:right w:val="nil"/>
                <w:between w:val="nil"/>
              </w:pBdr>
              <w:spacing w:before="120" w:after="120"/>
            </w:pPr>
            <w:r>
              <w:t xml:space="preserve"> </w:t>
            </w:r>
          </w:p>
        </w:tc>
        <w:tc>
          <w:tcPr>
            <w:tcW w:w="992" w:type="dxa"/>
          </w:tcPr>
          <w:p w14:paraId="54CDBDDC" w14:textId="77777777" w:rsidR="007960A8" w:rsidRDefault="00A26397">
            <w:pPr>
              <w:pBdr>
                <w:top w:val="nil"/>
                <w:left w:val="nil"/>
                <w:bottom w:val="nil"/>
                <w:right w:val="nil"/>
                <w:between w:val="nil"/>
              </w:pBdr>
              <w:spacing w:before="120" w:after="120"/>
            </w:pPr>
            <w:r>
              <w:t xml:space="preserve"> </w:t>
            </w:r>
          </w:p>
        </w:tc>
        <w:tc>
          <w:tcPr>
            <w:tcW w:w="4111" w:type="dxa"/>
          </w:tcPr>
          <w:p w14:paraId="73F97969" w14:textId="77777777" w:rsidR="007960A8" w:rsidRDefault="00A26397">
            <w:pPr>
              <w:pBdr>
                <w:top w:val="nil"/>
                <w:left w:val="nil"/>
                <w:bottom w:val="nil"/>
                <w:right w:val="nil"/>
                <w:between w:val="nil"/>
              </w:pBdr>
              <w:spacing w:before="120" w:after="120"/>
            </w:pPr>
            <w:r>
              <w:t xml:space="preserve"> </w:t>
            </w:r>
          </w:p>
        </w:tc>
        <w:tc>
          <w:tcPr>
            <w:tcW w:w="1843" w:type="dxa"/>
          </w:tcPr>
          <w:p w14:paraId="44B39ED7" w14:textId="77777777" w:rsidR="007960A8" w:rsidRDefault="00A26397">
            <w:pPr>
              <w:pBdr>
                <w:top w:val="nil"/>
                <w:left w:val="nil"/>
                <w:bottom w:val="nil"/>
                <w:right w:val="nil"/>
                <w:between w:val="nil"/>
              </w:pBdr>
              <w:spacing w:before="120" w:after="120"/>
            </w:pPr>
            <w:r>
              <w:t xml:space="preserve"> </w:t>
            </w:r>
          </w:p>
        </w:tc>
        <w:tc>
          <w:tcPr>
            <w:tcW w:w="3827" w:type="dxa"/>
          </w:tcPr>
          <w:p w14:paraId="39E174F3" w14:textId="77777777" w:rsidR="007960A8" w:rsidRDefault="00A26397">
            <w:pPr>
              <w:pBdr>
                <w:top w:val="nil"/>
                <w:left w:val="nil"/>
                <w:bottom w:val="nil"/>
                <w:right w:val="nil"/>
                <w:between w:val="nil"/>
              </w:pBdr>
              <w:spacing w:before="120" w:after="120"/>
            </w:pPr>
            <w:r>
              <w:t xml:space="preserve"> </w:t>
            </w:r>
          </w:p>
        </w:tc>
      </w:tr>
      <w:tr w:rsidR="007960A8" w14:paraId="34A24ADA" w14:textId="77777777">
        <w:tc>
          <w:tcPr>
            <w:tcW w:w="1277" w:type="dxa"/>
            <w:shd w:val="clear" w:color="auto" w:fill="CCECFF"/>
          </w:tcPr>
          <w:p w14:paraId="39F6D841" w14:textId="77777777" w:rsidR="007960A8" w:rsidRDefault="00A26397">
            <w:pPr>
              <w:pBdr>
                <w:top w:val="nil"/>
                <w:left w:val="nil"/>
                <w:bottom w:val="nil"/>
                <w:right w:val="nil"/>
                <w:between w:val="nil"/>
              </w:pBdr>
              <w:spacing w:before="120" w:after="120"/>
              <w:rPr>
                <w:b/>
                <w:bCs/>
              </w:rPr>
            </w:pPr>
            <w:r>
              <w:rPr>
                <w:b/>
                <w:bCs/>
              </w:rPr>
              <w:t>Emp No 2</w:t>
            </w:r>
          </w:p>
        </w:tc>
        <w:tc>
          <w:tcPr>
            <w:tcW w:w="869" w:type="dxa"/>
          </w:tcPr>
          <w:p w14:paraId="4DD31B37" w14:textId="77777777" w:rsidR="007960A8" w:rsidRDefault="007960A8">
            <w:pPr>
              <w:pBdr>
                <w:top w:val="nil"/>
                <w:left w:val="nil"/>
                <w:bottom w:val="nil"/>
                <w:right w:val="nil"/>
                <w:between w:val="nil"/>
              </w:pBdr>
              <w:spacing w:before="120" w:after="120"/>
            </w:pPr>
          </w:p>
        </w:tc>
        <w:tc>
          <w:tcPr>
            <w:tcW w:w="1115" w:type="dxa"/>
          </w:tcPr>
          <w:p w14:paraId="36C7F282" w14:textId="77777777" w:rsidR="007960A8" w:rsidRDefault="007960A8">
            <w:pPr>
              <w:pBdr>
                <w:top w:val="nil"/>
                <w:left w:val="nil"/>
                <w:bottom w:val="nil"/>
                <w:right w:val="nil"/>
                <w:between w:val="nil"/>
              </w:pBdr>
              <w:spacing w:before="120" w:after="120"/>
            </w:pPr>
          </w:p>
        </w:tc>
        <w:tc>
          <w:tcPr>
            <w:tcW w:w="1276" w:type="dxa"/>
          </w:tcPr>
          <w:p w14:paraId="2FAF43CA" w14:textId="77777777" w:rsidR="007960A8" w:rsidRDefault="007960A8">
            <w:pPr>
              <w:pBdr>
                <w:top w:val="nil"/>
                <w:left w:val="nil"/>
                <w:bottom w:val="nil"/>
                <w:right w:val="nil"/>
                <w:between w:val="nil"/>
              </w:pBdr>
              <w:spacing w:before="120" w:after="120"/>
            </w:pPr>
          </w:p>
        </w:tc>
        <w:tc>
          <w:tcPr>
            <w:tcW w:w="992" w:type="dxa"/>
          </w:tcPr>
          <w:p w14:paraId="71C858B3" w14:textId="77777777" w:rsidR="007960A8" w:rsidRDefault="007960A8">
            <w:pPr>
              <w:pBdr>
                <w:top w:val="nil"/>
                <w:left w:val="nil"/>
                <w:bottom w:val="nil"/>
                <w:right w:val="nil"/>
                <w:between w:val="nil"/>
              </w:pBdr>
              <w:spacing w:before="120" w:after="120"/>
            </w:pPr>
          </w:p>
        </w:tc>
        <w:tc>
          <w:tcPr>
            <w:tcW w:w="4111" w:type="dxa"/>
          </w:tcPr>
          <w:p w14:paraId="2DFFAD56" w14:textId="77777777" w:rsidR="007960A8" w:rsidRDefault="007960A8">
            <w:pPr>
              <w:pBdr>
                <w:top w:val="nil"/>
                <w:left w:val="nil"/>
                <w:bottom w:val="nil"/>
                <w:right w:val="nil"/>
                <w:between w:val="nil"/>
              </w:pBdr>
              <w:spacing w:before="120" w:after="120"/>
            </w:pPr>
          </w:p>
        </w:tc>
        <w:tc>
          <w:tcPr>
            <w:tcW w:w="1843" w:type="dxa"/>
          </w:tcPr>
          <w:p w14:paraId="44A97BB5" w14:textId="77777777" w:rsidR="007960A8" w:rsidRDefault="007960A8">
            <w:pPr>
              <w:pBdr>
                <w:top w:val="nil"/>
                <w:left w:val="nil"/>
                <w:bottom w:val="nil"/>
                <w:right w:val="nil"/>
                <w:between w:val="nil"/>
              </w:pBdr>
              <w:spacing w:before="120" w:after="120"/>
            </w:pPr>
          </w:p>
        </w:tc>
        <w:tc>
          <w:tcPr>
            <w:tcW w:w="3827" w:type="dxa"/>
          </w:tcPr>
          <w:p w14:paraId="34FBA2D3" w14:textId="77777777" w:rsidR="007960A8" w:rsidRDefault="007960A8">
            <w:pPr>
              <w:pBdr>
                <w:top w:val="nil"/>
                <w:left w:val="nil"/>
                <w:bottom w:val="nil"/>
                <w:right w:val="nil"/>
                <w:between w:val="nil"/>
              </w:pBdr>
              <w:spacing w:before="120" w:after="120"/>
            </w:pPr>
          </w:p>
        </w:tc>
      </w:tr>
      <w:tr w:rsidR="007960A8" w14:paraId="74274BDF" w14:textId="77777777">
        <w:tc>
          <w:tcPr>
            <w:tcW w:w="1277" w:type="dxa"/>
            <w:shd w:val="clear" w:color="auto" w:fill="CCECFF"/>
          </w:tcPr>
          <w:p w14:paraId="511E4AA3" w14:textId="77777777" w:rsidR="007960A8" w:rsidRDefault="00A26397">
            <w:pPr>
              <w:pBdr>
                <w:top w:val="nil"/>
                <w:left w:val="nil"/>
                <w:bottom w:val="nil"/>
                <w:right w:val="nil"/>
                <w:between w:val="nil"/>
              </w:pBdr>
              <w:spacing w:before="120" w:after="120"/>
              <w:rPr>
                <w:b/>
                <w:bCs/>
              </w:rPr>
            </w:pPr>
            <w:r>
              <w:rPr>
                <w:b/>
                <w:bCs/>
              </w:rPr>
              <w:t>Emp No</w:t>
            </w:r>
          </w:p>
        </w:tc>
        <w:tc>
          <w:tcPr>
            <w:tcW w:w="869" w:type="dxa"/>
          </w:tcPr>
          <w:p w14:paraId="122226F6" w14:textId="77777777" w:rsidR="007960A8" w:rsidRDefault="007960A8">
            <w:pPr>
              <w:pBdr>
                <w:top w:val="nil"/>
                <w:left w:val="nil"/>
                <w:bottom w:val="nil"/>
                <w:right w:val="nil"/>
                <w:between w:val="nil"/>
              </w:pBdr>
              <w:spacing w:before="120" w:after="120"/>
            </w:pPr>
          </w:p>
        </w:tc>
        <w:tc>
          <w:tcPr>
            <w:tcW w:w="1115" w:type="dxa"/>
          </w:tcPr>
          <w:p w14:paraId="433D5361" w14:textId="77777777" w:rsidR="007960A8" w:rsidRDefault="007960A8">
            <w:pPr>
              <w:pBdr>
                <w:top w:val="nil"/>
                <w:left w:val="nil"/>
                <w:bottom w:val="nil"/>
                <w:right w:val="nil"/>
                <w:between w:val="nil"/>
              </w:pBdr>
              <w:spacing w:before="120" w:after="120"/>
            </w:pPr>
          </w:p>
        </w:tc>
        <w:tc>
          <w:tcPr>
            <w:tcW w:w="1276" w:type="dxa"/>
          </w:tcPr>
          <w:p w14:paraId="22B489EE" w14:textId="77777777" w:rsidR="007960A8" w:rsidRDefault="007960A8">
            <w:pPr>
              <w:pBdr>
                <w:top w:val="nil"/>
                <w:left w:val="nil"/>
                <w:bottom w:val="nil"/>
                <w:right w:val="nil"/>
                <w:between w:val="nil"/>
              </w:pBdr>
              <w:spacing w:before="120" w:after="120"/>
            </w:pPr>
          </w:p>
        </w:tc>
        <w:tc>
          <w:tcPr>
            <w:tcW w:w="992" w:type="dxa"/>
          </w:tcPr>
          <w:p w14:paraId="031C3333" w14:textId="77777777" w:rsidR="007960A8" w:rsidRDefault="007960A8">
            <w:pPr>
              <w:pBdr>
                <w:top w:val="nil"/>
                <w:left w:val="nil"/>
                <w:bottom w:val="nil"/>
                <w:right w:val="nil"/>
                <w:between w:val="nil"/>
              </w:pBdr>
              <w:spacing w:before="120" w:after="120"/>
            </w:pPr>
          </w:p>
        </w:tc>
        <w:tc>
          <w:tcPr>
            <w:tcW w:w="4111" w:type="dxa"/>
          </w:tcPr>
          <w:p w14:paraId="6BE4E6CB" w14:textId="77777777" w:rsidR="007960A8" w:rsidRDefault="007960A8">
            <w:pPr>
              <w:pBdr>
                <w:top w:val="nil"/>
                <w:left w:val="nil"/>
                <w:bottom w:val="nil"/>
                <w:right w:val="nil"/>
                <w:between w:val="nil"/>
              </w:pBdr>
              <w:spacing w:before="120" w:after="120"/>
            </w:pPr>
          </w:p>
        </w:tc>
        <w:tc>
          <w:tcPr>
            <w:tcW w:w="1843" w:type="dxa"/>
          </w:tcPr>
          <w:p w14:paraId="4776ED96" w14:textId="77777777" w:rsidR="007960A8" w:rsidRDefault="007960A8">
            <w:pPr>
              <w:pBdr>
                <w:top w:val="nil"/>
                <w:left w:val="nil"/>
                <w:bottom w:val="nil"/>
                <w:right w:val="nil"/>
                <w:between w:val="nil"/>
              </w:pBdr>
              <w:spacing w:before="120" w:after="120"/>
            </w:pPr>
          </w:p>
        </w:tc>
        <w:tc>
          <w:tcPr>
            <w:tcW w:w="3827" w:type="dxa"/>
          </w:tcPr>
          <w:p w14:paraId="38857D5E" w14:textId="77777777" w:rsidR="007960A8" w:rsidRDefault="007960A8">
            <w:pPr>
              <w:pBdr>
                <w:top w:val="nil"/>
                <w:left w:val="nil"/>
                <w:bottom w:val="nil"/>
                <w:right w:val="nil"/>
                <w:between w:val="nil"/>
              </w:pBdr>
              <w:spacing w:before="120" w:after="120"/>
            </w:pPr>
          </w:p>
        </w:tc>
      </w:tr>
      <w:tr w:rsidR="007960A8" w14:paraId="6F98E5F0" w14:textId="77777777">
        <w:tc>
          <w:tcPr>
            <w:tcW w:w="1277" w:type="dxa"/>
            <w:shd w:val="clear" w:color="auto" w:fill="CCECFF"/>
          </w:tcPr>
          <w:p w14:paraId="2296AA37" w14:textId="77777777" w:rsidR="007960A8" w:rsidRDefault="00A26397">
            <w:pPr>
              <w:pBdr>
                <w:top w:val="nil"/>
                <w:left w:val="nil"/>
                <w:bottom w:val="nil"/>
                <w:right w:val="nil"/>
                <w:between w:val="nil"/>
              </w:pBdr>
              <w:spacing w:before="120" w:after="120"/>
              <w:rPr>
                <w:b/>
                <w:bCs/>
              </w:rPr>
            </w:pPr>
            <w:r>
              <w:rPr>
                <w:b/>
                <w:bCs/>
              </w:rPr>
              <w:t>Emp No</w:t>
            </w:r>
          </w:p>
        </w:tc>
        <w:tc>
          <w:tcPr>
            <w:tcW w:w="869" w:type="dxa"/>
          </w:tcPr>
          <w:p w14:paraId="090CD1BB" w14:textId="77777777" w:rsidR="007960A8" w:rsidRDefault="007960A8">
            <w:pPr>
              <w:pBdr>
                <w:top w:val="nil"/>
                <w:left w:val="nil"/>
                <w:bottom w:val="nil"/>
                <w:right w:val="nil"/>
                <w:between w:val="nil"/>
              </w:pBdr>
              <w:spacing w:before="120" w:after="120"/>
            </w:pPr>
          </w:p>
        </w:tc>
        <w:tc>
          <w:tcPr>
            <w:tcW w:w="1115" w:type="dxa"/>
          </w:tcPr>
          <w:p w14:paraId="4BD6ACED" w14:textId="77777777" w:rsidR="007960A8" w:rsidRDefault="007960A8">
            <w:pPr>
              <w:pBdr>
                <w:top w:val="nil"/>
                <w:left w:val="nil"/>
                <w:bottom w:val="nil"/>
                <w:right w:val="nil"/>
                <w:between w:val="nil"/>
              </w:pBdr>
              <w:spacing w:before="120" w:after="120"/>
            </w:pPr>
          </w:p>
        </w:tc>
        <w:tc>
          <w:tcPr>
            <w:tcW w:w="1276" w:type="dxa"/>
          </w:tcPr>
          <w:p w14:paraId="05B4F092" w14:textId="77777777" w:rsidR="007960A8" w:rsidRDefault="007960A8">
            <w:pPr>
              <w:pBdr>
                <w:top w:val="nil"/>
                <w:left w:val="nil"/>
                <w:bottom w:val="nil"/>
                <w:right w:val="nil"/>
                <w:between w:val="nil"/>
              </w:pBdr>
              <w:spacing w:before="120" w:after="120"/>
            </w:pPr>
          </w:p>
        </w:tc>
        <w:tc>
          <w:tcPr>
            <w:tcW w:w="992" w:type="dxa"/>
          </w:tcPr>
          <w:p w14:paraId="097DB6CE" w14:textId="77777777" w:rsidR="007960A8" w:rsidRDefault="007960A8">
            <w:pPr>
              <w:pBdr>
                <w:top w:val="nil"/>
                <w:left w:val="nil"/>
                <w:bottom w:val="nil"/>
                <w:right w:val="nil"/>
                <w:between w:val="nil"/>
              </w:pBdr>
              <w:spacing w:before="120" w:after="120"/>
            </w:pPr>
          </w:p>
        </w:tc>
        <w:tc>
          <w:tcPr>
            <w:tcW w:w="4111" w:type="dxa"/>
          </w:tcPr>
          <w:p w14:paraId="36DAC54B" w14:textId="77777777" w:rsidR="007960A8" w:rsidRDefault="007960A8">
            <w:pPr>
              <w:pBdr>
                <w:top w:val="nil"/>
                <w:left w:val="nil"/>
                <w:bottom w:val="nil"/>
                <w:right w:val="nil"/>
                <w:between w:val="nil"/>
              </w:pBdr>
              <w:spacing w:before="120" w:after="120"/>
            </w:pPr>
          </w:p>
        </w:tc>
        <w:tc>
          <w:tcPr>
            <w:tcW w:w="1843" w:type="dxa"/>
          </w:tcPr>
          <w:p w14:paraId="01CF9A87" w14:textId="77777777" w:rsidR="007960A8" w:rsidRDefault="007960A8">
            <w:pPr>
              <w:pBdr>
                <w:top w:val="nil"/>
                <w:left w:val="nil"/>
                <w:bottom w:val="nil"/>
                <w:right w:val="nil"/>
                <w:between w:val="nil"/>
              </w:pBdr>
              <w:spacing w:before="120" w:after="120"/>
            </w:pPr>
          </w:p>
        </w:tc>
        <w:tc>
          <w:tcPr>
            <w:tcW w:w="3827" w:type="dxa"/>
          </w:tcPr>
          <w:p w14:paraId="1467DD13" w14:textId="77777777" w:rsidR="007960A8" w:rsidRDefault="007960A8">
            <w:pPr>
              <w:pBdr>
                <w:top w:val="nil"/>
                <w:left w:val="nil"/>
                <w:bottom w:val="nil"/>
                <w:right w:val="nil"/>
                <w:between w:val="nil"/>
              </w:pBdr>
              <w:spacing w:before="120" w:after="120"/>
            </w:pPr>
          </w:p>
        </w:tc>
      </w:tr>
      <w:tr w:rsidR="007960A8" w14:paraId="00426742" w14:textId="77777777">
        <w:tc>
          <w:tcPr>
            <w:tcW w:w="1277" w:type="dxa"/>
            <w:shd w:val="clear" w:color="auto" w:fill="CCECFF"/>
          </w:tcPr>
          <w:p w14:paraId="57BA1655" w14:textId="77777777" w:rsidR="007960A8" w:rsidRDefault="00A26397">
            <w:pPr>
              <w:pBdr>
                <w:top w:val="nil"/>
                <w:left w:val="nil"/>
                <w:bottom w:val="nil"/>
                <w:right w:val="nil"/>
                <w:between w:val="nil"/>
              </w:pBdr>
              <w:spacing w:before="120" w:after="120"/>
              <w:rPr>
                <w:b/>
                <w:bCs/>
              </w:rPr>
            </w:pPr>
            <w:r>
              <w:rPr>
                <w:b/>
                <w:bCs/>
              </w:rPr>
              <w:t>Emp No</w:t>
            </w:r>
          </w:p>
        </w:tc>
        <w:tc>
          <w:tcPr>
            <w:tcW w:w="869" w:type="dxa"/>
          </w:tcPr>
          <w:p w14:paraId="18F79552" w14:textId="77777777" w:rsidR="007960A8" w:rsidRDefault="007960A8">
            <w:pPr>
              <w:pBdr>
                <w:top w:val="nil"/>
                <w:left w:val="nil"/>
                <w:bottom w:val="nil"/>
                <w:right w:val="nil"/>
                <w:between w:val="nil"/>
              </w:pBdr>
              <w:spacing w:before="120" w:after="120"/>
            </w:pPr>
          </w:p>
        </w:tc>
        <w:tc>
          <w:tcPr>
            <w:tcW w:w="1115" w:type="dxa"/>
          </w:tcPr>
          <w:p w14:paraId="6D28277B" w14:textId="77777777" w:rsidR="007960A8" w:rsidRDefault="007960A8">
            <w:pPr>
              <w:pBdr>
                <w:top w:val="nil"/>
                <w:left w:val="nil"/>
                <w:bottom w:val="nil"/>
                <w:right w:val="nil"/>
                <w:between w:val="nil"/>
              </w:pBdr>
              <w:spacing w:before="120" w:after="120"/>
            </w:pPr>
          </w:p>
        </w:tc>
        <w:tc>
          <w:tcPr>
            <w:tcW w:w="1276" w:type="dxa"/>
          </w:tcPr>
          <w:p w14:paraId="387F7878" w14:textId="77777777" w:rsidR="007960A8" w:rsidRDefault="007960A8">
            <w:pPr>
              <w:pBdr>
                <w:top w:val="nil"/>
                <w:left w:val="nil"/>
                <w:bottom w:val="nil"/>
                <w:right w:val="nil"/>
                <w:between w:val="nil"/>
              </w:pBdr>
              <w:spacing w:before="120" w:after="120"/>
            </w:pPr>
          </w:p>
        </w:tc>
        <w:tc>
          <w:tcPr>
            <w:tcW w:w="992" w:type="dxa"/>
          </w:tcPr>
          <w:p w14:paraId="0D3D64E5" w14:textId="77777777" w:rsidR="007960A8" w:rsidRDefault="007960A8">
            <w:pPr>
              <w:pBdr>
                <w:top w:val="nil"/>
                <w:left w:val="nil"/>
                <w:bottom w:val="nil"/>
                <w:right w:val="nil"/>
                <w:between w:val="nil"/>
              </w:pBdr>
              <w:spacing w:before="120" w:after="120"/>
            </w:pPr>
          </w:p>
        </w:tc>
        <w:tc>
          <w:tcPr>
            <w:tcW w:w="4111" w:type="dxa"/>
          </w:tcPr>
          <w:p w14:paraId="07545BBE" w14:textId="77777777" w:rsidR="007960A8" w:rsidRDefault="007960A8">
            <w:pPr>
              <w:pBdr>
                <w:top w:val="nil"/>
                <w:left w:val="nil"/>
                <w:bottom w:val="nil"/>
                <w:right w:val="nil"/>
                <w:between w:val="nil"/>
              </w:pBdr>
              <w:spacing w:before="120" w:after="120"/>
            </w:pPr>
          </w:p>
        </w:tc>
        <w:tc>
          <w:tcPr>
            <w:tcW w:w="1843" w:type="dxa"/>
          </w:tcPr>
          <w:p w14:paraId="4A50447E" w14:textId="77777777" w:rsidR="007960A8" w:rsidRDefault="007960A8">
            <w:pPr>
              <w:pBdr>
                <w:top w:val="nil"/>
                <w:left w:val="nil"/>
                <w:bottom w:val="nil"/>
                <w:right w:val="nil"/>
                <w:between w:val="nil"/>
              </w:pBdr>
              <w:spacing w:before="120" w:after="120"/>
            </w:pPr>
          </w:p>
        </w:tc>
        <w:tc>
          <w:tcPr>
            <w:tcW w:w="3827" w:type="dxa"/>
          </w:tcPr>
          <w:p w14:paraId="04605FA8" w14:textId="77777777" w:rsidR="007960A8" w:rsidRDefault="007960A8">
            <w:pPr>
              <w:pBdr>
                <w:top w:val="nil"/>
                <w:left w:val="nil"/>
                <w:bottom w:val="nil"/>
                <w:right w:val="nil"/>
                <w:between w:val="nil"/>
              </w:pBdr>
              <w:spacing w:before="120" w:after="120"/>
            </w:pPr>
          </w:p>
        </w:tc>
      </w:tr>
      <w:tr w:rsidR="007960A8" w14:paraId="24CB17E1" w14:textId="77777777">
        <w:tc>
          <w:tcPr>
            <w:tcW w:w="1277" w:type="dxa"/>
            <w:shd w:val="clear" w:color="auto" w:fill="CCECFF"/>
          </w:tcPr>
          <w:p w14:paraId="0E7FFD6F" w14:textId="77777777" w:rsidR="007960A8" w:rsidRDefault="00A26397">
            <w:pPr>
              <w:pBdr>
                <w:top w:val="nil"/>
                <w:left w:val="nil"/>
                <w:bottom w:val="nil"/>
                <w:right w:val="nil"/>
                <w:between w:val="nil"/>
              </w:pBdr>
              <w:spacing w:before="120" w:after="120"/>
              <w:rPr>
                <w:b/>
                <w:bCs/>
              </w:rPr>
            </w:pPr>
            <w:r>
              <w:rPr>
                <w:b/>
                <w:bCs/>
              </w:rPr>
              <w:t>Emp No</w:t>
            </w:r>
          </w:p>
        </w:tc>
        <w:tc>
          <w:tcPr>
            <w:tcW w:w="869" w:type="dxa"/>
          </w:tcPr>
          <w:p w14:paraId="5F2A567A" w14:textId="77777777" w:rsidR="007960A8" w:rsidRDefault="007960A8">
            <w:pPr>
              <w:pBdr>
                <w:top w:val="nil"/>
                <w:left w:val="nil"/>
                <w:bottom w:val="nil"/>
                <w:right w:val="nil"/>
                <w:between w:val="nil"/>
              </w:pBdr>
              <w:spacing w:before="120" w:after="120"/>
            </w:pPr>
          </w:p>
        </w:tc>
        <w:tc>
          <w:tcPr>
            <w:tcW w:w="1115" w:type="dxa"/>
          </w:tcPr>
          <w:p w14:paraId="764475A4" w14:textId="77777777" w:rsidR="007960A8" w:rsidRDefault="007960A8">
            <w:pPr>
              <w:pBdr>
                <w:top w:val="nil"/>
                <w:left w:val="nil"/>
                <w:bottom w:val="nil"/>
                <w:right w:val="nil"/>
                <w:between w:val="nil"/>
              </w:pBdr>
              <w:spacing w:before="120" w:after="120"/>
            </w:pPr>
          </w:p>
        </w:tc>
        <w:tc>
          <w:tcPr>
            <w:tcW w:w="1276" w:type="dxa"/>
          </w:tcPr>
          <w:p w14:paraId="3B621980" w14:textId="77777777" w:rsidR="007960A8" w:rsidRDefault="007960A8">
            <w:pPr>
              <w:pBdr>
                <w:top w:val="nil"/>
                <w:left w:val="nil"/>
                <w:bottom w:val="nil"/>
                <w:right w:val="nil"/>
                <w:between w:val="nil"/>
              </w:pBdr>
              <w:spacing w:before="120" w:after="120"/>
            </w:pPr>
          </w:p>
        </w:tc>
        <w:tc>
          <w:tcPr>
            <w:tcW w:w="992" w:type="dxa"/>
          </w:tcPr>
          <w:p w14:paraId="3D792655" w14:textId="77777777" w:rsidR="007960A8" w:rsidRDefault="007960A8">
            <w:pPr>
              <w:pBdr>
                <w:top w:val="nil"/>
                <w:left w:val="nil"/>
                <w:bottom w:val="nil"/>
                <w:right w:val="nil"/>
                <w:between w:val="nil"/>
              </w:pBdr>
              <w:spacing w:before="120" w:after="120"/>
            </w:pPr>
          </w:p>
        </w:tc>
        <w:tc>
          <w:tcPr>
            <w:tcW w:w="4111" w:type="dxa"/>
          </w:tcPr>
          <w:p w14:paraId="6BC054C1" w14:textId="77777777" w:rsidR="007960A8" w:rsidRDefault="007960A8">
            <w:pPr>
              <w:pBdr>
                <w:top w:val="nil"/>
                <w:left w:val="nil"/>
                <w:bottom w:val="nil"/>
                <w:right w:val="nil"/>
                <w:between w:val="nil"/>
              </w:pBdr>
              <w:spacing w:before="120" w:after="120"/>
            </w:pPr>
          </w:p>
        </w:tc>
        <w:tc>
          <w:tcPr>
            <w:tcW w:w="1843" w:type="dxa"/>
          </w:tcPr>
          <w:p w14:paraId="4C807410" w14:textId="77777777" w:rsidR="007960A8" w:rsidRDefault="007960A8">
            <w:pPr>
              <w:pBdr>
                <w:top w:val="nil"/>
                <w:left w:val="nil"/>
                <w:bottom w:val="nil"/>
                <w:right w:val="nil"/>
                <w:between w:val="nil"/>
              </w:pBdr>
              <w:spacing w:before="120" w:after="120"/>
            </w:pPr>
          </w:p>
        </w:tc>
        <w:tc>
          <w:tcPr>
            <w:tcW w:w="3827" w:type="dxa"/>
          </w:tcPr>
          <w:p w14:paraId="76F15EB4" w14:textId="77777777" w:rsidR="007960A8" w:rsidRDefault="007960A8">
            <w:pPr>
              <w:pBdr>
                <w:top w:val="nil"/>
                <w:left w:val="nil"/>
                <w:bottom w:val="nil"/>
                <w:right w:val="nil"/>
                <w:between w:val="nil"/>
              </w:pBdr>
              <w:spacing w:before="120" w:after="120"/>
            </w:pPr>
          </w:p>
        </w:tc>
      </w:tr>
      <w:tr w:rsidR="007960A8" w14:paraId="3827BCEE" w14:textId="77777777">
        <w:tc>
          <w:tcPr>
            <w:tcW w:w="1277" w:type="dxa"/>
            <w:shd w:val="clear" w:color="auto" w:fill="CCECFF"/>
          </w:tcPr>
          <w:p w14:paraId="1E5FC937" w14:textId="77777777" w:rsidR="007960A8" w:rsidRDefault="00A26397">
            <w:pPr>
              <w:pBdr>
                <w:top w:val="nil"/>
                <w:left w:val="nil"/>
                <w:bottom w:val="nil"/>
                <w:right w:val="nil"/>
                <w:between w:val="nil"/>
              </w:pBdr>
              <w:spacing w:before="120" w:after="120"/>
              <w:rPr>
                <w:b/>
                <w:bCs/>
              </w:rPr>
            </w:pPr>
            <w:r>
              <w:rPr>
                <w:b/>
                <w:bCs/>
              </w:rPr>
              <w:t>Emp No</w:t>
            </w:r>
          </w:p>
        </w:tc>
        <w:tc>
          <w:tcPr>
            <w:tcW w:w="869" w:type="dxa"/>
          </w:tcPr>
          <w:p w14:paraId="5BB6F87A" w14:textId="77777777" w:rsidR="007960A8" w:rsidRDefault="007960A8">
            <w:pPr>
              <w:pBdr>
                <w:top w:val="nil"/>
                <w:left w:val="nil"/>
                <w:bottom w:val="nil"/>
                <w:right w:val="nil"/>
                <w:between w:val="nil"/>
              </w:pBdr>
              <w:spacing w:before="120" w:after="120"/>
            </w:pPr>
          </w:p>
        </w:tc>
        <w:tc>
          <w:tcPr>
            <w:tcW w:w="1115" w:type="dxa"/>
          </w:tcPr>
          <w:p w14:paraId="156754B0" w14:textId="77777777" w:rsidR="007960A8" w:rsidRDefault="007960A8">
            <w:pPr>
              <w:pBdr>
                <w:top w:val="nil"/>
                <w:left w:val="nil"/>
                <w:bottom w:val="nil"/>
                <w:right w:val="nil"/>
                <w:between w:val="nil"/>
              </w:pBdr>
              <w:spacing w:before="120" w:after="120"/>
            </w:pPr>
          </w:p>
        </w:tc>
        <w:tc>
          <w:tcPr>
            <w:tcW w:w="1276" w:type="dxa"/>
          </w:tcPr>
          <w:p w14:paraId="38289AC9" w14:textId="77777777" w:rsidR="007960A8" w:rsidRDefault="007960A8">
            <w:pPr>
              <w:pBdr>
                <w:top w:val="nil"/>
                <w:left w:val="nil"/>
                <w:bottom w:val="nil"/>
                <w:right w:val="nil"/>
                <w:between w:val="nil"/>
              </w:pBdr>
              <w:spacing w:before="120" w:after="120"/>
            </w:pPr>
          </w:p>
        </w:tc>
        <w:tc>
          <w:tcPr>
            <w:tcW w:w="992" w:type="dxa"/>
          </w:tcPr>
          <w:p w14:paraId="08C6E95D" w14:textId="77777777" w:rsidR="007960A8" w:rsidRDefault="007960A8">
            <w:pPr>
              <w:pBdr>
                <w:top w:val="nil"/>
                <w:left w:val="nil"/>
                <w:bottom w:val="nil"/>
                <w:right w:val="nil"/>
                <w:between w:val="nil"/>
              </w:pBdr>
              <w:spacing w:before="120" w:after="120"/>
            </w:pPr>
          </w:p>
        </w:tc>
        <w:tc>
          <w:tcPr>
            <w:tcW w:w="4111" w:type="dxa"/>
          </w:tcPr>
          <w:p w14:paraId="51F34E2E" w14:textId="77777777" w:rsidR="007960A8" w:rsidRDefault="007960A8">
            <w:pPr>
              <w:pBdr>
                <w:top w:val="nil"/>
                <w:left w:val="nil"/>
                <w:bottom w:val="nil"/>
                <w:right w:val="nil"/>
                <w:between w:val="nil"/>
              </w:pBdr>
              <w:spacing w:before="120" w:after="120"/>
            </w:pPr>
          </w:p>
        </w:tc>
        <w:tc>
          <w:tcPr>
            <w:tcW w:w="1843" w:type="dxa"/>
          </w:tcPr>
          <w:p w14:paraId="7E0B19CB" w14:textId="77777777" w:rsidR="007960A8" w:rsidRDefault="007960A8">
            <w:pPr>
              <w:pBdr>
                <w:top w:val="nil"/>
                <w:left w:val="nil"/>
                <w:bottom w:val="nil"/>
                <w:right w:val="nil"/>
                <w:between w:val="nil"/>
              </w:pBdr>
              <w:spacing w:before="120" w:after="120"/>
            </w:pPr>
          </w:p>
        </w:tc>
        <w:tc>
          <w:tcPr>
            <w:tcW w:w="3827" w:type="dxa"/>
          </w:tcPr>
          <w:p w14:paraId="0AE96DD8" w14:textId="77777777" w:rsidR="007960A8" w:rsidRDefault="007960A8">
            <w:pPr>
              <w:pBdr>
                <w:top w:val="nil"/>
                <w:left w:val="nil"/>
                <w:bottom w:val="nil"/>
                <w:right w:val="nil"/>
                <w:between w:val="nil"/>
              </w:pBdr>
              <w:spacing w:before="120" w:after="120"/>
            </w:pPr>
          </w:p>
        </w:tc>
      </w:tr>
      <w:tr w:rsidR="007960A8" w14:paraId="233B78B4" w14:textId="77777777">
        <w:tc>
          <w:tcPr>
            <w:tcW w:w="1277" w:type="dxa"/>
            <w:shd w:val="clear" w:color="auto" w:fill="CCECFF"/>
          </w:tcPr>
          <w:p w14:paraId="6787B88C" w14:textId="77777777" w:rsidR="007960A8" w:rsidRDefault="00A26397">
            <w:pPr>
              <w:pBdr>
                <w:top w:val="nil"/>
                <w:left w:val="nil"/>
                <w:bottom w:val="nil"/>
                <w:right w:val="nil"/>
                <w:between w:val="nil"/>
              </w:pBdr>
              <w:spacing w:before="120" w:after="120"/>
              <w:rPr>
                <w:b/>
                <w:bCs/>
              </w:rPr>
            </w:pPr>
            <w:r>
              <w:rPr>
                <w:b/>
                <w:bCs/>
              </w:rPr>
              <w:t>Emp No</w:t>
            </w:r>
          </w:p>
        </w:tc>
        <w:tc>
          <w:tcPr>
            <w:tcW w:w="869" w:type="dxa"/>
            <w:tcBorders>
              <w:bottom w:val="single" w:sz="4" w:space="0" w:color="000000"/>
            </w:tcBorders>
          </w:tcPr>
          <w:p w14:paraId="5CBFB4A4" w14:textId="77777777" w:rsidR="007960A8" w:rsidRDefault="007960A8">
            <w:pPr>
              <w:pBdr>
                <w:top w:val="nil"/>
                <w:left w:val="nil"/>
                <w:bottom w:val="nil"/>
                <w:right w:val="nil"/>
                <w:between w:val="nil"/>
              </w:pBdr>
              <w:spacing w:before="120" w:after="120"/>
            </w:pPr>
          </w:p>
        </w:tc>
        <w:tc>
          <w:tcPr>
            <w:tcW w:w="1115" w:type="dxa"/>
            <w:tcBorders>
              <w:bottom w:val="single" w:sz="4" w:space="0" w:color="000000"/>
            </w:tcBorders>
          </w:tcPr>
          <w:p w14:paraId="4181D2FE" w14:textId="77777777" w:rsidR="007960A8" w:rsidRDefault="007960A8">
            <w:pPr>
              <w:pBdr>
                <w:top w:val="nil"/>
                <w:left w:val="nil"/>
                <w:bottom w:val="nil"/>
                <w:right w:val="nil"/>
                <w:between w:val="nil"/>
              </w:pBdr>
              <w:spacing w:before="120" w:after="120"/>
            </w:pPr>
          </w:p>
        </w:tc>
        <w:tc>
          <w:tcPr>
            <w:tcW w:w="1276" w:type="dxa"/>
            <w:tcBorders>
              <w:bottom w:val="single" w:sz="4" w:space="0" w:color="000000"/>
            </w:tcBorders>
          </w:tcPr>
          <w:p w14:paraId="2C8824D4" w14:textId="77777777" w:rsidR="007960A8" w:rsidRDefault="007960A8">
            <w:pPr>
              <w:pBdr>
                <w:top w:val="nil"/>
                <w:left w:val="nil"/>
                <w:bottom w:val="nil"/>
                <w:right w:val="nil"/>
                <w:between w:val="nil"/>
              </w:pBdr>
              <w:spacing w:before="120" w:after="120"/>
            </w:pPr>
          </w:p>
        </w:tc>
        <w:tc>
          <w:tcPr>
            <w:tcW w:w="992" w:type="dxa"/>
            <w:tcBorders>
              <w:bottom w:val="single" w:sz="4" w:space="0" w:color="000000"/>
            </w:tcBorders>
          </w:tcPr>
          <w:p w14:paraId="7DF9A896" w14:textId="77777777" w:rsidR="007960A8" w:rsidRDefault="007960A8">
            <w:pPr>
              <w:pBdr>
                <w:top w:val="nil"/>
                <w:left w:val="nil"/>
                <w:bottom w:val="nil"/>
                <w:right w:val="nil"/>
                <w:between w:val="nil"/>
              </w:pBdr>
              <w:spacing w:before="120" w:after="120"/>
            </w:pPr>
          </w:p>
        </w:tc>
        <w:tc>
          <w:tcPr>
            <w:tcW w:w="4111" w:type="dxa"/>
            <w:tcBorders>
              <w:bottom w:val="single" w:sz="4" w:space="0" w:color="000000"/>
            </w:tcBorders>
          </w:tcPr>
          <w:p w14:paraId="6DC57EF2" w14:textId="77777777" w:rsidR="007960A8" w:rsidRDefault="007960A8">
            <w:pPr>
              <w:pBdr>
                <w:top w:val="nil"/>
                <w:left w:val="nil"/>
                <w:bottom w:val="nil"/>
                <w:right w:val="nil"/>
                <w:between w:val="nil"/>
              </w:pBdr>
              <w:spacing w:before="120" w:after="120"/>
            </w:pPr>
          </w:p>
        </w:tc>
        <w:tc>
          <w:tcPr>
            <w:tcW w:w="1843" w:type="dxa"/>
            <w:tcBorders>
              <w:bottom w:val="single" w:sz="4" w:space="0" w:color="000000"/>
            </w:tcBorders>
          </w:tcPr>
          <w:p w14:paraId="4CA3FEE0" w14:textId="77777777" w:rsidR="007960A8" w:rsidRDefault="007960A8">
            <w:pPr>
              <w:pBdr>
                <w:top w:val="nil"/>
                <w:left w:val="nil"/>
                <w:bottom w:val="nil"/>
                <w:right w:val="nil"/>
                <w:between w:val="nil"/>
              </w:pBdr>
              <w:spacing w:before="120" w:after="120"/>
            </w:pPr>
          </w:p>
        </w:tc>
        <w:tc>
          <w:tcPr>
            <w:tcW w:w="3827" w:type="dxa"/>
            <w:tcBorders>
              <w:bottom w:val="single" w:sz="4" w:space="0" w:color="000000"/>
            </w:tcBorders>
          </w:tcPr>
          <w:p w14:paraId="4A75C60B" w14:textId="77777777" w:rsidR="007960A8" w:rsidRDefault="007960A8">
            <w:pPr>
              <w:pBdr>
                <w:top w:val="nil"/>
                <w:left w:val="nil"/>
                <w:bottom w:val="nil"/>
                <w:right w:val="nil"/>
                <w:between w:val="nil"/>
              </w:pBdr>
              <w:spacing w:before="120" w:after="120"/>
            </w:pPr>
          </w:p>
        </w:tc>
      </w:tr>
    </w:tbl>
    <w:p w14:paraId="3B9249AA" w14:textId="77777777" w:rsidR="007960A8" w:rsidRDefault="007960A8">
      <w:pPr>
        <w:spacing w:before="120" w:after="120"/>
      </w:pPr>
    </w:p>
    <w:p w14:paraId="7620C20A" w14:textId="77777777" w:rsidR="007960A8" w:rsidRDefault="00A26397">
      <w:pPr>
        <w:spacing w:before="120" w:after="120"/>
      </w:pPr>
      <w:r>
        <w:br w:type="page"/>
      </w:r>
    </w:p>
    <w:p w14:paraId="61C0FE2E" w14:textId="77777777" w:rsidR="007960A8" w:rsidRDefault="007960A8">
      <w:pPr>
        <w:spacing w:before="120" w:after="120"/>
      </w:pPr>
    </w:p>
    <w:tbl>
      <w:tblPr>
        <w:tblStyle w:val="a9"/>
        <w:tblW w:w="1559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140"/>
        <w:gridCol w:w="857"/>
        <w:gridCol w:w="141"/>
        <w:gridCol w:w="130"/>
        <w:gridCol w:w="1642"/>
        <w:gridCol w:w="187"/>
        <w:gridCol w:w="748"/>
        <w:gridCol w:w="660"/>
        <w:gridCol w:w="46"/>
        <w:gridCol w:w="726"/>
        <w:gridCol w:w="635"/>
        <w:gridCol w:w="178"/>
        <w:gridCol w:w="706"/>
        <w:gridCol w:w="787"/>
        <w:gridCol w:w="441"/>
        <w:gridCol w:w="1519"/>
        <w:gridCol w:w="421"/>
        <w:gridCol w:w="170"/>
        <w:gridCol w:w="1052"/>
        <w:gridCol w:w="638"/>
        <w:gridCol w:w="782"/>
        <w:gridCol w:w="654"/>
        <w:gridCol w:w="253"/>
        <w:gridCol w:w="482"/>
        <w:gridCol w:w="1207"/>
        <w:gridCol w:w="141"/>
      </w:tblGrid>
      <w:tr w:rsidR="007960A8" w14:paraId="4CE27C03" w14:textId="77777777">
        <w:trPr>
          <w:gridAfter w:val="1"/>
        </w:trPr>
        <w:tc>
          <w:tcPr>
            <w:tcW w:w="390" w:type="dxa"/>
            <w:gridSpan w:val="2"/>
          </w:tcPr>
          <w:p w14:paraId="43E410FD" w14:textId="77777777" w:rsidR="007960A8" w:rsidRDefault="007960A8">
            <w:pPr>
              <w:pBdr>
                <w:top w:val="nil"/>
                <w:left w:val="nil"/>
                <w:bottom w:val="nil"/>
                <w:right w:val="nil"/>
                <w:between w:val="nil"/>
              </w:pBdr>
              <w:spacing w:before="120" w:after="120"/>
            </w:pPr>
          </w:p>
        </w:tc>
        <w:tc>
          <w:tcPr>
            <w:tcW w:w="998" w:type="dxa"/>
            <w:gridSpan w:val="2"/>
            <w:tcBorders>
              <w:top w:val="nil"/>
              <w:left w:val="nil"/>
              <w:bottom w:val="single" w:sz="4" w:space="0" w:color="000000"/>
            </w:tcBorders>
          </w:tcPr>
          <w:p w14:paraId="1F6C916E" w14:textId="77777777" w:rsidR="007960A8" w:rsidRDefault="007960A8">
            <w:pPr>
              <w:pBdr>
                <w:top w:val="nil"/>
                <w:left w:val="nil"/>
                <w:bottom w:val="nil"/>
                <w:right w:val="nil"/>
                <w:between w:val="nil"/>
              </w:pBdr>
              <w:spacing w:before="120" w:after="120"/>
            </w:pPr>
          </w:p>
        </w:tc>
        <w:tc>
          <w:tcPr>
            <w:tcW w:w="14064" w:type="dxa"/>
            <w:gridSpan w:val="22"/>
            <w:shd w:val="clear" w:color="auto" w:fill="FFFF99"/>
          </w:tcPr>
          <w:p w14:paraId="2313E26F" w14:textId="77777777" w:rsidR="007960A8" w:rsidRDefault="00A26397">
            <w:pPr>
              <w:pBdr>
                <w:top w:val="nil"/>
                <w:left w:val="nil"/>
                <w:bottom w:val="nil"/>
                <w:right w:val="nil"/>
                <w:between w:val="nil"/>
              </w:pBdr>
              <w:spacing w:before="120" w:after="120"/>
              <w:rPr>
                <w:b/>
                <w:bCs/>
              </w:rPr>
            </w:pPr>
            <w:r>
              <w:rPr>
                <w:b/>
                <w:bCs/>
              </w:rPr>
              <w:t>EMPLOYEE DETAILS &amp; KEY TERMS</w:t>
            </w:r>
          </w:p>
        </w:tc>
      </w:tr>
      <w:tr w:rsidR="007960A8" w14:paraId="7C415F70" w14:textId="77777777">
        <w:trPr>
          <w:gridAfter w:val="1"/>
        </w:trPr>
        <w:tc>
          <w:tcPr>
            <w:tcW w:w="390" w:type="dxa"/>
            <w:gridSpan w:val="2"/>
          </w:tcPr>
          <w:p w14:paraId="27BC6811" w14:textId="77777777" w:rsidR="007960A8" w:rsidRDefault="007960A8">
            <w:pPr>
              <w:pBdr>
                <w:top w:val="nil"/>
                <w:left w:val="nil"/>
                <w:bottom w:val="nil"/>
                <w:right w:val="nil"/>
                <w:between w:val="nil"/>
              </w:pBdr>
              <w:spacing w:before="120" w:after="120"/>
              <w:rPr>
                <w:b/>
                <w:bCs/>
              </w:rPr>
            </w:pPr>
          </w:p>
        </w:tc>
        <w:tc>
          <w:tcPr>
            <w:tcW w:w="998" w:type="dxa"/>
            <w:gridSpan w:val="2"/>
            <w:shd w:val="clear" w:color="auto" w:fill="CCECFF"/>
            <w:vAlign w:val="center"/>
          </w:tcPr>
          <w:p w14:paraId="01F11A03" w14:textId="77777777" w:rsidR="007960A8" w:rsidRDefault="00A26397">
            <w:pPr>
              <w:pBdr>
                <w:top w:val="nil"/>
                <w:left w:val="nil"/>
                <w:bottom w:val="nil"/>
                <w:right w:val="nil"/>
                <w:between w:val="nil"/>
              </w:pBdr>
              <w:spacing w:before="120" w:after="120"/>
              <w:rPr>
                <w:b/>
                <w:bCs/>
              </w:rPr>
            </w:pPr>
            <w:r>
              <w:rPr>
                <w:b/>
                <w:bCs/>
              </w:rPr>
              <w:t>Details</w:t>
            </w:r>
          </w:p>
        </w:tc>
        <w:tc>
          <w:tcPr>
            <w:tcW w:w="1772" w:type="dxa"/>
            <w:gridSpan w:val="2"/>
            <w:shd w:val="clear" w:color="auto" w:fill="FFFF99"/>
            <w:vAlign w:val="center"/>
          </w:tcPr>
          <w:p w14:paraId="197FA3A8" w14:textId="77777777" w:rsidR="007960A8" w:rsidRDefault="00A26397">
            <w:pPr>
              <w:pBdr>
                <w:top w:val="nil"/>
                <w:left w:val="nil"/>
                <w:bottom w:val="nil"/>
                <w:right w:val="nil"/>
                <w:between w:val="nil"/>
              </w:pBdr>
              <w:spacing w:before="120" w:after="120"/>
              <w:rPr>
                <w:b/>
                <w:bCs/>
              </w:rPr>
            </w:pPr>
            <w:r>
              <w:rPr>
                <w:b/>
                <w:bCs/>
              </w:rPr>
              <w:t>Contract end date (if fixed term contract or temporary contract)</w:t>
            </w:r>
          </w:p>
        </w:tc>
        <w:tc>
          <w:tcPr>
            <w:tcW w:w="1641" w:type="dxa"/>
            <w:gridSpan w:val="4"/>
            <w:shd w:val="clear" w:color="auto" w:fill="FFFF99"/>
            <w:vAlign w:val="center"/>
          </w:tcPr>
          <w:p w14:paraId="50B63136" w14:textId="77777777" w:rsidR="007960A8" w:rsidRDefault="00A26397">
            <w:pPr>
              <w:pBdr>
                <w:top w:val="nil"/>
                <w:left w:val="nil"/>
                <w:bottom w:val="nil"/>
                <w:right w:val="nil"/>
                <w:between w:val="nil"/>
              </w:pBdr>
              <w:spacing w:before="120" w:after="120"/>
              <w:rPr>
                <w:b/>
                <w:bCs/>
              </w:rPr>
            </w:pPr>
            <w:r>
              <w:rPr>
                <w:b/>
                <w:bCs/>
              </w:rPr>
              <w:t>Contractual notice period</w:t>
            </w:r>
          </w:p>
        </w:tc>
        <w:tc>
          <w:tcPr>
            <w:tcW w:w="1539" w:type="dxa"/>
            <w:gridSpan w:val="3"/>
            <w:shd w:val="clear" w:color="auto" w:fill="FFFF99"/>
            <w:vAlign w:val="center"/>
          </w:tcPr>
          <w:p w14:paraId="788AB28A" w14:textId="77777777" w:rsidR="007960A8" w:rsidRDefault="00A26397">
            <w:pPr>
              <w:pBdr>
                <w:top w:val="nil"/>
                <w:left w:val="nil"/>
                <w:bottom w:val="nil"/>
                <w:right w:val="nil"/>
                <w:between w:val="nil"/>
              </w:pBdr>
              <w:spacing w:before="120" w:after="120"/>
              <w:rPr>
                <w:b/>
                <w:bCs/>
              </w:rPr>
            </w:pPr>
            <w:r>
              <w:rPr>
                <w:b/>
                <w:bCs/>
              </w:rPr>
              <w:t>Contractual weekly hours</w:t>
            </w:r>
          </w:p>
        </w:tc>
        <w:tc>
          <w:tcPr>
            <w:tcW w:w="1493" w:type="dxa"/>
            <w:gridSpan w:val="2"/>
            <w:shd w:val="clear" w:color="auto" w:fill="FFFF99"/>
            <w:vAlign w:val="center"/>
          </w:tcPr>
          <w:p w14:paraId="7BF054BC" w14:textId="77777777" w:rsidR="007960A8" w:rsidRDefault="00A26397">
            <w:pPr>
              <w:pBdr>
                <w:top w:val="nil"/>
                <w:left w:val="nil"/>
                <w:bottom w:val="nil"/>
                <w:right w:val="nil"/>
                <w:between w:val="nil"/>
              </w:pBdr>
              <w:spacing w:before="120" w:after="120"/>
              <w:rPr>
                <w:b/>
                <w:bCs/>
              </w:rPr>
            </w:pPr>
            <w:r>
              <w:rPr>
                <w:b/>
                <w:bCs/>
              </w:rPr>
              <w:t>Regular overtime hours per week</w:t>
            </w:r>
          </w:p>
        </w:tc>
        <w:tc>
          <w:tcPr>
            <w:tcW w:w="1960" w:type="dxa"/>
            <w:gridSpan w:val="2"/>
            <w:shd w:val="clear" w:color="auto" w:fill="FFFF99"/>
            <w:vAlign w:val="center"/>
          </w:tcPr>
          <w:p w14:paraId="4DEFB332" w14:textId="77777777" w:rsidR="007960A8" w:rsidRDefault="00A26397">
            <w:pPr>
              <w:pBdr>
                <w:top w:val="nil"/>
                <w:left w:val="nil"/>
                <w:bottom w:val="nil"/>
                <w:right w:val="nil"/>
                <w:between w:val="nil"/>
              </w:pBdr>
              <w:spacing w:before="120" w:after="120"/>
              <w:rPr>
                <w:b/>
                <w:bCs/>
              </w:rPr>
            </w:pPr>
            <w:r>
              <w:rPr>
                <w:b/>
                <w:bCs/>
              </w:rPr>
              <w:t>Mobility or flexibility clause in contract?</w:t>
            </w:r>
          </w:p>
        </w:tc>
        <w:tc>
          <w:tcPr>
            <w:tcW w:w="3717" w:type="dxa"/>
            <w:gridSpan w:val="6"/>
            <w:shd w:val="clear" w:color="auto" w:fill="FFFF99"/>
            <w:vAlign w:val="center"/>
          </w:tcPr>
          <w:p w14:paraId="7FBA6B96" w14:textId="77777777" w:rsidR="007960A8" w:rsidRDefault="00A26397">
            <w:pPr>
              <w:pBdr>
                <w:top w:val="nil"/>
                <w:left w:val="nil"/>
                <w:bottom w:val="nil"/>
                <w:right w:val="nil"/>
                <w:between w:val="nil"/>
              </w:pBdr>
              <w:spacing w:before="120" w:after="120"/>
              <w:rPr>
                <w:b/>
                <w:bCs/>
              </w:rPr>
            </w:pPr>
            <w:r>
              <w:rPr>
                <w:b/>
                <w:bCs/>
              </w:rPr>
              <w:t>Previously TUPE transferred to organisation? If so, please specify (i) date of transfer, (ii) name of transferor, and (iii) whether ex public sector</w:t>
            </w:r>
          </w:p>
        </w:tc>
        <w:tc>
          <w:tcPr>
            <w:tcW w:w="1942" w:type="dxa"/>
            <w:gridSpan w:val="3"/>
            <w:shd w:val="clear" w:color="auto" w:fill="FFFF99"/>
            <w:vAlign w:val="center"/>
          </w:tcPr>
          <w:p w14:paraId="2DBE654F" w14:textId="77777777" w:rsidR="007960A8" w:rsidRDefault="00A26397">
            <w:pPr>
              <w:pBdr>
                <w:top w:val="nil"/>
                <w:left w:val="nil"/>
                <w:bottom w:val="nil"/>
                <w:right w:val="nil"/>
                <w:between w:val="nil"/>
              </w:pBdr>
              <w:spacing w:before="120" w:after="120"/>
              <w:rPr>
                <w:b/>
                <w:bCs/>
              </w:rPr>
            </w:pPr>
            <w:r>
              <w:rPr>
                <w:b/>
                <w:bCs/>
              </w:rPr>
              <w:t>Any collective agreements?</w:t>
            </w:r>
          </w:p>
        </w:tc>
      </w:tr>
      <w:tr w:rsidR="007960A8" w14:paraId="252BC69A" w14:textId="77777777">
        <w:trPr>
          <w:gridAfter w:val="1"/>
        </w:trPr>
        <w:tc>
          <w:tcPr>
            <w:tcW w:w="390" w:type="dxa"/>
            <w:gridSpan w:val="2"/>
          </w:tcPr>
          <w:p w14:paraId="72F7406C" w14:textId="77777777" w:rsidR="007960A8" w:rsidRDefault="007960A8">
            <w:pPr>
              <w:pBdr>
                <w:top w:val="nil"/>
                <w:left w:val="nil"/>
                <w:bottom w:val="nil"/>
                <w:right w:val="nil"/>
                <w:between w:val="nil"/>
              </w:pBdr>
              <w:spacing w:before="120" w:after="120"/>
              <w:rPr>
                <w:b/>
                <w:bCs/>
              </w:rPr>
            </w:pPr>
          </w:p>
        </w:tc>
        <w:tc>
          <w:tcPr>
            <w:tcW w:w="998" w:type="dxa"/>
            <w:gridSpan w:val="2"/>
            <w:shd w:val="clear" w:color="auto" w:fill="CCECFF"/>
          </w:tcPr>
          <w:p w14:paraId="126F6F71" w14:textId="77777777" w:rsidR="007960A8" w:rsidRDefault="00A26397">
            <w:pPr>
              <w:pBdr>
                <w:top w:val="nil"/>
                <w:left w:val="nil"/>
                <w:bottom w:val="nil"/>
                <w:right w:val="nil"/>
                <w:between w:val="nil"/>
              </w:pBdr>
              <w:spacing w:before="120" w:after="120"/>
              <w:rPr>
                <w:b/>
                <w:bCs/>
              </w:rPr>
            </w:pPr>
            <w:r>
              <w:rPr>
                <w:b/>
                <w:bCs/>
              </w:rPr>
              <w:t>Emp No 1</w:t>
            </w:r>
          </w:p>
        </w:tc>
        <w:tc>
          <w:tcPr>
            <w:tcW w:w="1772" w:type="dxa"/>
            <w:gridSpan w:val="2"/>
          </w:tcPr>
          <w:p w14:paraId="5812ED6F" w14:textId="77777777" w:rsidR="007960A8" w:rsidRDefault="007960A8">
            <w:pPr>
              <w:pBdr>
                <w:top w:val="nil"/>
                <w:left w:val="nil"/>
                <w:bottom w:val="nil"/>
                <w:right w:val="nil"/>
                <w:between w:val="nil"/>
              </w:pBdr>
              <w:spacing w:before="120" w:after="120"/>
            </w:pPr>
          </w:p>
        </w:tc>
        <w:tc>
          <w:tcPr>
            <w:tcW w:w="1641" w:type="dxa"/>
            <w:gridSpan w:val="4"/>
          </w:tcPr>
          <w:p w14:paraId="692B9BAE" w14:textId="77777777" w:rsidR="007960A8" w:rsidRDefault="007960A8">
            <w:pPr>
              <w:pBdr>
                <w:top w:val="nil"/>
                <w:left w:val="nil"/>
                <w:bottom w:val="nil"/>
                <w:right w:val="nil"/>
                <w:between w:val="nil"/>
              </w:pBdr>
              <w:spacing w:before="120" w:after="120"/>
            </w:pPr>
          </w:p>
        </w:tc>
        <w:tc>
          <w:tcPr>
            <w:tcW w:w="1539" w:type="dxa"/>
            <w:gridSpan w:val="3"/>
          </w:tcPr>
          <w:p w14:paraId="490052AE" w14:textId="77777777" w:rsidR="007960A8" w:rsidRDefault="007960A8">
            <w:pPr>
              <w:pBdr>
                <w:top w:val="nil"/>
                <w:left w:val="nil"/>
                <w:bottom w:val="nil"/>
                <w:right w:val="nil"/>
                <w:between w:val="nil"/>
              </w:pBdr>
              <w:spacing w:before="120" w:after="120"/>
            </w:pPr>
          </w:p>
        </w:tc>
        <w:tc>
          <w:tcPr>
            <w:tcW w:w="1493" w:type="dxa"/>
            <w:gridSpan w:val="2"/>
          </w:tcPr>
          <w:p w14:paraId="2C70A957" w14:textId="77777777" w:rsidR="007960A8" w:rsidRDefault="007960A8">
            <w:pPr>
              <w:pBdr>
                <w:top w:val="nil"/>
                <w:left w:val="nil"/>
                <w:bottom w:val="nil"/>
                <w:right w:val="nil"/>
                <w:between w:val="nil"/>
              </w:pBdr>
              <w:spacing w:before="120" w:after="120"/>
            </w:pPr>
          </w:p>
        </w:tc>
        <w:tc>
          <w:tcPr>
            <w:tcW w:w="1960" w:type="dxa"/>
            <w:gridSpan w:val="2"/>
          </w:tcPr>
          <w:p w14:paraId="791D370F" w14:textId="77777777" w:rsidR="007960A8" w:rsidRDefault="007960A8">
            <w:pPr>
              <w:pBdr>
                <w:top w:val="nil"/>
                <w:left w:val="nil"/>
                <w:bottom w:val="nil"/>
                <w:right w:val="nil"/>
                <w:between w:val="nil"/>
              </w:pBdr>
              <w:spacing w:before="120" w:after="120"/>
            </w:pPr>
          </w:p>
        </w:tc>
        <w:tc>
          <w:tcPr>
            <w:tcW w:w="3717" w:type="dxa"/>
            <w:gridSpan w:val="6"/>
          </w:tcPr>
          <w:p w14:paraId="70D62D16" w14:textId="77777777" w:rsidR="007960A8" w:rsidRDefault="007960A8">
            <w:pPr>
              <w:pBdr>
                <w:top w:val="nil"/>
                <w:left w:val="nil"/>
                <w:bottom w:val="nil"/>
                <w:right w:val="nil"/>
                <w:between w:val="nil"/>
              </w:pBdr>
              <w:spacing w:before="120" w:after="120"/>
            </w:pPr>
          </w:p>
        </w:tc>
        <w:tc>
          <w:tcPr>
            <w:tcW w:w="1942" w:type="dxa"/>
            <w:gridSpan w:val="3"/>
          </w:tcPr>
          <w:p w14:paraId="638CA1E5" w14:textId="77777777" w:rsidR="007960A8" w:rsidRDefault="007960A8">
            <w:pPr>
              <w:pBdr>
                <w:top w:val="nil"/>
                <w:left w:val="nil"/>
                <w:bottom w:val="nil"/>
                <w:right w:val="nil"/>
                <w:between w:val="nil"/>
              </w:pBdr>
              <w:spacing w:before="120" w:after="120"/>
            </w:pPr>
          </w:p>
        </w:tc>
      </w:tr>
      <w:tr w:rsidR="007960A8" w14:paraId="05ECF8D5" w14:textId="77777777">
        <w:trPr>
          <w:gridAfter w:val="1"/>
        </w:trPr>
        <w:tc>
          <w:tcPr>
            <w:tcW w:w="390" w:type="dxa"/>
            <w:gridSpan w:val="2"/>
          </w:tcPr>
          <w:p w14:paraId="1B6ED7D1"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065A268D" w14:textId="77777777" w:rsidR="007960A8" w:rsidRDefault="00A26397">
            <w:pPr>
              <w:pBdr>
                <w:top w:val="nil"/>
                <w:left w:val="nil"/>
                <w:bottom w:val="nil"/>
                <w:right w:val="nil"/>
                <w:between w:val="nil"/>
              </w:pBdr>
              <w:spacing w:before="120" w:after="120"/>
              <w:rPr>
                <w:b/>
                <w:bCs/>
              </w:rPr>
            </w:pPr>
            <w:r>
              <w:rPr>
                <w:b/>
                <w:bCs/>
              </w:rPr>
              <w:t>Emp No 2</w:t>
            </w:r>
          </w:p>
        </w:tc>
        <w:tc>
          <w:tcPr>
            <w:tcW w:w="1772" w:type="dxa"/>
            <w:gridSpan w:val="2"/>
          </w:tcPr>
          <w:p w14:paraId="4B85967C" w14:textId="77777777" w:rsidR="007960A8" w:rsidRDefault="007960A8">
            <w:pPr>
              <w:pBdr>
                <w:top w:val="nil"/>
                <w:left w:val="nil"/>
                <w:bottom w:val="nil"/>
                <w:right w:val="nil"/>
                <w:between w:val="nil"/>
              </w:pBdr>
              <w:spacing w:before="120" w:after="120"/>
            </w:pPr>
          </w:p>
        </w:tc>
        <w:tc>
          <w:tcPr>
            <w:tcW w:w="1641" w:type="dxa"/>
            <w:gridSpan w:val="4"/>
          </w:tcPr>
          <w:p w14:paraId="5EEAF3C7" w14:textId="77777777" w:rsidR="007960A8" w:rsidRDefault="007960A8">
            <w:pPr>
              <w:pBdr>
                <w:top w:val="nil"/>
                <w:left w:val="nil"/>
                <w:bottom w:val="nil"/>
                <w:right w:val="nil"/>
                <w:between w:val="nil"/>
              </w:pBdr>
              <w:spacing w:before="120" w:after="120"/>
            </w:pPr>
          </w:p>
        </w:tc>
        <w:tc>
          <w:tcPr>
            <w:tcW w:w="1539" w:type="dxa"/>
            <w:gridSpan w:val="3"/>
          </w:tcPr>
          <w:p w14:paraId="7697063C" w14:textId="77777777" w:rsidR="007960A8" w:rsidRDefault="007960A8">
            <w:pPr>
              <w:pBdr>
                <w:top w:val="nil"/>
                <w:left w:val="nil"/>
                <w:bottom w:val="nil"/>
                <w:right w:val="nil"/>
                <w:between w:val="nil"/>
              </w:pBdr>
              <w:spacing w:before="120" w:after="120"/>
            </w:pPr>
          </w:p>
        </w:tc>
        <w:tc>
          <w:tcPr>
            <w:tcW w:w="1493" w:type="dxa"/>
            <w:gridSpan w:val="2"/>
          </w:tcPr>
          <w:p w14:paraId="1AD7300C" w14:textId="77777777" w:rsidR="007960A8" w:rsidRDefault="007960A8">
            <w:pPr>
              <w:pBdr>
                <w:top w:val="nil"/>
                <w:left w:val="nil"/>
                <w:bottom w:val="nil"/>
                <w:right w:val="nil"/>
                <w:between w:val="nil"/>
              </w:pBdr>
              <w:spacing w:before="120" w:after="120"/>
            </w:pPr>
          </w:p>
        </w:tc>
        <w:tc>
          <w:tcPr>
            <w:tcW w:w="1960" w:type="dxa"/>
            <w:gridSpan w:val="2"/>
          </w:tcPr>
          <w:p w14:paraId="4C5B06C3" w14:textId="77777777" w:rsidR="007960A8" w:rsidRDefault="007960A8">
            <w:pPr>
              <w:pBdr>
                <w:top w:val="nil"/>
                <w:left w:val="nil"/>
                <w:bottom w:val="nil"/>
                <w:right w:val="nil"/>
                <w:between w:val="nil"/>
              </w:pBdr>
              <w:spacing w:before="120" w:after="120"/>
            </w:pPr>
          </w:p>
        </w:tc>
        <w:tc>
          <w:tcPr>
            <w:tcW w:w="3717" w:type="dxa"/>
            <w:gridSpan w:val="6"/>
          </w:tcPr>
          <w:p w14:paraId="5B1F4ED7" w14:textId="77777777" w:rsidR="007960A8" w:rsidRDefault="007960A8">
            <w:pPr>
              <w:pBdr>
                <w:top w:val="nil"/>
                <w:left w:val="nil"/>
                <w:bottom w:val="nil"/>
                <w:right w:val="nil"/>
                <w:between w:val="nil"/>
              </w:pBdr>
              <w:spacing w:before="120" w:after="120"/>
            </w:pPr>
          </w:p>
        </w:tc>
        <w:tc>
          <w:tcPr>
            <w:tcW w:w="1942" w:type="dxa"/>
            <w:gridSpan w:val="3"/>
          </w:tcPr>
          <w:p w14:paraId="5B206C70" w14:textId="77777777" w:rsidR="007960A8" w:rsidRDefault="007960A8">
            <w:pPr>
              <w:pBdr>
                <w:top w:val="nil"/>
                <w:left w:val="nil"/>
                <w:bottom w:val="nil"/>
                <w:right w:val="nil"/>
                <w:between w:val="nil"/>
              </w:pBdr>
              <w:spacing w:before="120" w:after="120"/>
            </w:pPr>
          </w:p>
        </w:tc>
      </w:tr>
      <w:tr w:rsidR="007960A8" w14:paraId="0293BE5E" w14:textId="77777777">
        <w:trPr>
          <w:gridAfter w:val="1"/>
        </w:trPr>
        <w:tc>
          <w:tcPr>
            <w:tcW w:w="390" w:type="dxa"/>
            <w:gridSpan w:val="2"/>
          </w:tcPr>
          <w:p w14:paraId="6F12A552"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395D1F7E" w14:textId="77777777" w:rsidR="007960A8" w:rsidRDefault="00A26397">
            <w:pPr>
              <w:pBdr>
                <w:top w:val="nil"/>
                <w:left w:val="nil"/>
                <w:bottom w:val="nil"/>
                <w:right w:val="nil"/>
                <w:between w:val="nil"/>
              </w:pBdr>
              <w:spacing w:before="120" w:after="120"/>
              <w:rPr>
                <w:b/>
                <w:bCs/>
              </w:rPr>
            </w:pPr>
            <w:r>
              <w:rPr>
                <w:b/>
                <w:bCs/>
              </w:rPr>
              <w:t>Emp No</w:t>
            </w:r>
          </w:p>
        </w:tc>
        <w:tc>
          <w:tcPr>
            <w:tcW w:w="1772" w:type="dxa"/>
            <w:gridSpan w:val="2"/>
          </w:tcPr>
          <w:p w14:paraId="448E0368" w14:textId="77777777" w:rsidR="007960A8" w:rsidRDefault="007960A8">
            <w:pPr>
              <w:pBdr>
                <w:top w:val="nil"/>
                <w:left w:val="nil"/>
                <w:bottom w:val="nil"/>
                <w:right w:val="nil"/>
                <w:between w:val="nil"/>
              </w:pBdr>
              <w:spacing w:before="120" w:after="120"/>
            </w:pPr>
          </w:p>
        </w:tc>
        <w:tc>
          <w:tcPr>
            <w:tcW w:w="1641" w:type="dxa"/>
            <w:gridSpan w:val="4"/>
          </w:tcPr>
          <w:p w14:paraId="1725966F" w14:textId="77777777" w:rsidR="007960A8" w:rsidRDefault="007960A8">
            <w:pPr>
              <w:pBdr>
                <w:top w:val="nil"/>
                <w:left w:val="nil"/>
                <w:bottom w:val="nil"/>
                <w:right w:val="nil"/>
                <w:between w:val="nil"/>
              </w:pBdr>
              <w:spacing w:before="120" w:after="120"/>
            </w:pPr>
          </w:p>
        </w:tc>
        <w:tc>
          <w:tcPr>
            <w:tcW w:w="1539" w:type="dxa"/>
            <w:gridSpan w:val="3"/>
          </w:tcPr>
          <w:p w14:paraId="1808D826" w14:textId="77777777" w:rsidR="007960A8" w:rsidRDefault="007960A8">
            <w:pPr>
              <w:pBdr>
                <w:top w:val="nil"/>
                <w:left w:val="nil"/>
                <w:bottom w:val="nil"/>
                <w:right w:val="nil"/>
                <w:between w:val="nil"/>
              </w:pBdr>
              <w:spacing w:before="120" w:after="120"/>
            </w:pPr>
          </w:p>
        </w:tc>
        <w:tc>
          <w:tcPr>
            <w:tcW w:w="1493" w:type="dxa"/>
            <w:gridSpan w:val="2"/>
          </w:tcPr>
          <w:p w14:paraId="2658E9A5" w14:textId="77777777" w:rsidR="007960A8" w:rsidRDefault="007960A8">
            <w:pPr>
              <w:pBdr>
                <w:top w:val="nil"/>
                <w:left w:val="nil"/>
                <w:bottom w:val="nil"/>
                <w:right w:val="nil"/>
                <w:between w:val="nil"/>
              </w:pBdr>
              <w:spacing w:before="120" w:after="120"/>
            </w:pPr>
          </w:p>
        </w:tc>
        <w:tc>
          <w:tcPr>
            <w:tcW w:w="1960" w:type="dxa"/>
            <w:gridSpan w:val="2"/>
          </w:tcPr>
          <w:p w14:paraId="3C082F7D" w14:textId="77777777" w:rsidR="007960A8" w:rsidRDefault="007960A8">
            <w:pPr>
              <w:pBdr>
                <w:top w:val="nil"/>
                <w:left w:val="nil"/>
                <w:bottom w:val="nil"/>
                <w:right w:val="nil"/>
                <w:between w:val="nil"/>
              </w:pBdr>
              <w:spacing w:before="120" w:after="120"/>
            </w:pPr>
          </w:p>
        </w:tc>
        <w:tc>
          <w:tcPr>
            <w:tcW w:w="3717" w:type="dxa"/>
            <w:gridSpan w:val="6"/>
          </w:tcPr>
          <w:p w14:paraId="2112B25E" w14:textId="77777777" w:rsidR="007960A8" w:rsidRDefault="007960A8">
            <w:pPr>
              <w:pBdr>
                <w:top w:val="nil"/>
                <w:left w:val="nil"/>
                <w:bottom w:val="nil"/>
                <w:right w:val="nil"/>
                <w:between w:val="nil"/>
              </w:pBdr>
              <w:spacing w:before="120" w:after="120"/>
            </w:pPr>
          </w:p>
        </w:tc>
        <w:tc>
          <w:tcPr>
            <w:tcW w:w="1942" w:type="dxa"/>
            <w:gridSpan w:val="3"/>
          </w:tcPr>
          <w:p w14:paraId="65517F76" w14:textId="77777777" w:rsidR="007960A8" w:rsidRDefault="007960A8">
            <w:pPr>
              <w:pBdr>
                <w:top w:val="nil"/>
                <w:left w:val="nil"/>
                <w:bottom w:val="nil"/>
                <w:right w:val="nil"/>
                <w:between w:val="nil"/>
              </w:pBdr>
              <w:spacing w:before="120" w:after="120"/>
            </w:pPr>
          </w:p>
        </w:tc>
      </w:tr>
      <w:tr w:rsidR="007960A8" w14:paraId="64158611" w14:textId="77777777">
        <w:trPr>
          <w:gridAfter w:val="1"/>
        </w:trPr>
        <w:tc>
          <w:tcPr>
            <w:tcW w:w="390" w:type="dxa"/>
            <w:gridSpan w:val="2"/>
          </w:tcPr>
          <w:p w14:paraId="78FAD038"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4912FDC4" w14:textId="77777777" w:rsidR="007960A8" w:rsidRDefault="00A26397">
            <w:pPr>
              <w:pBdr>
                <w:top w:val="nil"/>
                <w:left w:val="nil"/>
                <w:bottom w:val="nil"/>
                <w:right w:val="nil"/>
                <w:between w:val="nil"/>
              </w:pBdr>
              <w:spacing w:before="120" w:after="120"/>
              <w:rPr>
                <w:b/>
                <w:bCs/>
              </w:rPr>
            </w:pPr>
            <w:r>
              <w:rPr>
                <w:b/>
                <w:bCs/>
              </w:rPr>
              <w:t>Emp No</w:t>
            </w:r>
          </w:p>
        </w:tc>
        <w:tc>
          <w:tcPr>
            <w:tcW w:w="1772" w:type="dxa"/>
            <w:gridSpan w:val="2"/>
          </w:tcPr>
          <w:p w14:paraId="789E17B3" w14:textId="77777777" w:rsidR="007960A8" w:rsidRDefault="007960A8">
            <w:pPr>
              <w:pBdr>
                <w:top w:val="nil"/>
                <w:left w:val="nil"/>
                <w:bottom w:val="nil"/>
                <w:right w:val="nil"/>
                <w:between w:val="nil"/>
              </w:pBdr>
              <w:spacing w:before="120" w:after="120"/>
            </w:pPr>
          </w:p>
        </w:tc>
        <w:tc>
          <w:tcPr>
            <w:tcW w:w="1641" w:type="dxa"/>
            <w:gridSpan w:val="4"/>
          </w:tcPr>
          <w:p w14:paraId="64002383" w14:textId="77777777" w:rsidR="007960A8" w:rsidRDefault="007960A8">
            <w:pPr>
              <w:pBdr>
                <w:top w:val="nil"/>
                <w:left w:val="nil"/>
                <w:bottom w:val="nil"/>
                <w:right w:val="nil"/>
                <w:between w:val="nil"/>
              </w:pBdr>
              <w:spacing w:before="120" w:after="120"/>
            </w:pPr>
          </w:p>
        </w:tc>
        <w:tc>
          <w:tcPr>
            <w:tcW w:w="1539" w:type="dxa"/>
            <w:gridSpan w:val="3"/>
          </w:tcPr>
          <w:p w14:paraId="745F5199" w14:textId="77777777" w:rsidR="007960A8" w:rsidRDefault="007960A8">
            <w:pPr>
              <w:pBdr>
                <w:top w:val="nil"/>
                <w:left w:val="nil"/>
                <w:bottom w:val="nil"/>
                <w:right w:val="nil"/>
                <w:between w:val="nil"/>
              </w:pBdr>
              <w:spacing w:before="120" w:after="120"/>
            </w:pPr>
          </w:p>
        </w:tc>
        <w:tc>
          <w:tcPr>
            <w:tcW w:w="1493" w:type="dxa"/>
            <w:gridSpan w:val="2"/>
          </w:tcPr>
          <w:p w14:paraId="07CA41D6" w14:textId="77777777" w:rsidR="007960A8" w:rsidRDefault="007960A8">
            <w:pPr>
              <w:pBdr>
                <w:top w:val="nil"/>
                <w:left w:val="nil"/>
                <w:bottom w:val="nil"/>
                <w:right w:val="nil"/>
                <w:between w:val="nil"/>
              </w:pBdr>
              <w:spacing w:before="120" w:after="120"/>
            </w:pPr>
          </w:p>
        </w:tc>
        <w:tc>
          <w:tcPr>
            <w:tcW w:w="1960" w:type="dxa"/>
            <w:gridSpan w:val="2"/>
          </w:tcPr>
          <w:p w14:paraId="754C6DE7" w14:textId="77777777" w:rsidR="007960A8" w:rsidRDefault="007960A8">
            <w:pPr>
              <w:pBdr>
                <w:top w:val="nil"/>
                <w:left w:val="nil"/>
                <w:bottom w:val="nil"/>
                <w:right w:val="nil"/>
                <w:between w:val="nil"/>
              </w:pBdr>
              <w:spacing w:before="120" w:after="120"/>
            </w:pPr>
          </w:p>
        </w:tc>
        <w:tc>
          <w:tcPr>
            <w:tcW w:w="3717" w:type="dxa"/>
            <w:gridSpan w:val="6"/>
          </w:tcPr>
          <w:p w14:paraId="10213BD8" w14:textId="77777777" w:rsidR="007960A8" w:rsidRDefault="007960A8">
            <w:pPr>
              <w:pBdr>
                <w:top w:val="nil"/>
                <w:left w:val="nil"/>
                <w:bottom w:val="nil"/>
                <w:right w:val="nil"/>
                <w:between w:val="nil"/>
              </w:pBdr>
              <w:spacing w:before="120" w:after="120"/>
            </w:pPr>
          </w:p>
        </w:tc>
        <w:tc>
          <w:tcPr>
            <w:tcW w:w="1942" w:type="dxa"/>
            <w:gridSpan w:val="3"/>
          </w:tcPr>
          <w:p w14:paraId="660189EF" w14:textId="77777777" w:rsidR="007960A8" w:rsidRDefault="007960A8">
            <w:pPr>
              <w:pBdr>
                <w:top w:val="nil"/>
                <w:left w:val="nil"/>
                <w:bottom w:val="nil"/>
                <w:right w:val="nil"/>
                <w:between w:val="nil"/>
              </w:pBdr>
              <w:spacing w:before="120" w:after="120"/>
            </w:pPr>
          </w:p>
        </w:tc>
      </w:tr>
      <w:tr w:rsidR="007960A8" w14:paraId="64F641C4" w14:textId="77777777">
        <w:trPr>
          <w:gridAfter w:val="1"/>
        </w:trPr>
        <w:tc>
          <w:tcPr>
            <w:tcW w:w="390" w:type="dxa"/>
            <w:gridSpan w:val="2"/>
          </w:tcPr>
          <w:p w14:paraId="28C517C3"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2C2D68A9" w14:textId="77777777" w:rsidR="007960A8" w:rsidRDefault="00A26397">
            <w:pPr>
              <w:pBdr>
                <w:top w:val="nil"/>
                <w:left w:val="nil"/>
                <w:bottom w:val="nil"/>
                <w:right w:val="nil"/>
                <w:between w:val="nil"/>
              </w:pBdr>
              <w:spacing w:before="120" w:after="120"/>
              <w:rPr>
                <w:b/>
                <w:bCs/>
              </w:rPr>
            </w:pPr>
            <w:r>
              <w:rPr>
                <w:b/>
                <w:bCs/>
              </w:rPr>
              <w:t>Emp No</w:t>
            </w:r>
          </w:p>
        </w:tc>
        <w:tc>
          <w:tcPr>
            <w:tcW w:w="1772" w:type="dxa"/>
            <w:gridSpan w:val="2"/>
          </w:tcPr>
          <w:p w14:paraId="6514E68C" w14:textId="77777777" w:rsidR="007960A8" w:rsidRDefault="007960A8">
            <w:pPr>
              <w:pBdr>
                <w:top w:val="nil"/>
                <w:left w:val="nil"/>
                <w:bottom w:val="nil"/>
                <w:right w:val="nil"/>
                <w:between w:val="nil"/>
              </w:pBdr>
              <w:spacing w:before="120" w:after="120"/>
            </w:pPr>
          </w:p>
        </w:tc>
        <w:tc>
          <w:tcPr>
            <w:tcW w:w="1641" w:type="dxa"/>
            <w:gridSpan w:val="4"/>
          </w:tcPr>
          <w:p w14:paraId="6DDD69D0" w14:textId="77777777" w:rsidR="007960A8" w:rsidRDefault="007960A8">
            <w:pPr>
              <w:pBdr>
                <w:top w:val="nil"/>
                <w:left w:val="nil"/>
                <w:bottom w:val="nil"/>
                <w:right w:val="nil"/>
                <w:between w:val="nil"/>
              </w:pBdr>
              <w:spacing w:before="120" w:after="120"/>
            </w:pPr>
          </w:p>
        </w:tc>
        <w:tc>
          <w:tcPr>
            <w:tcW w:w="1539" w:type="dxa"/>
            <w:gridSpan w:val="3"/>
          </w:tcPr>
          <w:p w14:paraId="62315269" w14:textId="77777777" w:rsidR="007960A8" w:rsidRDefault="007960A8">
            <w:pPr>
              <w:pBdr>
                <w:top w:val="nil"/>
                <w:left w:val="nil"/>
                <w:bottom w:val="nil"/>
                <w:right w:val="nil"/>
                <w:between w:val="nil"/>
              </w:pBdr>
              <w:spacing w:before="120" w:after="120"/>
            </w:pPr>
          </w:p>
        </w:tc>
        <w:tc>
          <w:tcPr>
            <w:tcW w:w="1493" w:type="dxa"/>
            <w:gridSpan w:val="2"/>
          </w:tcPr>
          <w:p w14:paraId="19337E1B" w14:textId="77777777" w:rsidR="007960A8" w:rsidRDefault="007960A8">
            <w:pPr>
              <w:pBdr>
                <w:top w:val="nil"/>
                <w:left w:val="nil"/>
                <w:bottom w:val="nil"/>
                <w:right w:val="nil"/>
                <w:between w:val="nil"/>
              </w:pBdr>
              <w:spacing w:before="120" w:after="120"/>
            </w:pPr>
          </w:p>
        </w:tc>
        <w:tc>
          <w:tcPr>
            <w:tcW w:w="1960" w:type="dxa"/>
            <w:gridSpan w:val="2"/>
          </w:tcPr>
          <w:p w14:paraId="6779A43A" w14:textId="77777777" w:rsidR="007960A8" w:rsidRDefault="007960A8">
            <w:pPr>
              <w:pBdr>
                <w:top w:val="nil"/>
                <w:left w:val="nil"/>
                <w:bottom w:val="nil"/>
                <w:right w:val="nil"/>
                <w:between w:val="nil"/>
              </w:pBdr>
              <w:spacing w:before="120" w:after="120"/>
            </w:pPr>
          </w:p>
        </w:tc>
        <w:tc>
          <w:tcPr>
            <w:tcW w:w="3717" w:type="dxa"/>
            <w:gridSpan w:val="6"/>
          </w:tcPr>
          <w:p w14:paraId="409E3DC8" w14:textId="77777777" w:rsidR="007960A8" w:rsidRDefault="007960A8">
            <w:pPr>
              <w:pBdr>
                <w:top w:val="nil"/>
                <w:left w:val="nil"/>
                <w:bottom w:val="nil"/>
                <w:right w:val="nil"/>
                <w:between w:val="nil"/>
              </w:pBdr>
              <w:spacing w:before="120" w:after="120"/>
            </w:pPr>
          </w:p>
        </w:tc>
        <w:tc>
          <w:tcPr>
            <w:tcW w:w="1942" w:type="dxa"/>
            <w:gridSpan w:val="3"/>
          </w:tcPr>
          <w:p w14:paraId="11B4ED0A" w14:textId="77777777" w:rsidR="007960A8" w:rsidRDefault="007960A8">
            <w:pPr>
              <w:pBdr>
                <w:top w:val="nil"/>
                <w:left w:val="nil"/>
                <w:bottom w:val="nil"/>
                <w:right w:val="nil"/>
                <w:between w:val="nil"/>
              </w:pBdr>
              <w:spacing w:before="120" w:after="120"/>
            </w:pPr>
          </w:p>
        </w:tc>
      </w:tr>
      <w:tr w:rsidR="007960A8" w14:paraId="6B3F5E74" w14:textId="77777777">
        <w:trPr>
          <w:gridAfter w:val="1"/>
        </w:trPr>
        <w:tc>
          <w:tcPr>
            <w:tcW w:w="390" w:type="dxa"/>
            <w:gridSpan w:val="2"/>
          </w:tcPr>
          <w:p w14:paraId="5645F1B1"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5455E5F2" w14:textId="77777777" w:rsidR="007960A8" w:rsidRDefault="00A26397">
            <w:pPr>
              <w:pBdr>
                <w:top w:val="nil"/>
                <w:left w:val="nil"/>
                <w:bottom w:val="nil"/>
                <w:right w:val="nil"/>
                <w:between w:val="nil"/>
              </w:pBdr>
              <w:spacing w:before="120" w:after="120"/>
              <w:rPr>
                <w:b/>
                <w:bCs/>
              </w:rPr>
            </w:pPr>
            <w:r>
              <w:rPr>
                <w:b/>
                <w:bCs/>
              </w:rPr>
              <w:t>Emp No</w:t>
            </w:r>
          </w:p>
        </w:tc>
        <w:tc>
          <w:tcPr>
            <w:tcW w:w="1772" w:type="dxa"/>
            <w:gridSpan w:val="2"/>
          </w:tcPr>
          <w:p w14:paraId="7E635C29" w14:textId="77777777" w:rsidR="007960A8" w:rsidRDefault="007960A8">
            <w:pPr>
              <w:pBdr>
                <w:top w:val="nil"/>
                <w:left w:val="nil"/>
                <w:bottom w:val="nil"/>
                <w:right w:val="nil"/>
                <w:between w:val="nil"/>
              </w:pBdr>
              <w:spacing w:before="120" w:after="120"/>
            </w:pPr>
          </w:p>
        </w:tc>
        <w:tc>
          <w:tcPr>
            <w:tcW w:w="1641" w:type="dxa"/>
            <w:gridSpan w:val="4"/>
          </w:tcPr>
          <w:p w14:paraId="44D39CA3" w14:textId="77777777" w:rsidR="007960A8" w:rsidRDefault="007960A8">
            <w:pPr>
              <w:pBdr>
                <w:top w:val="nil"/>
                <w:left w:val="nil"/>
                <w:bottom w:val="nil"/>
                <w:right w:val="nil"/>
                <w:between w:val="nil"/>
              </w:pBdr>
              <w:spacing w:before="120" w:after="120"/>
            </w:pPr>
          </w:p>
        </w:tc>
        <w:tc>
          <w:tcPr>
            <w:tcW w:w="1539" w:type="dxa"/>
            <w:gridSpan w:val="3"/>
          </w:tcPr>
          <w:p w14:paraId="052CE9EB" w14:textId="77777777" w:rsidR="007960A8" w:rsidRDefault="007960A8">
            <w:pPr>
              <w:pBdr>
                <w:top w:val="nil"/>
                <w:left w:val="nil"/>
                <w:bottom w:val="nil"/>
                <w:right w:val="nil"/>
                <w:between w:val="nil"/>
              </w:pBdr>
              <w:spacing w:before="120" w:after="120"/>
            </w:pPr>
          </w:p>
        </w:tc>
        <w:tc>
          <w:tcPr>
            <w:tcW w:w="1493" w:type="dxa"/>
            <w:gridSpan w:val="2"/>
          </w:tcPr>
          <w:p w14:paraId="2716818A" w14:textId="77777777" w:rsidR="007960A8" w:rsidRDefault="007960A8">
            <w:pPr>
              <w:pBdr>
                <w:top w:val="nil"/>
                <w:left w:val="nil"/>
                <w:bottom w:val="nil"/>
                <w:right w:val="nil"/>
                <w:between w:val="nil"/>
              </w:pBdr>
              <w:spacing w:before="120" w:after="120"/>
            </w:pPr>
          </w:p>
        </w:tc>
        <w:tc>
          <w:tcPr>
            <w:tcW w:w="1960" w:type="dxa"/>
            <w:gridSpan w:val="2"/>
          </w:tcPr>
          <w:p w14:paraId="25744235" w14:textId="77777777" w:rsidR="007960A8" w:rsidRDefault="007960A8">
            <w:pPr>
              <w:pBdr>
                <w:top w:val="nil"/>
                <w:left w:val="nil"/>
                <w:bottom w:val="nil"/>
                <w:right w:val="nil"/>
                <w:between w:val="nil"/>
              </w:pBdr>
              <w:spacing w:before="120" w:after="120"/>
            </w:pPr>
          </w:p>
        </w:tc>
        <w:tc>
          <w:tcPr>
            <w:tcW w:w="3717" w:type="dxa"/>
            <w:gridSpan w:val="6"/>
          </w:tcPr>
          <w:p w14:paraId="781CB222" w14:textId="77777777" w:rsidR="007960A8" w:rsidRDefault="007960A8">
            <w:pPr>
              <w:pBdr>
                <w:top w:val="nil"/>
                <w:left w:val="nil"/>
                <w:bottom w:val="nil"/>
                <w:right w:val="nil"/>
                <w:between w:val="nil"/>
              </w:pBdr>
              <w:spacing w:before="120" w:after="120"/>
            </w:pPr>
          </w:p>
        </w:tc>
        <w:tc>
          <w:tcPr>
            <w:tcW w:w="1942" w:type="dxa"/>
            <w:gridSpan w:val="3"/>
          </w:tcPr>
          <w:p w14:paraId="7FEABC1B" w14:textId="77777777" w:rsidR="007960A8" w:rsidRDefault="007960A8">
            <w:pPr>
              <w:pBdr>
                <w:top w:val="nil"/>
                <w:left w:val="nil"/>
                <w:bottom w:val="nil"/>
                <w:right w:val="nil"/>
                <w:between w:val="nil"/>
              </w:pBdr>
              <w:spacing w:before="120" w:after="120"/>
            </w:pPr>
          </w:p>
        </w:tc>
      </w:tr>
      <w:tr w:rsidR="007960A8" w14:paraId="137982CB" w14:textId="77777777">
        <w:trPr>
          <w:gridAfter w:val="1"/>
        </w:trPr>
        <w:tc>
          <w:tcPr>
            <w:tcW w:w="390" w:type="dxa"/>
            <w:gridSpan w:val="2"/>
          </w:tcPr>
          <w:p w14:paraId="791771B6" w14:textId="77777777" w:rsidR="007960A8" w:rsidRDefault="007960A8">
            <w:pPr>
              <w:pBdr>
                <w:top w:val="nil"/>
                <w:left w:val="nil"/>
                <w:bottom w:val="nil"/>
                <w:right w:val="nil"/>
                <w:between w:val="nil"/>
              </w:pBdr>
              <w:spacing w:before="120" w:after="120"/>
            </w:pPr>
          </w:p>
        </w:tc>
        <w:tc>
          <w:tcPr>
            <w:tcW w:w="998" w:type="dxa"/>
            <w:gridSpan w:val="2"/>
            <w:shd w:val="clear" w:color="auto" w:fill="CCECFF"/>
          </w:tcPr>
          <w:p w14:paraId="137250C6" w14:textId="77777777" w:rsidR="007960A8" w:rsidRDefault="00A26397">
            <w:pPr>
              <w:pBdr>
                <w:top w:val="nil"/>
                <w:left w:val="nil"/>
                <w:bottom w:val="nil"/>
                <w:right w:val="nil"/>
                <w:between w:val="nil"/>
              </w:pBdr>
              <w:spacing w:before="120" w:after="120"/>
              <w:rPr>
                <w:b/>
                <w:bCs/>
              </w:rPr>
            </w:pPr>
            <w:r>
              <w:rPr>
                <w:b/>
                <w:bCs/>
              </w:rPr>
              <w:t>Emp No</w:t>
            </w:r>
          </w:p>
        </w:tc>
        <w:tc>
          <w:tcPr>
            <w:tcW w:w="1772" w:type="dxa"/>
            <w:gridSpan w:val="2"/>
          </w:tcPr>
          <w:p w14:paraId="239186EF" w14:textId="77777777" w:rsidR="007960A8" w:rsidRDefault="007960A8">
            <w:pPr>
              <w:pBdr>
                <w:top w:val="nil"/>
                <w:left w:val="nil"/>
                <w:bottom w:val="nil"/>
                <w:right w:val="nil"/>
                <w:between w:val="nil"/>
              </w:pBdr>
              <w:spacing w:before="120" w:after="120"/>
            </w:pPr>
          </w:p>
        </w:tc>
        <w:tc>
          <w:tcPr>
            <w:tcW w:w="1641" w:type="dxa"/>
            <w:gridSpan w:val="4"/>
          </w:tcPr>
          <w:p w14:paraId="20F251D9" w14:textId="77777777" w:rsidR="007960A8" w:rsidRDefault="007960A8">
            <w:pPr>
              <w:pBdr>
                <w:top w:val="nil"/>
                <w:left w:val="nil"/>
                <w:bottom w:val="nil"/>
                <w:right w:val="nil"/>
                <w:between w:val="nil"/>
              </w:pBdr>
              <w:spacing w:before="120" w:after="120"/>
            </w:pPr>
          </w:p>
        </w:tc>
        <w:tc>
          <w:tcPr>
            <w:tcW w:w="1539" w:type="dxa"/>
            <w:gridSpan w:val="3"/>
          </w:tcPr>
          <w:p w14:paraId="0B3AAF34" w14:textId="77777777" w:rsidR="007960A8" w:rsidRDefault="007960A8">
            <w:pPr>
              <w:pBdr>
                <w:top w:val="nil"/>
                <w:left w:val="nil"/>
                <w:bottom w:val="nil"/>
                <w:right w:val="nil"/>
                <w:between w:val="nil"/>
              </w:pBdr>
              <w:spacing w:before="120" w:after="120"/>
            </w:pPr>
          </w:p>
        </w:tc>
        <w:tc>
          <w:tcPr>
            <w:tcW w:w="1493" w:type="dxa"/>
            <w:gridSpan w:val="2"/>
          </w:tcPr>
          <w:p w14:paraId="6560084C" w14:textId="77777777" w:rsidR="007960A8" w:rsidRDefault="007960A8">
            <w:pPr>
              <w:pBdr>
                <w:top w:val="nil"/>
                <w:left w:val="nil"/>
                <w:bottom w:val="nil"/>
                <w:right w:val="nil"/>
                <w:between w:val="nil"/>
              </w:pBdr>
              <w:spacing w:before="120" w:after="120"/>
            </w:pPr>
          </w:p>
        </w:tc>
        <w:tc>
          <w:tcPr>
            <w:tcW w:w="1960" w:type="dxa"/>
            <w:gridSpan w:val="2"/>
          </w:tcPr>
          <w:p w14:paraId="302B4478" w14:textId="77777777" w:rsidR="007960A8" w:rsidRDefault="007960A8">
            <w:pPr>
              <w:pBdr>
                <w:top w:val="nil"/>
                <w:left w:val="nil"/>
                <w:bottom w:val="nil"/>
                <w:right w:val="nil"/>
                <w:between w:val="nil"/>
              </w:pBdr>
              <w:spacing w:before="120" w:after="120"/>
            </w:pPr>
          </w:p>
        </w:tc>
        <w:tc>
          <w:tcPr>
            <w:tcW w:w="3717" w:type="dxa"/>
            <w:gridSpan w:val="6"/>
          </w:tcPr>
          <w:p w14:paraId="06EE88E9" w14:textId="77777777" w:rsidR="007960A8" w:rsidRDefault="007960A8">
            <w:pPr>
              <w:pBdr>
                <w:top w:val="nil"/>
                <w:left w:val="nil"/>
                <w:bottom w:val="nil"/>
                <w:right w:val="nil"/>
                <w:between w:val="nil"/>
              </w:pBdr>
              <w:spacing w:before="120" w:after="120"/>
            </w:pPr>
          </w:p>
        </w:tc>
        <w:tc>
          <w:tcPr>
            <w:tcW w:w="1942" w:type="dxa"/>
            <w:gridSpan w:val="3"/>
          </w:tcPr>
          <w:p w14:paraId="080719E8" w14:textId="77777777" w:rsidR="007960A8" w:rsidRDefault="007960A8">
            <w:pPr>
              <w:pBdr>
                <w:top w:val="nil"/>
                <w:left w:val="nil"/>
                <w:bottom w:val="nil"/>
                <w:right w:val="nil"/>
                <w:between w:val="nil"/>
              </w:pBdr>
              <w:spacing w:before="120" w:after="120"/>
            </w:pPr>
          </w:p>
        </w:tc>
      </w:tr>
      <w:tr w:rsidR="007960A8" w14:paraId="78FCFA0C" w14:textId="77777777">
        <w:trPr>
          <w:gridAfter w:val="1"/>
        </w:trPr>
        <w:tc>
          <w:tcPr>
            <w:tcW w:w="250" w:type="dxa"/>
          </w:tcPr>
          <w:p w14:paraId="379B7159" w14:textId="77777777" w:rsidR="007960A8" w:rsidRDefault="007960A8">
            <w:pPr>
              <w:pBdr>
                <w:top w:val="nil"/>
                <w:left w:val="nil"/>
                <w:bottom w:val="nil"/>
                <w:right w:val="nil"/>
                <w:between w:val="nil"/>
              </w:pBdr>
              <w:spacing w:before="120" w:after="120"/>
            </w:pPr>
          </w:p>
        </w:tc>
        <w:tc>
          <w:tcPr>
            <w:tcW w:w="997" w:type="dxa"/>
            <w:gridSpan w:val="2"/>
            <w:tcBorders>
              <w:top w:val="nil"/>
              <w:left w:val="nil"/>
              <w:bottom w:val="single" w:sz="4" w:space="0" w:color="000000"/>
            </w:tcBorders>
          </w:tcPr>
          <w:p w14:paraId="615847BC" w14:textId="77777777" w:rsidR="007960A8" w:rsidRDefault="007960A8">
            <w:pPr>
              <w:pBdr>
                <w:top w:val="nil"/>
                <w:left w:val="nil"/>
                <w:bottom w:val="nil"/>
                <w:right w:val="nil"/>
                <w:between w:val="nil"/>
              </w:pBdr>
              <w:spacing w:before="120" w:after="120"/>
            </w:pPr>
          </w:p>
        </w:tc>
        <w:tc>
          <w:tcPr>
            <w:tcW w:w="2848" w:type="dxa"/>
            <w:gridSpan w:val="5"/>
            <w:shd w:val="clear" w:color="auto" w:fill="F4B083"/>
          </w:tcPr>
          <w:p w14:paraId="12C4E06D" w14:textId="77777777" w:rsidR="007960A8" w:rsidRDefault="00A26397">
            <w:pPr>
              <w:pBdr>
                <w:top w:val="nil"/>
                <w:left w:val="nil"/>
                <w:bottom w:val="nil"/>
                <w:right w:val="nil"/>
                <w:between w:val="nil"/>
              </w:pBdr>
              <w:spacing w:before="120" w:after="120"/>
              <w:rPr>
                <w:b/>
                <w:bCs/>
              </w:rPr>
            </w:pPr>
            <w:r>
              <w:rPr>
                <w:b/>
                <w:bCs/>
              </w:rPr>
              <w:t>ASSIGNMENT</w:t>
            </w:r>
          </w:p>
        </w:tc>
        <w:tc>
          <w:tcPr>
            <w:tcW w:w="11357" w:type="dxa"/>
            <w:gridSpan w:val="18"/>
            <w:shd w:val="clear" w:color="auto" w:fill="A8D08D"/>
          </w:tcPr>
          <w:p w14:paraId="25E26302" w14:textId="77777777" w:rsidR="007960A8" w:rsidRDefault="00A26397">
            <w:pPr>
              <w:pBdr>
                <w:top w:val="nil"/>
                <w:left w:val="nil"/>
                <w:bottom w:val="nil"/>
                <w:right w:val="nil"/>
                <w:between w:val="nil"/>
              </w:pBdr>
              <w:spacing w:before="120" w:after="120"/>
              <w:rPr>
                <w:b/>
                <w:bCs/>
              </w:rPr>
            </w:pPr>
            <w:r>
              <w:rPr>
                <w:b/>
                <w:bCs/>
              </w:rPr>
              <w:t>CONTRACTUAL PAY AND BENEFITS</w:t>
            </w:r>
          </w:p>
        </w:tc>
      </w:tr>
      <w:tr w:rsidR="007960A8" w14:paraId="64B958C4" w14:textId="77777777">
        <w:trPr>
          <w:gridAfter w:val="1"/>
          <w:trHeight w:val="2033"/>
        </w:trPr>
        <w:tc>
          <w:tcPr>
            <w:tcW w:w="250" w:type="dxa"/>
          </w:tcPr>
          <w:p w14:paraId="1C1192A7" w14:textId="77777777" w:rsidR="007960A8" w:rsidRDefault="007960A8">
            <w:pPr>
              <w:pBdr>
                <w:top w:val="nil"/>
                <w:left w:val="nil"/>
                <w:bottom w:val="nil"/>
                <w:right w:val="nil"/>
                <w:between w:val="nil"/>
              </w:pBdr>
              <w:spacing w:before="120" w:after="120"/>
              <w:rPr>
                <w:b/>
                <w:bCs/>
              </w:rPr>
            </w:pPr>
          </w:p>
        </w:tc>
        <w:tc>
          <w:tcPr>
            <w:tcW w:w="997" w:type="dxa"/>
            <w:gridSpan w:val="2"/>
            <w:shd w:val="clear" w:color="auto" w:fill="CCECFF"/>
            <w:vAlign w:val="center"/>
          </w:tcPr>
          <w:p w14:paraId="6933C08C" w14:textId="77777777" w:rsidR="007960A8" w:rsidRDefault="00A26397">
            <w:pPr>
              <w:pBdr>
                <w:top w:val="nil"/>
                <w:left w:val="nil"/>
                <w:bottom w:val="nil"/>
                <w:right w:val="nil"/>
                <w:between w:val="nil"/>
              </w:pBdr>
              <w:spacing w:before="120" w:after="120"/>
              <w:rPr>
                <w:b/>
                <w:bCs/>
              </w:rPr>
            </w:pPr>
            <w:r>
              <w:rPr>
                <w:b/>
                <w:bCs/>
              </w:rPr>
              <w:t>Details</w:t>
            </w:r>
          </w:p>
        </w:tc>
        <w:tc>
          <w:tcPr>
            <w:tcW w:w="2848" w:type="dxa"/>
            <w:gridSpan w:val="5"/>
            <w:shd w:val="clear" w:color="auto" w:fill="F4B083"/>
            <w:vAlign w:val="center"/>
          </w:tcPr>
          <w:p w14:paraId="016E9753" w14:textId="77777777" w:rsidR="007960A8" w:rsidRDefault="00A26397">
            <w:pPr>
              <w:pBdr>
                <w:top w:val="nil"/>
                <w:left w:val="nil"/>
                <w:bottom w:val="nil"/>
                <w:right w:val="nil"/>
                <w:between w:val="nil"/>
              </w:pBdr>
              <w:spacing w:before="120" w:after="120"/>
              <w:rPr>
                <w:b/>
                <w:bCs/>
              </w:rPr>
            </w:pPr>
            <w:r>
              <w:rPr>
                <w:b/>
                <w:bCs/>
              </w:rPr>
              <w:t>% of working time dedicated to the provision of services under the contract</w:t>
            </w:r>
          </w:p>
        </w:tc>
        <w:tc>
          <w:tcPr>
            <w:tcW w:w="1432" w:type="dxa"/>
            <w:gridSpan w:val="3"/>
            <w:shd w:val="clear" w:color="auto" w:fill="A8D08D"/>
            <w:vAlign w:val="center"/>
          </w:tcPr>
          <w:p w14:paraId="0AB0042D" w14:textId="77777777" w:rsidR="007960A8" w:rsidRDefault="00A26397">
            <w:pPr>
              <w:pBdr>
                <w:top w:val="nil"/>
                <w:left w:val="nil"/>
                <w:bottom w:val="nil"/>
                <w:right w:val="nil"/>
                <w:between w:val="nil"/>
              </w:pBdr>
              <w:spacing w:before="120" w:after="120"/>
              <w:rPr>
                <w:b/>
                <w:bCs/>
              </w:rPr>
            </w:pPr>
            <w:r>
              <w:rPr>
                <w:b/>
                <w:bCs/>
              </w:rPr>
              <w:t>Salary (or hourly rate of pay)</w:t>
            </w:r>
          </w:p>
        </w:tc>
        <w:tc>
          <w:tcPr>
            <w:tcW w:w="1519" w:type="dxa"/>
            <w:gridSpan w:val="3"/>
            <w:shd w:val="clear" w:color="auto" w:fill="A8D08D"/>
            <w:vAlign w:val="center"/>
          </w:tcPr>
          <w:p w14:paraId="1D9CEE98" w14:textId="77777777" w:rsidR="007960A8" w:rsidRDefault="00A26397">
            <w:pPr>
              <w:pBdr>
                <w:top w:val="nil"/>
                <w:left w:val="nil"/>
                <w:bottom w:val="nil"/>
                <w:right w:val="nil"/>
                <w:between w:val="nil"/>
              </w:pBdr>
              <w:spacing w:before="120" w:after="120"/>
              <w:rPr>
                <w:b/>
                <w:bCs/>
              </w:rPr>
            </w:pPr>
            <w:r>
              <w:rPr>
                <w:b/>
                <w:bCs/>
              </w:rPr>
              <w:t>Payment interval (weekly / fortnightly / monthly)</w:t>
            </w:r>
          </w:p>
        </w:tc>
        <w:tc>
          <w:tcPr>
            <w:tcW w:w="3168" w:type="dxa"/>
            <w:gridSpan w:val="4"/>
            <w:shd w:val="clear" w:color="auto" w:fill="A8D08D"/>
            <w:vAlign w:val="center"/>
          </w:tcPr>
          <w:p w14:paraId="2879FDB2" w14:textId="77777777" w:rsidR="007960A8" w:rsidRDefault="00A26397">
            <w:pPr>
              <w:pBdr>
                <w:top w:val="nil"/>
                <w:left w:val="nil"/>
                <w:bottom w:val="nil"/>
                <w:right w:val="nil"/>
                <w:between w:val="nil"/>
              </w:pBdr>
              <w:spacing w:before="120" w:after="120"/>
              <w:rPr>
                <w:b/>
                <w:bCs/>
              </w:rPr>
            </w:pPr>
            <w:r>
              <w:rPr>
                <w:b/>
                <w:bCs/>
              </w:rPr>
              <w:t>Bonus payment for previous 12 months (please specify whether contractual or discretionary entitlement)</w:t>
            </w:r>
          </w:p>
        </w:tc>
        <w:tc>
          <w:tcPr>
            <w:tcW w:w="1222" w:type="dxa"/>
            <w:gridSpan w:val="2"/>
            <w:shd w:val="clear" w:color="auto" w:fill="A8D08D"/>
            <w:vAlign w:val="center"/>
          </w:tcPr>
          <w:p w14:paraId="6B0667E5" w14:textId="77777777" w:rsidR="007960A8" w:rsidRDefault="00A26397">
            <w:pPr>
              <w:pBdr>
                <w:top w:val="nil"/>
                <w:left w:val="nil"/>
                <w:bottom w:val="nil"/>
                <w:right w:val="nil"/>
                <w:between w:val="nil"/>
              </w:pBdr>
              <w:spacing w:before="120" w:after="120"/>
              <w:rPr>
                <w:b/>
                <w:bCs/>
              </w:rPr>
            </w:pPr>
            <w:r>
              <w:rPr>
                <w:b/>
                <w:bCs/>
              </w:rPr>
              <w:t>Pay review method</w:t>
            </w:r>
          </w:p>
        </w:tc>
        <w:tc>
          <w:tcPr>
            <w:tcW w:w="1420" w:type="dxa"/>
            <w:gridSpan w:val="2"/>
            <w:shd w:val="clear" w:color="auto" w:fill="A8D08D"/>
            <w:vAlign w:val="center"/>
          </w:tcPr>
          <w:p w14:paraId="6FCCB6A9" w14:textId="77777777" w:rsidR="007960A8" w:rsidRDefault="00A26397">
            <w:pPr>
              <w:pBdr>
                <w:top w:val="nil"/>
                <w:left w:val="nil"/>
                <w:bottom w:val="nil"/>
                <w:right w:val="nil"/>
                <w:between w:val="nil"/>
              </w:pBdr>
              <w:spacing w:before="120" w:after="120"/>
              <w:rPr>
                <w:b/>
                <w:bCs/>
              </w:rPr>
            </w:pPr>
            <w:r>
              <w:rPr>
                <w:b/>
                <w:bCs/>
              </w:rPr>
              <w:t>Frequency of pay reviews</w:t>
            </w:r>
          </w:p>
        </w:tc>
        <w:tc>
          <w:tcPr>
            <w:tcW w:w="1389" w:type="dxa"/>
            <w:gridSpan w:val="3"/>
            <w:shd w:val="clear" w:color="auto" w:fill="A8D08D"/>
            <w:vAlign w:val="center"/>
          </w:tcPr>
          <w:p w14:paraId="1B885A5F" w14:textId="77777777" w:rsidR="007960A8" w:rsidRDefault="00A26397">
            <w:pPr>
              <w:pBdr>
                <w:top w:val="nil"/>
                <w:left w:val="nil"/>
                <w:bottom w:val="nil"/>
                <w:right w:val="nil"/>
                <w:between w:val="nil"/>
              </w:pBdr>
              <w:spacing w:before="120" w:after="120"/>
              <w:rPr>
                <w:b/>
                <w:bCs/>
              </w:rPr>
            </w:pPr>
            <w:r>
              <w:rPr>
                <w:b/>
                <w:bCs/>
              </w:rPr>
              <w:t>Agreed pay increases</w:t>
            </w:r>
          </w:p>
        </w:tc>
        <w:tc>
          <w:tcPr>
            <w:tcW w:w="1207" w:type="dxa"/>
            <w:shd w:val="clear" w:color="auto" w:fill="A8D08D"/>
            <w:vAlign w:val="center"/>
          </w:tcPr>
          <w:p w14:paraId="58FFB46B" w14:textId="77777777" w:rsidR="007960A8" w:rsidRDefault="00A26397">
            <w:pPr>
              <w:pBdr>
                <w:top w:val="nil"/>
                <w:left w:val="nil"/>
                <w:bottom w:val="nil"/>
                <w:right w:val="nil"/>
                <w:between w:val="nil"/>
              </w:pBdr>
              <w:spacing w:before="120" w:after="120"/>
              <w:rPr>
                <w:b/>
                <w:bCs/>
              </w:rPr>
            </w:pPr>
            <w:r>
              <w:rPr>
                <w:b/>
                <w:bCs/>
              </w:rPr>
              <w:t>Next pay review date</w:t>
            </w:r>
          </w:p>
        </w:tc>
      </w:tr>
      <w:tr w:rsidR="007960A8" w14:paraId="5537FB1E" w14:textId="77777777">
        <w:trPr>
          <w:gridAfter w:val="1"/>
        </w:trPr>
        <w:tc>
          <w:tcPr>
            <w:tcW w:w="250" w:type="dxa"/>
          </w:tcPr>
          <w:p w14:paraId="358F469F" w14:textId="77777777" w:rsidR="007960A8" w:rsidRDefault="007960A8">
            <w:pPr>
              <w:pBdr>
                <w:top w:val="nil"/>
                <w:left w:val="nil"/>
                <w:bottom w:val="nil"/>
                <w:right w:val="nil"/>
                <w:between w:val="nil"/>
              </w:pBdr>
              <w:spacing w:before="120" w:after="120"/>
              <w:rPr>
                <w:b/>
                <w:bCs/>
              </w:rPr>
            </w:pPr>
          </w:p>
        </w:tc>
        <w:tc>
          <w:tcPr>
            <w:tcW w:w="997" w:type="dxa"/>
            <w:gridSpan w:val="2"/>
            <w:shd w:val="clear" w:color="auto" w:fill="CCECFF"/>
          </w:tcPr>
          <w:p w14:paraId="54951F6C" w14:textId="77777777" w:rsidR="007960A8" w:rsidRDefault="00A26397">
            <w:pPr>
              <w:pBdr>
                <w:top w:val="nil"/>
                <w:left w:val="nil"/>
                <w:bottom w:val="nil"/>
                <w:right w:val="nil"/>
                <w:between w:val="nil"/>
              </w:pBdr>
              <w:spacing w:before="120" w:after="120"/>
              <w:rPr>
                <w:b/>
                <w:bCs/>
              </w:rPr>
            </w:pPr>
            <w:r>
              <w:rPr>
                <w:b/>
                <w:bCs/>
              </w:rPr>
              <w:t>Emp No 1</w:t>
            </w:r>
          </w:p>
        </w:tc>
        <w:tc>
          <w:tcPr>
            <w:tcW w:w="2848" w:type="dxa"/>
            <w:gridSpan w:val="5"/>
          </w:tcPr>
          <w:p w14:paraId="77E34E05" w14:textId="77777777" w:rsidR="007960A8" w:rsidRDefault="007960A8">
            <w:pPr>
              <w:pBdr>
                <w:top w:val="nil"/>
                <w:left w:val="nil"/>
                <w:bottom w:val="nil"/>
                <w:right w:val="nil"/>
                <w:between w:val="nil"/>
              </w:pBdr>
              <w:spacing w:before="120" w:after="120"/>
            </w:pPr>
          </w:p>
        </w:tc>
        <w:tc>
          <w:tcPr>
            <w:tcW w:w="1432" w:type="dxa"/>
            <w:gridSpan w:val="3"/>
          </w:tcPr>
          <w:p w14:paraId="66350336" w14:textId="77777777" w:rsidR="007960A8" w:rsidRDefault="007960A8">
            <w:pPr>
              <w:pBdr>
                <w:top w:val="nil"/>
                <w:left w:val="nil"/>
                <w:bottom w:val="nil"/>
                <w:right w:val="nil"/>
                <w:between w:val="nil"/>
              </w:pBdr>
              <w:spacing w:before="120" w:after="120"/>
            </w:pPr>
          </w:p>
        </w:tc>
        <w:tc>
          <w:tcPr>
            <w:tcW w:w="1519" w:type="dxa"/>
            <w:gridSpan w:val="3"/>
          </w:tcPr>
          <w:p w14:paraId="1AC90FF4" w14:textId="77777777" w:rsidR="007960A8" w:rsidRDefault="007960A8">
            <w:pPr>
              <w:pBdr>
                <w:top w:val="nil"/>
                <w:left w:val="nil"/>
                <w:bottom w:val="nil"/>
                <w:right w:val="nil"/>
                <w:between w:val="nil"/>
              </w:pBdr>
              <w:spacing w:before="120" w:after="120"/>
            </w:pPr>
          </w:p>
        </w:tc>
        <w:tc>
          <w:tcPr>
            <w:tcW w:w="3168" w:type="dxa"/>
            <w:gridSpan w:val="4"/>
          </w:tcPr>
          <w:p w14:paraId="2E75B53F" w14:textId="77777777" w:rsidR="007960A8" w:rsidRDefault="007960A8">
            <w:pPr>
              <w:pBdr>
                <w:top w:val="nil"/>
                <w:left w:val="nil"/>
                <w:bottom w:val="nil"/>
                <w:right w:val="nil"/>
                <w:between w:val="nil"/>
              </w:pBdr>
              <w:spacing w:before="120" w:after="120"/>
            </w:pPr>
          </w:p>
        </w:tc>
        <w:tc>
          <w:tcPr>
            <w:tcW w:w="1222" w:type="dxa"/>
            <w:gridSpan w:val="2"/>
          </w:tcPr>
          <w:p w14:paraId="74B6EECD" w14:textId="77777777" w:rsidR="007960A8" w:rsidRDefault="007960A8">
            <w:pPr>
              <w:pBdr>
                <w:top w:val="nil"/>
                <w:left w:val="nil"/>
                <w:bottom w:val="nil"/>
                <w:right w:val="nil"/>
                <w:between w:val="nil"/>
              </w:pBdr>
              <w:spacing w:before="120" w:after="120"/>
            </w:pPr>
          </w:p>
        </w:tc>
        <w:tc>
          <w:tcPr>
            <w:tcW w:w="1420" w:type="dxa"/>
            <w:gridSpan w:val="2"/>
          </w:tcPr>
          <w:p w14:paraId="28F4222A" w14:textId="77777777" w:rsidR="007960A8" w:rsidRDefault="007960A8">
            <w:pPr>
              <w:pBdr>
                <w:top w:val="nil"/>
                <w:left w:val="nil"/>
                <w:bottom w:val="nil"/>
                <w:right w:val="nil"/>
                <w:between w:val="nil"/>
              </w:pBdr>
              <w:spacing w:before="120" w:after="120"/>
            </w:pPr>
          </w:p>
        </w:tc>
        <w:tc>
          <w:tcPr>
            <w:tcW w:w="1389" w:type="dxa"/>
            <w:gridSpan w:val="3"/>
          </w:tcPr>
          <w:p w14:paraId="38CF6A1E" w14:textId="77777777" w:rsidR="007960A8" w:rsidRDefault="007960A8">
            <w:pPr>
              <w:pBdr>
                <w:top w:val="nil"/>
                <w:left w:val="nil"/>
                <w:bottom w:val="nil"/>
                <w:right w:val="nil"/>
                <w:between w:val="nil"/>
              </w:pBdr>
              <w:spacing w:before="120" w:after="120"/>
            </w:pPr>
          </w:p>
        </w:tc>
        <w:tc>
          <w:tcPr>
            <w:tcW w:w="1207" w:type="dxa"/>
          </w:tcPr>
          <w:p w14:paraId="0826D7F8" w14:textId="77777777" w:rsidR="007960A8" w:rsidRDefault="007960A8">
            <w:pPr>
              <w:pBdr>
                <w:top w:val="nil"/>
                <w:left w:val="nil"/>
                <w:bottom w:val="nil"/>
                <w:right w:val="nil"/>
                <w:between w:val="nil"/>
              </w:pBdr>
              <w:spacing w:before="120" w:after="120"/>
            </w:pPr>
          </w:p>
        </w:tc>
      </w:tr>
      <w:tr w:rsidR="007960A8" w14:paraId="560D9A9B" w14:textId="77777777">
        <w:trPr>
          <w:gridAfter w:val="1"/>
        </w:trPr>
        <w:tc>
          <w:tcPr>
            <w:tcW w:w="250" w:type="dxa"/>
          </w:tcPr>
          <w:p w14:paraId="5FA98650"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059291CB" w14:textId="77777777" w:rsidR="007960A8" w:rsidRDefault="00A26397">
            <w:pPr>
              <w:pBdr>
                <w:top w:val="nil"/>
                <w:left w:val="nil"/>
                <w:bottom w:val="nil"/>
                <w:right w:val="nil"/>
                <w:between w:val="nil"/>
              </w:pBdr>
              <w:spacing w:before="120" w:after="120"/>
              <w:rPr>
                <w:b/>
                <w:bCs/>
              </w:rPr>
            </w:pPr>
            <w:r>
              <w:rPr>
                <w:b/>
                <w:bCs/>
              </w:rPr>
              <w:t>Emp No 2</w:t>
            </w:r>
          </w:p>
        </w:tc>
        <w:tc>
          <w:tcPr>
            <w:tcW w:w="2848" w:type="dxa"/>
            <w:gridSpan w:val="5"/>
          </w:tcPr>
          <w:p w14:paraId="62EFCD58" w14:textId="77777777" w:rsidR="007960A8" w:rsidRDefault="007960A8">
            <w:pPr>
              <w:pBdr>
                <w:top w:val="nil"/>
                <w:left w:val="nil"/>
                <w:bottom w:val="nil"/>
                <w:right w:val="nil"/>
                <w:between w:val="nil"/>
              </w:pBdr>
              <w:spacing w:before="120" w:after="120"/>
            </w:pPr>
          </w:p>
        </w:tc>
        <w:tc>
          <w:tcPr>
            <w:tcW w:w="1432" w:type="dxa"/>
            <w:gridSpan w:val="3"/>
          </w:tcPr>
          <w:p w14:paraId="24A59671" w14:textId="77777777" w:rsidR="007960A8" w:rsidRDefault="007960A8">
            <w:pPr>
              <w:pBdr>
                <w:top w:val="nil"/>
                <w:left w:val="nil"/>
                <w:bottom w:val="nil"/>
                <w:right w:val="nil"/>
                <w:between w:val="nil"/>
              </w:pBdr>
              <w:spacing w:before="120" w:after="120"/>
            </w:pPr>
          </w:p>
        </w:tc>
        <w:tc>
          <w:tcPr>
            <w:tcW w:w="1519" w:type="dxa"/>
            <w:gridSpan w:val="3"/>
          </w:tcPr>
          <w:p w14:paraId="7F892EFC" w14:textId="77777777" w:rsidR="007960A8" w:rsidRDefault="007960A8">
            <w:pPr>
              <w:pBdr>
                <w:top w:val="nil"/>
                <w:left w:val="nil"/>
                <w:bottom w:val="nil"/>
                <w:right w:val="nil"/>
                <w:between w:val="nil"/>
              </w:pBdr>
              <w:spacing w:before="120" w:after="120"/>
            </w:pPr>
          </w:p>
        </w:tc>
        <w:tc>
          <w:tcPr>
            <w:tcW w:w="3168" w:type="dxa"/>
            <w:gridSpan w:val="4"/>
          </w:tcPr>
          <w:p w14:paraId="4CDC73C1" w14:textId="77777777" w:rsidR="007960A8" w:rsidRDefault="007960A8">
            <w:pPr>
              <w:pBdr>
                <w:top w:val="nil"/>
                <w:left w:val="nil"/>
                <w:bottom w:val="nil"/>
                <w:right w:val="nil"/>
                <w:between w:val="nil"/>
              </w:pBdr>
              <w:spacing w:before="120" w:after="120"/>
            </w:pPr>
          </w:p>
        </w:tc>
        <w:tc>
          <w:tcPr>
            <w:tcW w:w="1222" w:type="dxa"/>
            <w:gridSpan w:val="2"/>
          </w:tcPr>
          <w:p w14:paraId="405196D8" w14:textId="77777777" w:rsidR="007960A8" w:rsidRDefault="007960A8">
            <w:pPr>
              <w:pBdr>
                <w:top w:val="nil"/>
                <w:left w:val="nil"/>
                <w:bottom w:val="nil"/>
                <w:right w:val="nil"/>
                <w:between w:val="nil"/>
              </w:pBdr>
              <w:spacing w:before="120" w:after="120"/>
            </w:pPr>
          </w:p>
        </w:tc>
        <w:tc>
          <w:tcPr>
            <w:tcW w:w="1420" w:type="dxa"/>
            <w:gridSpan w:val="2"/>
          </w:tcPr>
          <w:p w14:paraId="1514AD3F" w14:textId="77777777" w:rsidR="007960A8" w:rsidRDefault="007960A8">
            <w:pPr>
              <w:pBdr>
                <w:top w:val="nil"/>
                <w:left w:val="nil"/>
                <w:bottom w:val="nil"/>
                <w:right w:val="nil"/>
                <w:between w:val="nil"/>
              </w:pBdr>
              <w:spacing w:before="120" w:after="120"/>
            </w:pPr>
          </w:p>
        </w:tc>
        <w:tc>
          <w:tcPr>
            <w:tcW w:w="1389" w:type="dxa"/>
            <w:gridSpan w:val="3"/>
          </w:tcPr>
          <w:p w14:paraId="5546F605" w14:textId="77777777" w:rsidR="007960A8" w:rsidRDefault="007960A8">
            <w:pPr>
              <w:pBdr>
                <w:top w:val="nil"/>
                <w:left w:val="nil"/>
                <w:bottom w:val="nil"/>
                <w:right w:val="nil"/>
                <w:between w:val="nil"/>
              </w:pBdr>
              <w:spacing w:before="120" w:after="120"/>
            </w:pPr>
          </w:p>
        </w:tc>
        <w:tc>
          <w:tcPr>
            <w:tcW w:w="1207" w:type="dxa"/>
          </w:tcPr>
          <w:p w14:paraId="1E58F722" w14:textId="77777777" w:rsidR="007960A8" w:rsidRDefault="007960A8">
            <w:pPr>
              <w:pBdr>
                <w:top w:val="nil"/>
                <w:left w:val="nil"/>
                <w:bottom w:val="nil"/>
                <w:right w:val="nil"/>
                <w:between w:val="nil"/>
              </w:pBdr>
              <w:spacing w:before="120" w:after="120"/>
            </w:pPr>
          </w:p>
        </w:tc>
      </w:tr>
      <w:tr w:rsidR="007960A8" w14:paraId="13E9A7C1" w14:textId="77777777">
        <w:trPr>
          <w:gridAfter w:val="1"/>
        </w:trPr>
        <w:tc>
          <w:tcPr>
            <w:tcW w:w="250" w:type="dxa"/>
          </w:tcPr>
          <w:p w14:paraId="62F1228B"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57C72076" w14:textId="77777777" w:rsidR="007960A8" w:rsidRDefault="00A26397">
            <w:pPr>
              <w:pBdr>
                <w:top w:val="nil"/>
                <w:left w:val="nil"/>
                <w:bottom w:val="nil"/>
                <w:right w:val="nil"/>
                <w:between w:val="nil"/>
              </w:pBdr>
              <w:spacing w:before="120" w:after="120"/>
              <w:rPr>
                <w:b/>
                <w:bCs/>
              </w:rPr>
            </w:pPr>
            <w:r>
              <w:rPr>
                <w:b/>
                <w:bCs/>
              </w:rPr>
              <w:t>Emp No</w:t>
            </w:r>
          </w:p>
        </w:tc>
        <w:tc>
          <w:tcPr>
            <w:tcW w:w="2848" w:type="dxa"/>
            <w:gridSpan w:val="5"/>
          </w:tcPr>
          <w:p w14:paraId="0D353346" w14:textId="77777777" w:rsidR="007960A8" w:rsidRDefault="007960A8">
            <w:pPr>
              <w:pBdr>
                <w:top w:val="nil"/>
                <w:left w:val="nil"/>
                <w:bottom w:val="nil"/>
                <w:right w:val="nil"/>
                <w:between w:val="nil"/>
              </w:pBdr>
              <w:spacing w:before="120" w:after="120"/>
            </w:pPr>
          </w:p>
        </w:tc>
        <w:tc>
          <w:tcPr>
            <w:tcW w:w="1432" w:type="dxa"/>
            <w:gridSpan w:val="3"/>
          </w:tcPr>
          <w:p w14:paraId="4CFCC731" w14:textId="77777777" w:rsidR="007960A8" w:rsidRDefault="007960A8">
            <w:pPr>
              <w:pBdr>
                <w:top w:val="nil"/>
                <w:left w:val="nil"/>
                <w:bottom w:val="nil"/>
                <w:right w:val="nil"/>
                <w:between w:val="nil"/>
              </w:pBdr>
              <w:spacing w:before="120" w:after="120"/>
            </w:pPr>
          </w:p>
        </w:tc>
        <w:tc>
          <w:tcPr>
            <w:tcW w:w="1519" w:type="dxa"/>
            <w:gridSpan w:val="3"/>
          </w:tcPr>
          <w:p w14:paraId="18727693" w14:textId="77777777" w:rsidR="007960A8" w:rsidRDefault="007960A8">
            <w:pPr>
              <w:pBdr>
                <w:top w:val="nil"/>
                <w:left w:val="nil"/>
                <w:bottom w:val="nil"/>
                <w:right w:val="nil"/>
                <w:between w:val="nil"/>
              </w:pBdr>
              <w:spacing w:before="120" w:after="120"/>
            </w:pPr>
          </w:p>
        </w:tc>
        <w:tc>
          <w:tcPr>
            <w:tcW w:w="3168" w:type="dxa"/>
            <w:gridSpan w:val="4"/>
          </w:tcPr>
          <w:p w14:paraId="7A3B9BB9" w14:textId="77777777" w:rsidR="007960A8" w:rsidRDefault="007960A8">
            <w:pPr>
              <w:pBdr>
                <w:top w:val="nil"/>
                <w:left w:val="nil"/>
                <w:bottom w:val="nil"/>
                <w:right w:val="nil"/>
                <w:between w:val="nil"/>
              </w:pBdr>
              <w:spacing w:before="120" w:after="120"/>
            </w:pPr>
          </w:p>
        </w:tc>
        <w:tc>
          <w:tcPr>
            <w:tcW w:w="1222" w:type="dxa"/>
            <w:gridSpan w:val="2"/>
          </w:tcPr>
          <w:p w14:paraId="5BD1FC7F" w14:textId="77777777" w:rsidR="007960A8" w:rsidRDefault="007960A8">
            <w:pPr>
              <w:pBdr>
                <w:top w:val="nil"/>
                <w:left w:val="nil"/>
                <w:bottom w:val="nil"/>
                <w:right w:val="nil"/>
                <w:between w:val="nil"/>
              </w:pBdr>
              <w:spacing w:before="120" w:after="120"/>
            </w:pPr>
          </w:p>
        </w:tc>
        <w:tc>
          <w:tcPr>
            <w:tcW w:w="1420" w:type="dxa"/>
            <w:gridSpan w:val="2"/>
          </w:tcPr>
          <w:p w14:paraId="21D06A62" w14:textId="77777777" w:rsidR="007960A8" w:rsidRDefault="007960A8">
            <w:pPr>
              <w:pBdr>
                <w:top w:val="nil"/>
                <w:left w:val="nil"/>
                <w:bottom w:val="nil"/>
                <w:right w:val="nil"/>
                <w:between w:val="nil"/>
              </w:pBdr>
              <w:spacing w:before="120" w:after="120"/>
            </w:pPr>
          </w:p>
        </w:tc>
        <w:tc>
          <w:tcPr>
            <w:tcW w:w="1389" w:type="dxa"/>
            <w:gridSpan w:val="3"/>
          </w:tcPr>
          <w:p w14:paraId="538DE7B3" w14:textId="77777777" w:rsidR="007960A8" w:rsidRDefault="007960A8">
            <w:pPr>
              <w:pBdr>
                <w:top w:val="nil"/>
                <w:left w:val="nil"/>
                <w:bottom w:val="nil"/>
                <w:right w:val="nil"/>
                <w:between w:val="nil"/>
              </w:pBdr>
              <w:spacing w:before="120" w:after="120"/>
            </w:pPr>
          </w:p>
        </w:tc>
        <w:tc>
          <w:tcPr>
            <w:tcW w:w="1207" w:type="dxa"/>
          </w:tcPr>
          <w:p w14:paraId="05FE9D6A" w14:textId="77777777" w:rsidR="007960A8" w:rsidRDefault="007960A8">
            <w:pPr>
              <w:pBdr>
                <w:top w:val="nil"/>
                <w:left w:val="nil"/>
                <w:bottom w:val="nil"/>
                <w:right w:val="nil"/>
                <w:between w:val="nil"/>
              </w:pBdr>
              <w:spacing w:before="120" w:after="120"/>
            </w:pPr>
          </w:p>
        </w:tc>
      </w:tr>
      <w:tr w:rsidR="007960A8" w14:paraId="0EDBBA81" w14:textId="77777777">
        <w:trPr>
          <w:gridAfter w:val="1"/>
        </w:trPr>
        <w:tc>
          <w:tcPr>
            <w:tcW w:w="250" w:type="dxa"/>
          </w:tcPr>
          <w:p w14:paraId="05D54C17"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62D4D1F0" w14:textId="77777777" w:rsidR="007960A8" w:rsidRDefault="00A26397">
            <w:pPr>
              <w:pBdr>
                <w:top w:val="nil"/>
                <w:left w:val="nil"/>
                <w:bottom w:val="nil"/>
                <w:right w:val="nil"/>
                <w:between w:val="nil"/>
              </w:pBdr>
              <w:spacing w:before="120" w:after="120"/>
              <w:rPr>
                <w:b/>
                <w:bCs/>
              </w:rPr>
            </w:pPr>
            <w:r>
              <w:rPr>
                <w:b/>
                <w:bCs/>
              </w:rPr>
              <w:t>Emp No</w:t>
            </w:r>
          </w:p>
        </w:tc>
        <w:tc>
          <w:tcPr>
            <w:tcW w:w="2848" w:type="dxa"/>
            <w:gridSpan w:val="5"/>
          </w:tcPr>
          <w:p w14:paraId="1986DE40" w14:textId="77777777" w:rsidR="007960A8" w:rsidRDefault="007960A8">
            <w:pPr>
              <w:pBdr>
                <w:top w:val="nil"/>
                <w:left w:val="nil"/>
                <w:bottom w:val="nil"/>
                <w:right w:val="nil"/>
                <w:between w:val="nil"/>
              </w:pBdr>
              <w:spacing w:before="120" w:after="120"/>
            </w:pPr>
          </w:p>
        </w:tc>
        <w:tc>
          <w:tcPr>
            <w:tcW w:w="1432" w:type="dxa"/>
            <w:gridSpan w:val="3"/>
          </w:tcPr>
          <w:p w14:paraId="6608EC9A" w14:textId="77777777" w:rsidR="007960A8" w:rsidRDefault="007960A8">
            <w:pPr>
              <w:pBdr>
                <w:top w:val="nil"/>
                <w:left w:val="nil"/>
                <w:bottom w:val="nil"/>
                <w:right w:val="nil"/>
                <w:between w:val="nil"/>
              </w:pBdr>
              <w:spacing w:before="120" w:after="120"/>
            </w:pPr>
          </w:p>
        </w:tc>
        <w:tc>
          <w:tcPr>
            <w:tcW w:w="1519" w:type="dxa"/>
            <w:gridSpan w:val="3"/>
          </w:tcPr>
          <w:p w14:paraId="7F69C85A" w14:textId="77777777" w:rsidR="007960A8" w:rsidRDefault="007960A8">
            <w:pPr>
              <w:pBdr>
                <w:top w:val="nil"/>
                <w:left w:val="nil"/>
                <w:bottom w:val="nil"/>
                <w:right w:val="nil"/>
                <w:between w:val="nil"/>
              </w:pBdr>
              <w:spacing w:before="120" w:after="120"/>
            </w:pPr>
          </w:p>
        </w:tc>
        <w:tc>
          <w:tcPr>
            <w:tcW w:w="3168" w:type="dxa"/>
            <w:gridSpan w:val="4"/>
          </w:tcPr>
          <w:p w14:paraId="183820EE" w14:textId="77777777" w:rsidR="007960A8" w:rsidRDefault="007960A8">
            <w:pPr>
              <w:pBdr>
                <w:top w:val="nil"/>
                <w:left w:val="nil"/>
                <w:bottom w:val="nil"/>
                <w:right w:val="nil"/>
                <w:between w:val="nil"/>
              </w:pBdr>
              <w:spacing w:before="120" w:after="120"/>
            </w:pPr>
          </w:p>
        </w:tc>
        <w:tc>
          <w:tcPr>
            <w:tcW w:w="1222" w:type="dxa"/>
            <w:gridSpan w:val="2"/>
          </w:tcPr>
          <w:p w14:paraId="3C54043B" w14:textId="77777777" w:rsidR="007960A8" w:rsidRDefault="007960A8">
            <w:pPr>
              <w:pBdr>
                <w:top w:val="nil"/>
                <w:left w:val="nil"/>
                <w:bottom w:val="nil"/>
                <w:right w:val="nil"/>
                <w:between w:val="nil"/>
              </w:pBdr>
              <w:spacing w:before="120" w:after="120"/>
            </w:pPr>
          </w:p>
        </w:tc>
        <w:tc>
          <w:tcPr>
            <w:tcW w:w="1420" w:type="dxa"/>
            <w:gridSpan w:val="2"/>
          </w:tcPr>
          <w:p w14:paraId="7E3326FE" w14:textId="77777777" w:rsidR="007960A8" w:rsidRDefault="007960A8">
            <w:pPr>
              <w:pBdr>
                <w:top w:val="nil"/>
                <w:left w:val="nil"/>
                <w:bottom w:val="nil"/>
                <w:right w:val="nil"/>
                <w:between w:val="nil"/>
              </w:pBdr>
              <w:spacing w:before="120" w:after="120"/>
            </w:pPr>
          </w:p>
        </w:tc>
        <w:tc>
          <w:tcPr>
            <w:tcW w:w="1389" w:type="dxa"/>
            <w:gridSpan w:val="3"/>
          </w:tcPr>
          <w:p w14:paraId="0B6BDD21" w14:textId="77777777" w:rsidR="007960A8" w:rsidRDefault="007960A8">
            <w:pPr>
              <w:pBdr>
                <w:top w:val="nil"/>
                <w:left w:val="nil"/>
                <w:bottom w:val="nil"/>
                <w:right w:val="nil"/>
                <w:between w:val="nil"/>
              </w:pBdr>
              <w:spacing w:before="120" w:after="120"/>
            </w:pPr>
          </w:p>
        </w:tc>
        <w:tc>
          <w:tcPr>
            <w:tcW w:w="1207" w:type="dxa"/>
          </w:tcPr>
          <w:p w14:paraId="440F0265" w14:textId="77777777" w:rsidR="007960A8" w:rsidRDefault="007960A8">
            <w:pPr>
              <w:pBdr>
                <w:top w:val="nil"/>
                <w:left w:val="nil"/>
                <w:bottom w:val="nil"/>
                <w:right w:val="nil"/>
                <w:between w:val="nil"/>
              </w:pBdr>
              <w:spacing w:before="120" w:after="120"/>
            </w:pPr>
          </w:p>
        </w:tc>
      </w:tr>
      <w:tr w:rsidR="007960A8" w14:paraId="0CCEE2D3" w14:textId="77777777">
        <w:trPr>
          <w:gridAfter w:val="1"/>
        </w:trPr>
        <w:tc>
          <w:tcPr>
            <w:tcW w:w="250" w:type="dxa"/>
          </w:tcPr>
          <w:p w14:paraId="1E8EAA3A"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622531DC" w14:textId="77777777" w:rsidR="007960A8" w:rsidRDefault="00A26397">
            <w:pPr>
              <w:pBdr>
                <w:top w:val="nil"/>
                <w:left w:val="nil"/>
                <w:bottom w:val="nil"/>
                <w:right w:val="nil"/>
                <w:between w:val="nil"/>
              </w:pBdr>
              <w:spacing w:before="120" w:after="120"/>
              <w:rPr>
                <w:b/>
                <w:bCs/>
              </w:rPr>
            </w:pPr>
            <w:r>
              <w:rPr>
                <w:b/>
                <w:bCs/>
              </w:rPr>
              <w:t>Emp No</w:t>
            </w:r>
          </w:p>
        </w:tc>
        <w:tc>
          <w:tcPr>
            <w:tcW w:w="2848" w:type="dxa"/>
            <w:gridSpan w:val="5"/>
          </w:tcPr>
          <w:p w14:paraId="47F6A701" w14:textId="77777777" w:rsidR="007960A8" w:rsidRDefault="007960A8">
            <w:pPr>
              <w:pBdr>
                <w:top w:val="nil"/>
                <w:left w:val="nil"/>
                <w:bottom w:val="nil"/>
                <w:right w:val="nil"/>
                <w:between w:val="nil"/>
              </w:pBdr>
              <w:spacing w:before="120" w:after="120"/>
            </w:pPr>
          </w:p>
        </w:tc>
        <w:tc>
          <w:tcPr>
            <w:tcW w:w="1432" w:type="dxa"/>
            <w:gridSpan w:val="3"/>
          </w:tcPr>
          <w:p w14:paraId="5C71A249" w14:textId="77777777" w:rsidR="007960A8" w:rsidRDefault="007960A8">
            <w:pPr>
              <w:pBdr>
                <w:top w:val="nil"/>
                <w:left w:val="nil"/>
                <w:bottom w:val="nil"/>
                <w:right w:val="nil"/>
                <w:between w:val="nil"/>
              </w:pBdr>
              <w:spacing w:before="120" w:after="120"/>
            </w:pPr>
          </w:p>
        </w:tc>
        <w:tc>
          <w:tcPr>
            <w:tcW w:w="1519" w:type="dxa"/>
            <w:gridSpan w:val="3"/>
          </w:tcPr>
          <w:p w14:paraId="0E6BAAF5" w14:textId="77777777" w:rsidR="007960A8" w:rsidRDefault="007960A8">
            <w:pPr>
              <w:pBdr>
                <w:top w:val="nil"/>
                <w:left w:val="nil"/>
                <w:bottom w:val="nil"/>
                <w:right w:val="nil"/>
                <w:between w:val="nil"/>
              </w:pBdr>
              <w:spacing w:before="120" w:after="120"/>
            </w:pPr>
          </w:p>
        </w:tc>
        <w:tc>
          <w:tcPr>
            <w:tcW w:w="3168" w:type="dxa"/>
            <w:gridSpan w:val="4"/>
          </w:tcPr>
          <w:p w14:paraId="538A23B6" w14:textId="77777777" w:rsidR="007960A8" w:rsidRDefault="007960A8">
            <w:pPr>
              <w:pBdr>
                <w:top w:val="nil"/>
                <w:left w:val="nil"/>
                <w:bottom w:val="nil"/>
                <w:right w:val="nil"/>
                <w:between w:val="nil"/>
              </w:pBdr>
              <w:spacing w:before="120" w:after="120"/>
            </w:pPr>
          </w:p>
        </w:tc>
        <w:tc>
          <w:tcPr>
            <w:tcW w:w="1222" w:type="dxa"/>
            <w:gridSpan w:val="2"/>
          </w:tcPr>
          <w:p w14:paraId="7588EB7C" w14:textId="77777777" w:rsidR="007960A8" w:rsidRDefault="007960A8">
            <w:pPr>
              <w:pBdr>
                <w:top w:val="nil"/>
                <w:left w:val="nil"/>
                <w:bottom w:val="nil"/>
                <w:right w:val="nil"/>
                <w:between w:val="nil"/>
              </w:pBdr>
              <w:spacing w:before="120" w:after="120"/>
            </w:pPr>
          </w:p>
        </w:tc>
        <w:tc>
          <w:tcPr>
            <w:tcW w:w="1420" w:type="dxa"/>
            <w:gridSpan w:val="2"/>
          </w:tcPr>
          <w:p w14:paraId="20BEE33E" w14:textId="77777777" w:rsidR="007960A8" w:rsidRDefault="007960A8">
            <w:pPr>
              <w:pBdr>
                <w:top w:val="nil"/>
                <w:left w:val="nil"/>
                <w:bottom w:val="nil"/>
                <w:right w:val="nil"/>
                <w:between w:val="nil"/>
              </w:pBdr>
              <w:spacing w:before="120" w:after="120"/>
            </w:pPr>
          </w:p>
        </w:tc>
        <w:tc>
          <w:tcPr>
            <w:tcW w:w="1389" w:type="dxa"/>
            <w:gridSpan w:val="3"/>
          </w:tcPr>
          <w:p w14:paraId="56208A47" w14:textId="77777777" w:rsidR="007960A8" w:rsidRDefault="007960A8">
            <w:pPr>
              <w:pBdr>
                <w:top w:val="nil"/>
                <w:left w:val="nil"/>
                <w:bottom w:val="nil"/>
                <w:right w:val="nil"/>
                <w:between w:val="nil"/>
              </w:pBdr>
              <w:spacing w:before="120" w:after="120"/>
            </w:pPr>
          </w:p>
        </w:tc>
        <w:tc>
          <w:tcPr>
            <w:tcW w:w="1207" w:type="dxa"/>
          </w:tcPr>
          <w:p w14:paraId="3965ADF2" w14:textId="77777777" w:rsidR="007960A8" w:rsidRDefault="007960A8">
            <w:pPr>
              <w:pBdr>
                <w:top w:val="nil"/>
                <w:left w:val="nil"/>
                <w:bottom w:val="nil"/>
                <w:right w:val="nil"/>
                <w:between w:val="nil"/>
              </w:pBdr>
              <w:spacing w:before="120" w:after="120"/>
            </w:pPr>
          </w:p>
        </w:tc>
      </w:tr>
      <w:tr w:rsidR="007960A8" w14:paraId="23AE54A6" w14:textId="77777777">
        <w:trPr>
          <w:gridAfter w:val="1"/>
        </w:trPr>
        <w:tc>
          <w:tcPr>
            <w:tcW w:w="250" w:type="dxa"/>
          </w:tcPr>
          <w:p w14:paraId="77E07E2F"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7A55C07D" w14:textId="77777777" w:rsidR="007960A8" w:rsidRDefault="00A26397">
            <w:pPr>
              <w:pBdr>
                <w:top w:val="nil"/>
                <w:left w:val="nil"/>
                <w:bottom w:val="nil"/>
                <w:right w:val="nil"/>
                <w:between w:val="nil"/>
              </w:pBdr>
              <w:spacing w:before="120" w:after="120"/>
              <w:rPr>
                <w:b/>
                <w:bCs/>
              </w:rPr>
            </w:pPr>
            <w:r>
              <w:rPr>
                <w:b/>
                <w:bCs/>
              </w:rPr>
              <w:t>Emp No</w:t>
            </w:r>
          </w:p>
        </w:tc>
        <w:tc>
          <w:tcPr>
            <w:tcW w:w="2848" w:type="dxa"/>
            <w:gridSpan w:val="5"/>
          </w:tcPr>
          <w:p w14:paraId="46C67F82" w14:textId="77777777" w:rsidR="007960A8" w:rsidRDefault="007960A8">
            <w:pPr>
              <w:pBdr>
                <w:top w:val="nil"/>
                <w:left w:val="nil"/>
                <w:bottom w:val="nil"/>
                <w:right w:val="nil"/>
                <w:between w:val="nil"/>
              </w:pBdr>
              <w:spacing w:before="120" w:after="120"/>
            </w:pPr>
          </w:p>
        </w:tc>
        <w:tc>
          <w:tcPr>
            <w:tcW w:w="1432" w:type="dxa"/>
            <w:gridSpan w:val="3"/>
          </w:tcPr>
          <w:p w14:paraId="4816810F" w14:textId="77777777" w:rsidR="007960A8" w:rsidRDefault="007960A8">
            <w:pPr>
              <w:pBdr>
                <w:top w:val="nil"/>
                <w:left w:val="nil"/>
                <w:bottom w:val="nil"/>
                <w:right w:val="nil"/>
                <w:between w:val="nil"/>
              </w:pBdr>
              <w:spacing w:before="120" w:after="120"/>
            </w:pPr>
          </w:p>
        </w:tc>
        <w:tc>
          <w:tcPr>
            <w:tcW w:w="1519" w:type="dxa"/>
            <w:gridSpan w:val="3"/>
          </w:tcPr>
          <w:p w14:paraId="2261E655" w14:textId="77777777" w:rsidR="007960A8" w:rsidRDefault="007960A8">
            <w:pPr>
              <w:pBdr>
                <w:top w:val="nil"/>
                <w:left w:val="nil"/>
                <w:bottom w:val="nil"/>
                <w:right w:val="nil"/>
                <w:between w:val="nil"/>
              </w:pBdr>
              <w:spacing w:before="120" w:after="120"/>
            </w:pPr>
          </w:p>
        </w:tc>
        <w:tc>
          <w:tcPr>
            <w:tcW w:w="3168" w:type="dxa"/>
            <w:gridSpan w:val="4"/>
          </w:tcPr>
          <w:p w14:paraId="20CE021A" w14:textId="77777777" w:rsidR="007960A8" w:rsidRDefault="007960A8">
            <w:pPr>
              <w:pBdr>
                <w:top w:val="nil"/>
                <w:left w:val="nil"/>
                <w:bottom w:val="nil"/>
                <w:right w:val="nil"/>
                <w:between w:val="nil"/>
              </w:pBdr>
              <w:spacing w:before="120" w:after="120"/>
            </w:pPr>
          </w:p>
        </w:tc>
        <w:tc>
          <w:tcPr>
            <w:tcW w:w="1222" w:type="dxa"/>
            <w:gridSpan w:val="2"/>
          </w:tcPr>
          <w:p w14:paraId="1A337444" w14:textId="77777777" w:rsidR="007960A8" w:rsidRDefault="007960A8">
            <w:pPr>
              <w:pBdr>
                <w:top w:val="nil"/>
                <w:left w:val="nil"/>
                <w:bottom w:val="nil"/>
                <w:right w:val="nil"/>
                <w:between w:val="nil"/>
              </w:pBdr>
              <w:spacing w:before="120" w:after="120"/>
            </w:pPr>
          </w:p>
        </w:tc>
        <w:tc>
          <w:tcPr>
            <w:tcW w:w="1420" w:type="dxa"/>
            <w:gridSpan w:val="2"/>
          </w:tcPr>
          <w:p w14:paraId="43001FDB" w14:textId="77777777" w:rsidR="007960A8" w:rsidRDefault="007960A8">
            <w:pPr>
              <w:pBdr>
                <w:top w:val="nil"/>
                <w:left w:val="nil"/>
                <w:bottom w:val="nil"/>
                <w:right w:val="nil"/>
                <w:between w:val="nil"/>
              </w:pBdr>
              <w:spacing w:before="120" w:after="120"/>
            </w:pPr>
          </w:p>
        </w:tc>
        <w:tc>
          <w:tcPr>
            <w:tcW w:w="1389" w:type="dxa"/>
            <w:gridSpan w:val="3"/>
          </w:tcPr>
          <w:p w14:paraId="76D2F583" w14:textId="77777777" w:rsidR="007960A8" w:rsidRDefault="007960A8">
            <w:pPr>
              <w:pBdr>
                <w:top w:val="nil"/>
                <w:left w:val="nil"/>
                <w:bottom w:val="nil"/>
                <w:right w:val="nil"/>
                <w:between w:val="nil"/>
              </w:pBdr>
              <w:spacing w:before="120" w:after="120"/>
            </w:pPr>
          </w:p>
        </w:tc>
        <w:tc>
          <w:tcPr>
            <w:tcW w:w="1207" w:type="dxa"/>
          </w:tcPr>
          <w:p w14:paraId="1621A472" w14:textId="77777777" w:rsidR="007960A8" w:rsidRDefault="007960A8">
            <w:pPr>
              <w:pBdr>
                <w:top w:val="nil"/>
                <w:left w:val="nil"/>
                <w:bottom w:val="nil"/>
                <w:right w:val="nil"/>
                <w:between w:val="nil"/>
              </w:pBdr>
              <w:spacing w:before="120" w:after="120"/>
            </w:pPr>
          </w:p>
        </w:tc>
      </w:tr>
      <w:tr w:rsidR="007960A8" w14:paraId="2E519404" w14:textId="77777777">
        <w:trPr>
          <w:gridAfter w:val="1"/>
        </w:trPr>
        <w:tc>
          <w:tcPr>
            <w:tcW w:w="250" w:type="dxa"/>
          </w:tcPr>
          <w:p w14:paraId="71F236B9" w14:textId="77777777" w:rsidR="007960A8" w:rsidRDefault="007960A8">
            <w:pPr>
              <w:pBdr>
                <w:top w:val="nil"/>
                <w:left w:val="nil"/>
                <w:bottom w:val="nil"/>
                <w:right w:val="nil"/>
                <w:between w:val="nil"/>
              </w:pBdr>
              <w:spacing w:before="120" w:after="120"/>
            </w:pPr>
          </w:p>
        </w:tc>
        <w:tc>
          <w:tcPr>
            <w:tcW w:w="997" w:type="dxa"/>
            <w:gridSpan w:val="2"/>
            <w:shd w:val="clear" w:color="auto" w:fill="CCECFF"/>
          </w:tcPr>
          <w:p w14:paraId="742A4FEA" w14:textId="77777777" w:rsidR="007960A8" w:rsidRDefault="00A26397">
            <w:pPr>
              <w:pBdr>
                <w:top w:val="nil"/>
                <w:left w:val="nil"/>
                <w:bottom w:val="nil"/>
                <w:right w:val="nil"/>
                <w:between w:val="nil"/>
              </w:pBdr>
              <w:spacing w:before="120" w:after="120"/>
              <w:rPr>
                <w:b/>
                <w:bCs/>
              </w:rPr>
            </w:pPr>
            <w:r>
              <w:rPr>
                <w:b/>
                <w:bCs/>
              </w:rPr>
              <w:t>Emp No</w:t>
            </w:r>
          </w:p>
        </w:tc>
        <w:tc>
          <w:tcPr>
            <w:tcW w:w="2848" w:type="dxa"/>
            <w:gridSpan w:val="5"/>
          </w:tcPr>
          <w:p w14:paraId="1648B5D4" w14:textId="77777777" w:rsidR="007960A8" w:rsidRDefault="007960A8">
            <w:pPr>
              <w:pBdr>
                <w:top w:val="nil"/>
                <w:left w:val="nil"/>
                <w:bottom w:val="nil"/>
                <w:right w:val="nil"/>
                <w:between w:val="nil"/>
              </w:pBdr>
              <w:spacing w:before="120" w:after="120"/>
            </w:pPr>
          </w:p>
        </w:tc>
        <w:tc>
          <w:tcPr>
            <w:tcW w:w="1432" w:type="dxa"/>
            <w:gridSpan w:val="3"/>
          </w:tcPr>
          <w:p w14:paraId="7E743631" w14:textId="77777777" w:rsidR="007960A8" w:rsidRDefault="007960A8">
            <w:pPr>
              <w:pBdr>
                <w:top w:val="nil"/>
                <w:left w:val="nil"/>
                <w:bottom w:val="nil"/>
                <w:right w:val="nil"/>
                <w:between w:val="nil"/>
              </w:pBdr>
              <w:spacing w:before="120" w:after="120"/>
            </w:pPr>
          </w:p>
        </w:tc>
        <w:tc>
          <w:tcPr>
            <w:tcW w:w="1519" w:type="dxa"/>
            <w:gridSpan w:val="3"/>
          </w:tcPr>
          <w:p w14:paraId="4B4FEE23" w14:textId="77777777" w:rsidR="007960A8" w:rsidRDefault="007960A8">
            <w:pPr>
              <w:pBdr>
                <w:top w:val="nil"/>
                <w:left w:val="nil"/>
                <w:bottom w:val="nil"/>
                <w:right w:val="nil"/>
                <w:between w:val="nil"/>
              </w:pBdr>
              <w:spacing w:before="120" w:after="120"/>
            </w:pPr>
          </w:p>
        </w:tc>
        <w:tc>
          <w:tcPr>
            <w:tcW w:w="3168" w:type="dxa"/>
            <w:gridSpan w:val="4"/>
          </w:tcPr>
          <w:p w14:paraId="546F83C3" w14:textId="77777777" w:rsidR="007960A8" w:rsidRDefault="007960A8">
            <w:pPr>
              <w:pBdr>
                <w:top w:val="nil"/>
                <w:left w:val="nil"/>
                <w:bottom w:val="nil"/>
                <w:right w:val="nil"/>
                <w:between w:val="nil"/>
              </w:pBdr>
              <w:spacing w:before="120" w:after="120"/>
            </w:pPr>
          </w:p>
        </w:tc>
        <w:tc>
          <w:tcPr>
            <w:tcW w:w="1222" w:type="dxa"/>
            <w:gridSpan w:val="2"/>
          </w:tcPr>
          <w:p w14:paraId="551EC1E1" w14:textId="77777777" w:rsidR="007960A8" w:rsidRDefault="007960A8">
            <w:pPr>
              <w:pBdr>
                <w:top w:val="nil"/>
                <w:left w:val="nil"/>
                <w:bottom w:val="nil"/>
                <w:right w:val="nil"/>
                <w:between w:val="nil"/>
              </w:pBdr>
              <w:spacing w:before="120" w:after="120"/>
            </w:pPr>
          </w:p>
        </w:tc>
        <w:tc>
          <w:tcPr>
            <w:tcW w:w="1420" w:type="dxa"/>
            <w:gridSpan w:val="2"/>
          </w:tcPr>
          <w:p w14:paraId="1800C01D" w14:textId="77777777" w:rsidR="007960A8" w:rsidRDefault="007960A8">
            <w:pPr>
              <w:pBdr>
                <w:top w:val="nil"/>
                <w:left w:val="nil"/>
                <w:bottom w:val="nil"/>
                <w:right w:val="nil"/>
                <w:between w:val="nil"/>
              </w:pBdr>
              <w:spacing w:before="120" w:after="120"/>
            </w:pPr>
          </w:p>
        </w:tc>
        <w:tc>
          <w:tcPr>
            <w:tcW w:w="1389" w:type="dxa"/>
            <w:gridSpan w:val="3"/>
          </w:tcPr>
          <w:p w14:paraId="6FD6D72C" w14:textId="77777777" w:rsidR="007960A8" w:rsidRDefault="007960A8">
            <w:pPr>
              <w:pBdr>
                <w:top w:val="nil"/>
                <w:left w:val="nil"/>
                <w:bottom w:val="nil"/>
                <w:right w:val="nil"/>
                <w:between w:val="nil"/>
              </w:pBdr>
              <w:spacing w:before="120" w:after="120"/>
            </w:pPr>
          </w:p>
        </w:tc>
        <w:tc>
          <w:tcPr>
            <w:tcW w:w="1207" w:type="dxa"/>
          </w:tcPr>
          <w:p w14:paraId="2009AD7F" w14:textId="77777777" w:rsidR="007960A8" w:rsidRDefault="007960A8">
            <w:pPr>
              <w:pBdr>
                <w:top w:val="nil"/>
                <w:left w:val="nil"/>
                <w:bottom w:val="nil"/>
                <w:right w:val="nil"/>
                <w:between w:val="nil"/>
              </w:pBdr>
              <w:spacing w:before="120" w:after="120"/>
            </w:pPr>
          </w:p>
        </w:tc>
      </w:tr>
      <w:tr w:rsidR="007960A8" w14:paraId="38E4490C" w14:textId="77777777">
        <w:tc>
          <w:tcPr>
            <w:tcW w:w="1518" w:type="dxa"/>
            <w:gridSpan w:val="5"/>
            <w:tcBorders>
              <w:top w:val="nil"/>
              <w:left w:val="nil"/>
              <w:bottom w:val="single" w:sz="4" w:space="0" w:color="000000"/>
            </w:tcBorders>
          </w:tcPr>
          <w:p w14:paraId="0AA81DBF" w14:textId="77777777" w:rsidR="007960A8" w:rsidRDefault="007960A8">
            <w:pPr>
              <w:pBdr>
                <w:top w:val="nil"/>
                <w:left w:val="nil"/>
                <w:bottom w:val="nil"/>
                <w:right w:val="nil"/>
                <w:between w:val="nil"/>
              </w:pBdr>
              <w:spacing w:before="120" w:after="120"/>
            </w:pPr>
          </w:p>
        </w:tc>
        <w:tc>
          <w:tcPr>
            <w:tcW w:w="14075" w:type="dxa"/>
            <w:gridSpan w:val="22"/>
            <w:shd w:val="clear" w:color="auto" w:fill="A8D08D"/>
          </w:tcPr>
          <w:p w14:paraId="6E89D604" w14:textId="77777777" w:rsidR="007960A8" w:rsidRDefault="00A26397">
            <w:pPr>
              <w:pBdr>
                <w:top w:val="nil"/>
                <w:left w:val="nil"/>
                <w:bottom w:val="nil"/>
                <w:right w:val="nil"/>
                <w:between w:val="nil"/>
              </w:pBdr>
              <w:spacing w:before="120" w:after="120"/>
              <w:rPr>
                <w:b/>
                <w:bCs/>
              </w:rPr>
            </w:pPr>
            <w:r>
              <w:rPr>
                <w:b/>
                <w:bCs/>
              </w:rPr>
              <w:t>CONTRACTUAL PAY AND BENEFITS</w:t>
            </w:r>
          </w:p>
        </w:tc>
      </w:tr>
      <w:tr w:rsidR="007960A8" w14:paraId="1C5095B3" w14:textId="77777777">
        <w:tc>
          <w:tcPr>
            <w:tcW w:w="1518" w:type="dxa"/>
            <w:gridSpan w:val="5"/>
            <w:shd w:val="clear" w:color="auto" w:fill="CCECFF"/>
          </w:tcPr>
          <w:p w14:paraId="28D312EC" w14:textId="77777777" w:rsidR="007960A8" w:rsidRDefault="00A26397">
            <w:pPr>
              <w:pBdr>
                <w:top w:val="nil"/>
                <w:left w:val="nil"/>
                <w:bottom w:val="nil"/>
                <w:right w:val="nil"/>
                <w:between w:val="nil"/>
              </w:pBdr>
              <w:spacing w:before="120" w:after="120"/>
              <w:rPr>
                <w:b/>
                <w:bCs/>
              </w:rPr>
            </w:pPr>
            <w:r>
              <w:rPr>
                <w:b/>
                <w:bCs/>
              </w:rPr>
              <w:t>Details</w:t>
            </w:r>
          </w:p>
        </w:tc>
        <w:tc>
          <w:tcPr>
            <w:tcW w:w="1829" w:type="dxa"/>
            <w:gridSpan w:val="2"/>
            <w:shd w:val="clear" w:color="auto" w:fill="A8D08D"/>
          </w:tcPr>
          <w:p w14:paraId="4489BF1A" w14:textId="77777777" w:rsidR="007960A8" w:rsidRDefault="00A26397">
            <w:pPr>
              <w:pBdr>
                <w:top w:val="nil"/>
                <w:left w:val="nil"/>
                <w:bottom w:val="nil"/>
                <w:right w:val="nil"/>
                <w:between w:val="nil"/>
              </w:pBdr>
              <w:spacing w:before="120" w:after="120"/>
              <w:rPr>
                <w:b/>
                <w:bCs/>
              </w:rPr>
            </w:pPr>
            <w:r>
              <w:rPr>
                <w:b/>
                <w:bCs/>
              </w:rPr>
              <w:t>Any existing or future commitment to training that has a time-off or financial implication</w:t>
            </w:r>
          </w:p>
        </w:tc>
        <w:tc>
          <w:tcPr>
            <w:tcW w:w="1408" w:type="dxa"/>
            <w:gridSpan w:val="2"/>
            <w:shd w:val="clear" w:color="auto" w:fill="A8D08D"/>
          </w:tcPr>
          <w:p w14:paraId="73751A57" w14:textId="77777777" w:rsidR="007960A8" w:rsidRDefault="00A26397">
            <w:pPr>
              <w:pBdr>
                <w:top w:val="nil"/>
                <w:left w:val="nil"/>
                <w:bottom w:val="nil"/>
                <w:right w:val="nil"/>
                <w:between w:val="nil"/>
              </w:pBdr>
              <w:spacing w:before="120" w:after="120"/>
              <w:rPr>
                <w:b/>
                <w:bCs/>
              </w:rPr>
            </w:pPr>
            <w:r>
              <w:rPr>
                <w:b/>
                <w:bCs/>
              </w:rPr>
              <w:t>Car allowance (£ per year)</w:t>
            </w:r>
          </w:p>
        </w:tc>
        <w:tc>
          <w:tcPr>
            <w:tcW w:w="1407" w:type="dxa"/>
            <w:gridSpan w:val="3"/>
            <w:shd w:val="clear" w:color="auto" w:fill="A8D08D"/>
          </w:tcPr>
          <w:p w14:paraId="6E8069E6" w14:textId="77777777" w:rsidR="007960A8" w:rsidRDefault="00A26397">
            <w:pPr>
              <w:pBdr>
                <w:top w:val="nil"/>
                <w:left w:val="nil"/>
                <w:bottom w:val="nil"/>
                <w:right w:val="nil"/>
                <w:between w:val="nil"/>
              </w:pBdr>
              <w:spacing w:before="120" w:after="120"/>
              <w:rPr>
                <w:b/>
                <w:bCs/>
              </w:rPr>
            </w:pPr>
            <w:r>
              <w:rPr>
                <w:b/>
                <w:bCs/>
              </w:rPr>
              <w:t>Lease or company car details</w:t>
            </w:r>
          </w:p>
        </w:tc>
        <w:tc>
          <w:tcPr>
            <w:tcW w:w="2112" w:type="dxa"/>
            <w:gridSpan w:val="4"/>
            <w:shd w:val="clear" w:color="auto" w:fill="A8D08D"/>
          </w:tcPr>
          <w:p w14:paraId="4F6B84C8" w14:textId="77777777" w:rsidR="007960A8" w:rsidRDefault="00A26397">
            <w:pPr>
              <w:pBdr>
                <w:top w:val="nil"/>
                <w:left w:val="nil"/>
                <w:bottom w:val="nil"/>
                <w:right w:val="nil"/>
                <w:between w:val="nil"/>
              </w:pBdr>
              <w:spacing w:before="120" w:after="120"/>
              <w:rPr>
                <w:b/>
                <w:bCs/>
              </w:rPr>
            </w:pPr>
            <w:r>
              <w:rPr>
                <w:b/>
                <w:bCs/>
              </w:rPr>
              <w:t>Any other allowances paid (e.g. shift allowance, standby allowance, travel allowance)</w:t>
            </w:r>
          </w:p>
        </w:tc>
        <w:tc>
          <w:tcPr>
            <w:tcW w:w="2110" w:type="dxa"/>
            <w:gridSpan w:val="3"/>
            <w:shd w:val="clear" w:color="auto" w:fill="A8D08D"/>
          </w:tcPr>
          <w:p w14:paraId="6AD1B99B" w14:textId="77777777" w:rsidR="007960A8" w:rsidRDefault="00A26397">
            <w:pPr>
              <w:pBdr>
                <w:top w:val="nil"/>
                <w:left w:val="nil"/>
                <w:bottom w:val="nil"/>
                <w:right w:val="nil"/>
                <w:between w:val="nil"/>
              </w:pBdr>
              <w:spacing w:before="120" w:after="120"/>
              <w:rPr>
                <w:b/>
                <w:bCs/>
              </w:rPr>
            </w:pPr>
            <w:r>
              <w:rPr>
                <w:b/>
                <w:bCs/>
              </w:rPr>
              <w:t>Private medical insurance (please specify whether single or family cover)</w:t>
            </w:r>
          </w:p>
        </w:tc>
        <w:tc>
          <w:tcPr>
            <w:tcW w:w="1690" w:type="dxa"/>
            <w:gridSpan w:val="2"/>
            <w:shd w:val="clear" w:color="auto" w:fill="A8D08D"/>
          </w:tcPr>
          <w:p w14:paraId="0ACA5E0E" w14:textId="77777777" w:rsidR="007960A8" w:rsidRDefault="00A26397">
            <w:pPr>
              <w:pBdr>
                <w:top w:val="nil"/>
                <w:left w:val="nil"/>
                <w:bottom w:val="nil"/>
                <w:right w:val="nil"/>
                <w:between w:val="nil"/>
              </w:pBdr>
              <w:spacing w:before="120" w:after="120"/>
              <w:rPr>
                <w:b/>
                <w:bCs/>
              </w:rPr>
            </w:pPr>
            <w:r>
              <w:rPr>
                <w:b/>
                <w:bCs/>
              </w:rPr>
              <w:t>Life assurance (xSalary)</w:t>
            </w:r>
          </w:p>
        </w:tc>
        <w:tc>
          <w:tcPr>
            <w:tcW w:w="1689" w:type="dxa"/>
            <w:gridSpan w:val="3"/>
            <w:shd w:val="clear" w:color="auto" w:fill="A8D08D"/>
          </w:tcPr>
          <w:p w14:paraId="1087048C" w14:textId="77777777" w:rsidR="007960A8" w:rsidRDefault="00A26397">
            <w:pPr>
              <w:pBdr>
                <w:top w:val="nil"/>
                <w:left w:val="nil"/>
                <w:bottom w:val="nil"/>
                <w:right w:val="nil"/>
                <w:between w:val="nil"/>
              </w:pBdr>
              <w:spacing w:before="120" w:after="120"/>
              <w:rPr>
                <w:b/>
                <w:bCs/>
              </w:rPr>
            </w:pPr>
            <w:r>
              <w:rPr>
                <w:b/>
                <w:bCs/>
              </w:rPr>
              <w:t>Long Term Disability / PHI (% of Salary</w:t>
            </w:r>
          </w:p>
        </w:tc>
        <w:tc>
          <w:tcPr>
            <w:tcW w:w="1830" w:type="dxa"/>
            <w:gridSpan w:val="3"/>
            <w:shd w:val="clear" w:color="auto" w:fill="A8D08D"/>
          </w:tcPr>
          <w:p w14:paraId="26C630F3" w14:textId="77777777" w:rsidR="007960A8" w:rsidRDefault="00A26397">
            <w:pPr>
              <w:pBdr>
                <w:top w:val="nil"/>
                <w:left w:val="nil"/>
                <w:bottom w:val="nil"/>
                <w:right w:val="nil"/>
                <w:between w:val="nil"/>
              </w:pBdr>
              <w:spacing w:before="120" w:after="120"/>
              <w:rPr>
                <w:b/>
                <w:bCs/>
              </w:rPr>
            </w:pPr>
            <w:r>
              <w:rPr>
                <w:b/>
                <w:bCs/>
              </w:rPr>
              <w:t>Any other benefits in kind</w:t>
            </w:r>
          </w:p>
        </w:tc>
      </w:tr>
      <w:tr w:rsidR="007960A8" w14:paraId="4D167CA6" w14:textId="77777777">
        <w:tc>
          <w:tcPr>
            <w:tcW w:w="1518" w:type="dxa"/>
            <w:gridSpan w:val="5"/>
            <w:shd w:val="clear" w:color="auto" w:fill="CCECFF"/>
          </w:tcPr>
          <w:p w14:paraId="5A8BA913" w14:textId="77777777" w:rsidR="007960A8" w:rsidRDefault="00A26397">
            <w:pPr>
              <w:pBdr>
                <w:top w:val="nil"/>
                <w:left w:val="nil"/>
                <w:bottom w:val="nil"/>
                <w:right w:val="nil"/>
                <w:between w:val="nil"/>
              </w:pBdr>
              <w:spacing w:before="120" w:after="120"/>
              <w:rPr>
                <w:b/>
                <w:bCs/>
              </w:rPr>
            </w:pPr>
            <w:r>
              <w:rPr>
                <w:b/>
                <w:bCs/>
              </w:rPr>
              <w:t>Emp No 1</w:t>
            </w:r>
          </w:p>
        </w:tc>
        <w:tc>
          <w:tcPr>
            <w:tcW w:w="1829" w:type="dxa"/>
            <w:gridSpan w:val="2"/>
          </w:tcPr>
          <w:p w14:paraId="3AE22ED2" w14:textId="77777777" w:rsidR="007960A8" w:rsidRDefault="007960A8">
            <w:pPr>
              <w:pBdr>
                <w:top w:val="nil"/>
                <w:left w:val="nil"/>
                <w:bottom w:val="nil"/>
                <w:right w:val="nil"/>
                <w:between w:val="nil"/>
              </w:pBdr>
              <w:spacing w:before="120" w:after="120"/>
            </w:pPr>
          </w:p>
        </w:tc>
        <w:tc>
          <w:tcPr>
            <w:tcW w:w="1408" w:type="dxa"/>
            <w:gridSpan w:val="2"/>
          </w:tcPr>
          <w:p w14:paraId="122AFDDE" w14:textId="77777777" w:rsidR="007960A8" w:rsidRDefault="007960A8">
            <w:pPr>
              <w:pBdr>
                <w:top w:val="nil"/>
                <w:left w:val="nil"/>
                <w:bottom w:val="nil"/>
                <w:right w:val="nil"/>
                <w:between w:val="nil"/>
              </w:pBdr>
              <w:spacing w:before="120" w:after="120"/>
            </w:pPr>
          </w:p>
        </w:tc>
        <w:tc>
          <w:tcPr>
            <w:tcW w:w="1407" w:type="dxa"/>
            <w:gridSpan w:val="3"/>
          </w:tcPr>
          <w:p w14:paraId="1659DD61" w14:textId="77777777" w:rsidR="007960A8" w:rsidRDefault="007960A8">
            <w:pPr>
              <w:pBdr>
                <w:top w:val="nil"/>
                <w:left w:val="nil"/>
                <w:bottom w:val="nil"/>
                <w:right w:val="nil"/>
                <w:between w:val="nil"/>
              </w:pBdr>
              <w:spacing w:before="120" w:after="120"/>
            </w:pPr>
          </w:p>
        </w:tc>
        <w:tc>
          <w:tcPr>
            <w:tcW w:w="2112" w:type="dxa"/>
            <w:gridSpan w:val="4"/>
          </w:tcPr>
          <w:p w14:paraId="108EA0C4" w14:textId="77777777" w:rsidR="007960A8" w:rsidRDefault="007960A8">
            <w:pPr>
              <w:pBdr>
                <w:top w:val="nil"/>
                <w:left w:val="nil"/>
                <w:bottom w:val="nil"/>
                <w:right w:val="nil"/>
                <w:between w:val="nil"/>
              </w:pBdr>
              <w:spacing w:before="120" w:after="120"/>
            </w:pPr>
          </w:p>
        </w:tc>
        <w:tc>
          <w:tcPr>
            <w:tcW w:w="2110" w:type="dxa"/>
            <w:gridSpan w:val="3"/>
          </w:tcPr>
          <w:p w14:paraId="4ABA4077" w14:textId="77777777" w:rsidR="007960A8" w:rsidRDefault="007960A8">
            <w:pPr>
              <w:pBdr>
                <w:top w:val="nil"/>
                <w:left w:val="nil"/>
                <w:bottom w:val="nil"/>
                <w:right w:val="nil"/>
                <w:between w:val="nil"/>
              </w:pBdr>
              <w:spacing w:before="120" w:after="120"/>
            </w:pPr>
          </w:p>
        </w:tc>
        <w:tc>
          <w:tcPr>
            <w:tcW w:w="1690" w:type="dxa"/>
            <w:gridSpan w:val="2"/>
          </w:tcPr>
          <w:p w14:paraId="6647F716" w14:textId="77777777" w:rsidR="007960A8" w:rsidRDefault="007960A8">
            <w:pPr>
              <w:pBdr>
                <w:top w:val="nil"/>
                <w:left w:val="nil"/>
                <w:bottom w:val="nil"/>
                <w:right w:val="nil"/>
                <w:between w:val="nil"/>
              </w:pBdr>
              <w:spacing w:before="120" w:after="120"/>
            </w:pPr>
          </w:p>
        </w:tc>
        <w:tc>
          <w:tcPr>
            <w:tcW w:w="1689" w:type="dxa"/>
            <w:gridSpan w:val="3"/>
          </w:tcPr>
          <w:p w14:paraId="71DEE95F" w14:textId="77777777" w:rsidR="007960A8" w:rsidRDefault="007960A8">
            <w:pPr>
              <w:pBdr>
                <w:top w:val="nil"/>
                <w:left w:val="nil"/>
                <w:bottom w:val="nil"/>
                <w:right w:val="nil"/>
                <w:between w:val="nil"/>
              </w:pBdr>
              <w:spacing w:before="120" w:after="120"/>
            </w:pPr>
          </w:p>
        </w:tc>
        <w:tc>
          <w:tcPr>
            <w:tcW w:w="1830" w:type="dxa"/>
            <w:gridSpan w:val="3"/>
          </w:tcPr>
          <w:p w14:paraId="0FABCE50" w14:textId="77777777" w:rsidR="007960A8" w:rsidRDefault="007960A8">
            <w:pPr>
              <w:pBdr>
                <w:top w:val="nil"/>
                <w:left w:val="nil"/>
                <w:bottom w:val="nil"/>
                <w:right w:val="nil"/>
                <w:between w:val="nil"/>
              </w:pBdr>
              <w:spacing w:before="120" w:after="120"/>
            </w:pPr>
          </w:p>
        </w:tc>
      </w:tr>
      <w:tr w:rsidR="007960A8" w14:paraId="791B3F8C" w14:textId="77777777">
        <w:tc>
          <w:tcPr>
            <w:tcW w:w="1518" w:type="dxa"/>
            <w:gridSpan w:val="5"/>
            <w:shd w:val="clear" w:color="auto" w:fill="CCECFF"/>
          </w:tcPr>
          <w:p w14:paraId="72B8BEDF" w14:textId="77777777" w:rsidR="007960A8" w:rsidRDefault="00A26397">
            <w:pPr>
              <w:pBdr>
                <w:top w:val="nil"/>
                <w:left w:val="nil"/>
                <w:bottom w:val="nil"/>
                <w:right w:val="nil"/>
                <w:between w:val="nil"/>
              </w:pBdr>
              <w:spacing w:before="120" w:after="120"/>
              <w:rPr>
                <w:b/>
                <w:bCs/>
              </w:rPr>
            </w:pPr>
            <w:r>
              <w:rPr>
                <w:b/>
                <w:bCs/>
              </w:rPr>
              <w:t>Emp No 2</w:t>
            </w:r>
          </w:p>
        </w:tc>
        <w:tc>
          <w:tcPr>
            <w:tcW w:w="1829" w:type="dxa"/>
            <w:gridSpan w:val="2"/>
          </w:tcPr>
          <w:p w14:paraId="347F77A9" w14:textId="77777777" w:rsidR="007960A8" w:rsidRDefault="007960A8">
            <w:pPr>
              <w:pBdr>
                <w:top w:val="nil"/>
                <w:left w:val="nil"/>
                <w:bottom w:val="nil"/>
                <w:right w:val="nil"/>
                <w:between w:val="nil"/>
              </w:pBdr>
              <w:spacing w:before="120" w:after="120"/>
            </w:pPr>
          </w:p>
        </w:tc>
        <w:tc>
          <w:tcPr>
            <w:tcW w:w="1408" w:type="dxa"/>
            <w:gridSpan w:val="2"/>
          </w:tcPr>
          <w:p w14:paraId="191E519C" w14:textId="77777777" w:rsidR="007960A8" w:rsidRDefault="007960A8">
            <w:pPr>
              <w:pBdr>
                <w:top w:val="nil"/>
                <w:left w:val="nil"/>
                <w:bottom w:val="nil"/>
                <w:right w:val="nil"/>
                <w:between w:val="nil"/>
              </w:pBdr>
              <w:spacing w:before="120" w:after="120"/>
            </w:pPr>
          </w:p>
        </w:tc>
        <w:tc>
          <w:tcPr>
            <w:tcW w:w="1407" w:type="dxa"/>
            <w:gridSpan w:val="3"/>
          </w:tcPr>
          <w:p w14:paraId="3B2D7E87" w14:textId="77777777" w:rsidR="007960A8" w:rsidRDefault="007960A8">
            <w:pPr>
              <w:pBdr>
                <w:top w:val="nil"/>
                <w:left w:val="nil"/>
                <w:bottom w:val="nil"/>
                <w:right w:val="nil"/>
                <w:between w:val="nil"/>
              </w:pBdr>
              <w:spacing w:before="120" w:after="120"/>
            </w:pPr>
          </w:p>
        </w:tc>
        <w:tc>
          <w:tcPr>
            <w:tcW w:w="2112" w:type="dxa"/>
            <w:gridSpan w:val="4"/>
          </w:tcPr>
          <w:p w14:paraId="5B5BC500" w14:textId="77777777" w:rsidR="007960A8" w:rsidRDefault="007960A8">
            <w:pPr>
              <w:pBdr>
                <w:top w:val="nil"/>
                <w:left w:val="nil"/>
                <w:bottom w:val="nil"/>
                <w:right w:val="nil"/>
                <w:between w:val="nil"/>
              </w:pBdr>
              <w:spacing w:before="120" w:after="120"/>
            </w:pPr>
          </w:p>
        </w:tc>
        <w:tc>
          <w:tcPr>
            <w:tcW w:w="2110" w:type="dxa"/>
            <w:gridSpan w:val="3"/>
          </w:tcPr>
          <w:p w14:paraId="6AA18789" w14:textId="77777777" w:rsidR="007960A8" w:rsidRDefault="007960A8">
            <w:pPr>
              <w:pBdr>
                <w:top w:val="nil"/>
                <w:left w:val="nil"/>
                <w:bottom w:val="nil"/>
                <w:right w:val="nil"/>
                <w:between w:val="nil"/>
              </w:pBdr>
              <w:spacing w:before="120" w:after="120"/>
            </w:pPr>
          </w:p>
        </w:tc>
        <w:tc>
          <w:tcPr>
            <w:tcW w:w="1690" w:type="dxa"/>
            <w:gridSpan w:val="2"/>
          </w:tcPr>
          <w:p w14:paraId="51D97A3F" w14:textId="77777777" w:rsidR="007960A8" w:rsidRDefault="007960A8">
            <w:pPr>
              <w:pBdr>
                <w:top w:val="nil"/>
                <w:left w:val="nil"/>
                <w:bottom w:val="nil"/>
                <w:right w:val="nil"/>
                <w:between w:val="nil"/>
              </w:pBdr>
              <w:spacing w:before="120" w:after="120"/>
            </w:pPr>
          </w:p>
        </w:tc>
        <w:tc>
          <w:tcPr>
            <w:tcW w:w="1689" w:type="dxa"/>
            <w:gridSpan w:val="3"/>
          </w:tcPr>
          <w:p w14:paraId="1F3396CF" w14:textId="77777777" w:rsidR="007960A8" w:rsidRDefault="007960A8">
            <w:pPr>
              <w:pBdr>
                <w:top w:val="nil"/>
                <w:left w:val="nil"/>
                <w:bottom w:val="nil"/>
                <w:right w:val="nil"/>
                <w:between w:val="nil"/>
              </w:pBdr>
              <w:spacing w:before="120" w:after="120"/>
            </w:pPr>
          </w:p>
        </w:tc>
        <w:tc>
          <w:tcPr>
            <w:tcW w:w="1830" w:type="dxa"/>
            <w:gridSpan w:val="3"/>
          </w:tcPr>
          <w:p w14:paraId="192D4776" w14:textId="77777777" w:rsidR="007960A8" w:rsidRDefault="007960A8">
            <w:pPr>
              <w:pBdr>
                <w:top w:val="nil"/>
                <w:left w:val="nil"/>
                <w:bottom w:val="nil"/>
                <w:right w:val="nil"/>
                <w:between w:val="nil"/>
              </w:pBdr>
              <w:spacing w:before="120" w:after="120"/>
            </w:pPr>
          </w:p>
        </w:tc>
      </w:tr>
      <w:tr w:rsidR="007960A8" w14:paraId="7730AE17" w14:textId="77777777">
        <w:tc>
          <w:tcPr>
            <w:tcW w:w="1518" w:type="dxa"/>
            <w:gridSpan w:val="5"/>
            <w:shd w:val="clear" w:color="auto" w:fill="CCECFF"/>
          </w:tcPr>
          <w:p w14:paraId="2561DB37" w14:textId="77777777" w:rsidR="007960A8" w:rsidRDefault="00A26397">
            <w:pPr>
              <w:pBdr>
                <w:top w:val="nil"/>
                <w:left w:val="nil"/>
                <w:bottom w:val="nil"/>
                <w:right w:val="nil"/>
                <w:between w:val="nil"/>
              </w:pBdr>
              <w:spacing w:before="120" w:after="120"/>
              <w:rPr>
                <w:b/>
                <w:bCs/>
              </w:rPr>
            </w:pPr>
            <w:r>
              <w:rPr>
                <w:b/>
                <w:bCs/>
              </w:rPr>
              <w:t>Emp No</w:t>
            </w:r>
          </w:p>
        </w:tc>
        <w:tc>
          <w:tcPr>
            <w:tcW w:w="1829" w:type="dxa"/>
            <w:gridSpan w:val="2"/>
          </w:tcPr>
          <w:p w14:paraId="3623A279" w14:textId="77777777" w:rsidR="007960A8" w:rsidRDefault="007960A8">
            <w:pPr>
              <w:pBdr>
                <w:top w:val="nil"/>
                <w:left w:val="nil"/>
                <w:bottom w:val="nil"/>
                <w:right w:val="nil"/>
                <w:between w:val="nil"/>
              </w:pBdr>
              <w:spacing w:before="120" w:after="120"/>
            </w:pPr>
          </w:p>
        </w:tc>
        <w:tc>
          <w:tcPr>
            <w:tcW w:w="1408" w:type="dxa"/>
            <w:gridSpan w:val="2"/>
          </w:tcPr>
          <w:p w14:paraId="101CDF77" w14:textId="77777777" w:rsidR="007960A8" w:rsidRDefault="007960A8">
            <w:pPr>
              <w:pBdr>
                <w:top w:val="nil"/>
                <w:left w:val="nil"/>
                <w:bottom w:val="nil"/>
                <w:right w:val="nil"/>
                <w:between w:val="nil"/>
              </w:pBdr>
              <w:spacing w:before="120" w:after="120"/>
            </w:pPr>
          </w:p>
        </w:tc>
        <w:tc>
          <w:tcPr>
            <w:tcW w:w="1407" w:type="dxa"/>
            <w:gridSpan w:val="3"/>
          </w:tcPr>
          <w:p w14:paraId="3EB59419" w14:textId="77777777" w:rsidR="007960A8" w:rsidRDefault="007960A8">
            <w:pPr>
              <w:pBdr>
                <w:top w:val="nil"/>
                <w:left w:val="nil"/>
                <w:bottom w:val="nil"/>
                <w:right w:val="nil"/>
                <w:between w:val="nil"/>
              </w:pBdr>
              <w:spacing w:before="120" w:after="120"/>
            </w:pPr>
          </w:p>
        </w:tc>
        <w:tc>
          <w:tcPr>
            <w:tcW w:w="2112" w:type="dxa"/>
            <w:gridSpan w:val="4"/>
          </w:tcPr>
          <w:p w14:paraId="56FF61F1" w14:textId="77777777" w:rsidR="007960A8" w:rsidRDefault="007960A8">
            <w:pPr>
              <w:pBdr>
                <w:top w:val="nil"/>
                <w:left w:val="nil"/>
                <w:bottom w:val="nil"/>
                <w:right w:val="nil"/>
                <w:between w:val="nil"/>
              </w:pBdr>
              <w:spacing w:before="120" w:after="120"/>
            </w:pPr>
          </w:p>
        </w:tc>
        <w:tc>
          <w:tcPr>
            <w:tcW w:w="2110" w:type="dxa"/>
            <w:gridSpan w:val="3"/>
          </w:tcPr>
          <w:p w14:paraId="1E5D32BE" w14:textId="77777777" w:rsidR="007960A8" w:rsidRDefault="007960A8">
            <w:pPr>
              <w:pBdr>
                <w:top w:val="nil"/>
                <w:left w:val="nil"/>
                <w:bottom w:val="nil"/>
                <w:right w:val="nil"/>
                <w:between w:val="nil"/>
              </w:pBdr>
              <w:spacing w:before="120" w:after="120"/>
            </w:pPr>
          </w:p>
        </w:tc>
        <w:tc>
          <w:tcPr>
            <w:tcW w:w="1690" w:type="dxa"/>
            <w:gridSpan w:val="2"/>
          </w:tcPr>
          <w:p w14:paraId="787074D8" w14:textId="77777777" w:rsidR="007960A8" w:rsidRDefault="007960A8">
            <w:pPr>
              <w:pBdr>
                <w:top w:val="nil"/>
                <w:left w:val="nil"/>
                <w:bottom w:val="nil"/>
                <w:right w:val="nil"/>
                <w:between w:val="nil"/>
              </w:pBdr>
              <w:spacing w:before="120" w:after="120"/>
            </w:pPr>
          </w:p>
        </w:tc>
        <w:tc>
          <w:tcPr>
            <w:tcW w:w="1689" w:type="dxa"/>
            <w:gridSpan w:val="3"/>
          </w:tcPr>
          <w:p w14:paraId="0D3F69CC" w14:textId="77777777" w:rsidR="007960A8" w:rsidRDefault="007960A8">
            <w:pPr>
              <w:pBdr>
                <w:top w:val="nil"/>
                <w:left w:val="nil"/>
                <w:bottom w:val="nil"/>
                <w:right w:val="nil"/>
                <w:between w:val="nil"/>
              </w:pBdr>
              <w:spacing w:before="120" w:after="120"/>
            </w:pPr>
          </w:p>
        </w:tc>
        <w:tc>
          <w:tcPr>
            <w:tcW w:w="1830" w:type="dxa"/>
            <w:gridSpan w:val="3"/>
          </w:tcPr>
          <w:p w14:paraId="54CA7D2B" w14:textId="77777777" w:rsidR="007960A8" w:rsidRDefault="007960A8">
            <w:pPr>
              <w:pBdr>
                <w:top w:val="nil"/>
                <w:left w:val="nil"/>
                <w:bottom w:val="nil"/>
                <w:right w:val="nil"/>
                <w:between w:val="nil"/>
              </w:pBdr>
              <w:spacing w:before="120" w:after="120"/>
            </w:pPr>
          </w:p>
        </w:tc>
      </w:tr>
      <w:tr w:rsidR="007960A8" w14:paraId="0F49A984" w14:textId="77777777">
        <w:tc>
          <w:tcPr>
            <w:tcW w:w="1518" w:type="dxa"/>
            <w:gridSpan w:val="5"/>
            <w:shd w:val="clear" w:color="auto" w:fill="CCECFF"/>
          </w:tcPr>
          <w:p w14:paraId="21938F89" w14:textId="77777777" w:rsidR="007960A8" w:rsidRDefault="00A26397">
            <w:pPr>
              <w:pBdr>
                <w:top w:val="nil"/>
                <w:left w:val="nil"/>
                <w:bottom w:val="nil"/>
                <w:right w:val="nil"/>
                <w:between w:val="nil"/>
              </w:pBdr>
              <w:spacing w:before="120" w:after="120"/>
              <w:rPr>
                <w:b/>
                <w:bCs/>
              </w:rPr>
            </w:pPr>
            <w:r>
              <w:rPr>
                <w:b/>
                <w:bCs/>
              </w:rPr>
              <w:t>Emp No</w:t>
            </w:r>
          </w:p>
        </w:tc>
        <w:tc>
          <w:tcPr>
            <w:tcW w:w="1829" w:type="dxa"/>
            <w:gridSpan w:val="2"/>
          </w:tcPr>
          <w:p w14:paraId="34F632E4" w14:textId="77777777" w:rsidR="007960A8" w:rsidRDefault="007960A8">
            <w:pPr>
              <w:pBdr>
                <w:top w:val="nil"/>
                <w:left w:val="nil"/>
                <w:bottom w:val="nil"/>
                <w:right w:val="nil"/>
                <w:between w:val="nil"/>
              </w:pBdr>
              <w:spacing w:before="120" w:after="120"/>
            </w:pPr>
          </w:p>
        </w:tc>
        <w:tc>
          <w:tcPr>
            <w:tcW w:w="1408" w:type="dxa"/>
            <w:gridSpan w:val="2"/>
          </w:tcPr>
          <w:p w14:paraId="640B308A" w14:textId="77777777" w:rsidR="007960A8" w:rsidRDefault="007960A8">
            <w:pPr>
              <w:pBdr>
                <w:top w:val="nil"/>
                <w:left w:val="nil"/>
                <w:bottom w:val="nil"/>
                <w:right w:val="nil"/>
                <w:between w:val="nil"/>
              </w:pBdr>
              <w:spacing w:before="120" w:after="120"/>
            </w:pPr>
          </w:p>
        </w:tc>
        <w:tc>
          <w:tcPr>
            <w:tcW w:w="1407" w:type="dxa"/>
            <w:gridSpan w:val="3"/>
          </w:tcPr>
          <w:p w14:paraId="1C520490" w14:textId="77777777" w:rsidR="007960A8" w:rsidRDefault="007960A8">
            <w:pPr>
              <w:pBdr>
                <w:top w:val="nil"/>
                <w:left w:val="nil"/>
                <w:bottom w:val="nil"/>
                <w:right w:val="nil"/>
                <w:between w:val="nil"/>
              </w:pBdr>
              <w:spacing w:before="120" w:after="120"/>
            </w:pPr>
          </w:p>
        </w:tc>
        <w:tc>
          <w:tcPr>
            <w:tcW w:w="2112" w:type="dxa"/>
            <w:gridSpan w:val="4"/>
          </w:tcPr>
          <w:p w14:paraId="1185C768" w14:textId="77777777" w:rsidR="007960A8" w:rsidRDefault="007960A8">
            <w:pPr>
              <w:pBdr>
                <w:top w:val="nil"/>
                <w:left w:val="nil"/>
                <w:bottom w:val="nil"/>
                <w:right w:val="nil"/>
                <w:between w:val="nil"/>
              </w:pBdr>
              <w:spacing w:before="120" w:after="120"/>
            </w:pPr>
          </w:p>
        </w:tc>
        <w:tc>
          <w:tcPr>
            <w:tcW w:w="2110" w:type="dxa"/>
            <w:gridSpan w:val="3"/>
          </w:tcPr>
          <w:p w14:paraId="543F9202" w14:textId="77777777" w:rsidR="007960A8" w:rsidRDefault="007960A8">
            <w:pPr>
              <w:pBdr>
                <w:top w:val="nil"/>
                <w:left w:val="nil"/>
                <w:bottom w:val="nil"/>
                <w:right w:val="nil"/>
                <w:between w:val="nil"/>
              </w:pBdr>
              <w:spacing w:before="120" w:after="120"/>
            </w:pPr>
          </w:p>
        </w:tc>
        <w:tc>
          <w:tcPr>
            <w:tcW w:w="1690" w:type="dxa"/>
            <w:gridSpan w:val="2"/>
          </w:tcPr>
          <w:p w14:paraId="25D13D88" w14:textId="77777777" w:rsidR="007960A8" w:rsidRDefault="007960A8">
            <w:pPr>
              <w:pBdr>
                <w:top w:val="nil"/>
                <w:left w:val="nil"/>
                <w:bottom w:val="nil"/>
                <w:right w:val="nil"/>
                <w:between w:val="nil"/>
              </w:pBdr>
              <w:spacing w:before="120" w:after="120"/>
            </w:pPr>
          </w:p>
        </w:tc>
        <w:tc>
          <w:tcPr>
            <w:tcW w:w="1689" w:type="dxa"/>
            <w:gridSpan w:val="3"/>
          </w:tcPr>
          <w:p w14:paraId="673245F9" w14:textId="77777777" w:rsidR="007960A8" w:rsidRDefault="007960A8">
            <w:pPr>
              <w:pBdr>
                <w:top w:val="nil"/>
                <w:left w:val="nil"/>
                <w:bottom w:val="nil"/>
                <w:right w:val="nil"/>
                <w:between w:val="nil"/>
              </w:pBdr>
              <w:spacing w:before="120" w:after="120"/>
            </w:pPr>
          </w:p>
        </w:tc>
        <w:tc>
          <w:tcPr>
            <w:tcW w:w="1830" w:type="dxa"/>
            <w:gridSpan w:val="3"/>
          </w:tcPr>
          <w:p w14:paraId="0EB34ACF" w14:textId="77777777" w:rsidR="007960A8" w:rsidRDefault="007960A8">
            <w:pPr>
              <w:pBdr>
                <w:top w:val="nil"/>
                <w:left w:val="nil"/>
                <w:bottom w:val="nil"/>
                <w:right w:val="nil"/>
                <w:between w:val="nil"/>
              </w:pBdr>
              <w:spacing w:before="120" w:after="120"/>
            </w:pPr>
          </w:p>
        </w:tc>
      </w:tr>
      <w:tr w:rsidR="007960A8" w14:paraId="5317A9E1" w14:textId="77777777">
        <w:tc>
          <w:tcPr>
            <w:tcW w:w="1518" w:type="dxa"/>
            <w:gridSpan w:val="5"/>
            <w:shd w:val="clear" w:color="auto" w:fill="CCECFF"/>
          </w:tcPr>
          <w:p w14:paraId="17F8D6EA" w14:textId="77777777" w:rsidR="007960A8" w:rsidRDefault="00A26397">
            <w:pPr>
              <w:pBdr>
                <w:top w:val="nil"/>
                <w:left w:val="nil"/>
                <w:bottom w:val="nil"/>
                <w:right w:val="nil"/>
                <w:between w:val="nil"/>
              </w:pBdr>
              <w:spacing w:before="120" w:after="120"/>
              <w:rPr>
                <w:b/>
                <w:bCs/>
              </w:rPr>
            </w:pPr>
            <w:r>
              <w:rPr>
                <w:b/>
                <w:bCs/>
              </w:rPr>
              <w:t>Emp No</w:t>
            </w:r>
          </w:p>
        </w:tc>
        <w:tc>
          <w:tcPr>
            <w:tcW w:w="1829" w:type="dxa"/>
            <w:gridSpan w:val="2"/>
          </w:tcPr>
          <w:p w14:paraId="40599E0F" w14:textId="77777777" w:rsidR="007960A8" w:rsidRDefault="007960A8">
            <w:pPr>
              <w:pBdr>
                <w:top w:val="nil"/>
                <w:left w:val="nil"/>
                <w:bottom w:val="nil"/>
                <w:right w:val="nil"/>
                <w:between w:val="nil"/>
              </w:pBdr>
              <w:spacing w:before="120" w:after="120"/>
            </w:pPr>
          </w:p>
        </w:tc>
        <w:tc>
          <w:tcPr>
            <w:tcW w:w="1408" w:type="dxa"/>
            <w:gridSpan w:val="2"/>
          </w:tcPr>
          <w:p w14:paraId="49117120" w14:textId="77777777" w:rsidR="007960A8" w:rsidRDefault="007960A8">
            <w:pPr>
              <w:pBdr>
                <w:top w:val="nil"/>
                <w:left w:val="nil"/>
                <w:bottom w:val="nil"/>
                <w:right w:val="nil"/>
                <w:between w:val="nil"/>
              </w:pBdr>
              <w:spacing w:before="120" w:after="120"/>
            </w:pPr>
          </w:p>
        </w:tc>
        <w:tc>
          <w:tcPr>
            <w:tcW w:w="1407" w:type="dxa"/>
            <w:gridSpan w:val="3"/>
          </w:tcPr>
          <w:p w14:paraId="3D2DC3FF" w14:textId="77777777" w:rsidR="007960A8" w:rsidRDefault="007960A8">
            <w:pPr>
              <w:pBdr>
                <w:top w:val="nil"/>
                <w:left w:val="nil"/>
                <w:bottom w:val="nil"/>
                <w:right w:val="nil"/>
                <w:between w:val="nil"/>
              </w:pBdr>
              <w:spacing w:before="120" w:after="120"/>
            </w:pPr>
          </w:p>
        </w:tc>
        <w:tc>
          <w:tcPr>
            <w:tcW w:w="2112" w:type="dxa"/>
            <w:gridSpan w:val="4"/>
          </w:tcPr>
          <w:p w14:paraId="1FC4F2A4" w14:textId="77777777" w:rsidR="007960A8" w:rsidRDefault="007960A8">
            <w:pPr>
              <w:pBdr>
                <w:top w:val="nil"/>
                <w:left w:val="nil"/>
                <w:bottom w:val="nil"/>
                <w:right w:val="nil"/>
                <w:between w:val="nil"/>
              </w:pBdr>
              <w:spacing w:before="120" w:after="120"/>
            </w:pPr>
          </w:p>
        </w:tc>
        <w:tc>
          <w:tcPr>
            <w:tcW w:w="2110" w:type="dxa"/>
            <w:gridSpan w:val="3"/>
          </w:tcPr>
          <w:p w14:paraId="619D51B9" w14:textId="77777777" w:rsidR="007960A8" w:rsidRDefault="007960A8">
            <w:pPr>
              <w:pBdr>
                <w:top w:val="nil"/>
                <w:left w:val="nil"/>
                <w:bottom w:val="nil"/>
                <w:right w:val="nil"/>
                <w:between w:val="nil"/>
              </w:pBdr>
              <w:spacing w:before="120" w:after="120"/>
            </w:pPr>
          </w:p>
        </w:tc>
        <w:tc>
          <w:tcPr>
            <w:tcW w:w="1690" w:type="dxa"/>
            <w:gridSpan w:val="2"/>
          </w:tcPr>
          <w:p w14:paraId="6B54FF5F" w14:textId="77777777" w:rsidR="007960A8" w:rsidRDefault="007960A8">
            <w:pPr>
              <w:pBdr>
                <w:top w:val="nil"/>
                <w:left w:val="nil"/>
                <w:bottom w:val="nil"/>
                <w:right w:val="nil"/>
                <w:between w:val="nil"/>
              </w:pBdr>
              <w:spacing w:before="120" w:after="120"/>
            </w:pPr>
          </w:p>
        </w:tc>
        <w:tc>
          <w:tcPr>
            <w:tcW w:w="1689" w:type="dxa"/>
            <w:gridSpan w:val="3"/>
          </w:tcPr>
          <w:p w14:paraId="36D5BF32" w14:textId="77777777" w:rsidR="007960A8" w:rsidRDefault="007960A8">
            <w:pPr>
              <w:pBdr>
                <w:top w:val="nil"/>
                <w:left w:val="nil"/>
                <w:bottom w:val="nil"/>
                <w:right w:val="nil"/>
                <w:between w:val="nil"/>
              </w:pBdr>
              <w:spacing w:before="120" w:after="120"/>
            </w:pPr>
          </w:p>
        </w:tc>
        <w:tc>
          <w:tcPr>
            <w:tcW w:w="1830" w:type="dxa"/>
            <w:gridSpan w:val="3"/>
          </w:tcPr>
          <w:p w14:paraId="4114B95B" w14:textId="77777777" w:rsidR="007960A8" w:rsidRDefault="007960A8">
            <w:pPr>
              <w:pBdr>
                <w:top w:val="nil"/>
                <w:left w:val="nil"/>
                <w:bottom w:val="nil"/>
                <w:right w:val="nil"/>
                <w:between w:val="nil"/>
              </w:pBdr>
              <w:spacing w:before="120" w:after="120"/>
            </w:pPr>
          </w:p>
        </w:tc>
      </w:tr>
      <w:tr w:rsidR="007960A8" w14:paraId="1694BEBC" w14:textId="77777777">
        <w:tc>
          <w:tcPr>
            <w:tcW w:w="1518" w:type="dxa"/>
            <w:gridSpan w:val="5"/>
            <w:shd w:val="clear" w:color="auto" w:fill="CCECFF"/>
          </w:tcPr>
          <w:p w14:paraId="4DDD0410" w14:textId="77777777" w:rsidR="007960A8" w:rsidRDefault="00A26397">
            <w:pPr>
              <w:pBdr>
                <w:top w:val="nil"/>
                <w:left w:val="nil"/>
                <w:bottom w:val="nil"/>
                <w:right w:val="nil"/>
                <w:between w:val="nil"/>
              </w:pBdr>
              <w:spacing w:before="120" w:after="120"/>
              <w:rPr>
                <w:b/>
                <w:bCs/>
              </w:rPr>
            </w:pPr>
            <w:r>
              <w:rPr>
                <w:b/>
                <w:bCs/>
              </w:rPr>
              <w:t>Emp No</w:t>
            </w:r>
          </w:p>
        </w:tc>
        <w:tc>
          <w:tcPr>
            <w:tcW w:w="1829" w:type="dxa"/>
            <w:gridSpan w:val="2"/>
          </w:tcPr>
          <w:p w14:paraId="32F1C629" w14:textId="77777777" w:rsidR="007960A8" w:rsidRDefault="007960A8">
            <w:pPr>
              <w:pBdr>
                <w:top w:val="nil"/>
                <w:left w:val="nil"/>
                <w:bottom w:val="nil"/>
                <w:right w:val="nil"/>
                <w:between w:val="nil"/>
              </w:pBdr>
              <w:spacing w:before="120" w:after="120"/>
            </w:pPr>
          </w:p>
        </w:tc>
        <w:tc>
          <w:tcPr>
            <w:tcW w:w="1408" w:type="dxa"/>
            <w:gridSpan w:val="2"/>
          </w:tcPr>
          <w:p w14:paraId="004BDF67" w14:textId="77777777" w:rsidR="007960A8" w:rsidRDefault="007960A8">
            <w:pPr>
              <w:pBdr>
                <w:top w:val="nil"/>
                <w:left w:val="nil"/>
                <w:bottom w:val="nil"/>
                <w:right w:val="nil"/>
                <w:between w:val="nil"/>
              </w:pBdr>
              <w:spacing w:before="120" w:after="120"/>
            </w:pPr>
          </w:p>
        </w:tc>
        <w:tc>
          <w:tcPr>
            <w:tcW w:w="1407" w:type="dxa"/>
            <w:gridSpan w:val="3"/>
          </w:tcPr>
          <w:p w14:paraId="79C610FC" w14:textId="77777777" w:rsidR="007960A8" w:rsidRDefault="007960A8">
            <w:pPr>
              <w:pBdr>
                <w:top w:val="nil"/>
                <w:left w:val="nil"/>
                <w:bottom w:val="nil"/>
                <w:right w:val="nil"/>
                <w:between w:val="nil"/>
              </w:pBdr>
              <w:spacing w:before="120" w:after="120"/>
            </w:pPr>
          </w:p>
        </w:tc>
        <w:tc>
          <w:tcPr>
            <w:tcW w:w="2112" w:type="dxa"/>
            <w:gridSpan w:val="4"/>
          </w:tcPr>
          <w:p w14:paraId="3E8697F2" w14:textId="77777777" w:rsidR="007960A8" w:rsidRDefault="007960A8">
            <w:pPr>
              <w:pBdr>
                <w:top w:val="nil"/>
                <w:left w:val="nil"/>
                <w:bottom w:val="nil"/>
                <w:right w:val="nil"/>
                <w:between w:val="nil"/>
              </w:pBdr>
              <w:spacing w:before="120" w:after="120"/>
            </w:pPr>
          </w:p>
        </w:tc>
        <w:tc>
          <w:tcPr>
            <w:tcW w:w="2110" w:type="dxa"/>
            <w:gridSpan w:val="3"/>
          </w:tcPr>
          <w:p w14:paraId="4C8005A4" w14:textId="77777777" w:rsidR="007960A8" w:rsidRDefault="007960A8">
            <w:pPr>
              <w:pBdr>
                <w:top w:val="nil"/>
                <w:left w:val="nil"/>
                <w:bottom w:val="nil"/>
                <w:right w:val="nil"/>
                <w:between w:val="nil"/>
              </w:pBdr>
              <w:spacing w:before="120" w:after="120"/>
            </w:pPr>
          </w:p>
        </w:tc>
        <w:tc>
          <w:tcPr>
            <w:tcW w:w="1690" w:type="dxa"/>
            <w:gridSpan w:val="2"/>
          </w:tcPr>
          <w:p w14:paraId="66653F8A" w14:textId="77777777" w:rsidR="007960A8" w:rsidRDefault="007960A8">
            <w:pPr>
              <w:pBdr>
                <w:top w:val="nil"/>
                <w:left w:val="nil"/>
                <w:bottom w:val="nil"/>
                <w:right w:val="nil"/>
                <w:between w:val="nil"/>
              </w:pBdr>
              <w:spacing w:before="120" w:after="120"/>
            </w:pPr>
          </w:p>
        </w:tc>
        <w:tc>
          <w:tcPr>
            <w:tcW w:w="1689" w:type="dxa"/>
            <w:gridSpan w:val="3"/>
          </w:tcPr>
          <w:p w14:paraId="55437E9A" w14:textId="77777777" w:rsidR="007960A8" w:rsidRDefault="007960A8">
            <w:pPr>
              <w:pBdr>
                <w:top w:val="nil"/>
                <w:left w:val="nil"/>
                <w:bottom w:val="nil"/>
                <w:right w:val="nil"/>
                <w:between w:val="nil"/>
              </w:pBdr>
              <w:spacing w:before="120" w:after="120"/>
            </w:pPr>
          </w:p>
        </w:tc>
        <w:tc>
          <w:tcPr>
            <w:tcW w:w="1830" w:type="dxa"/>
            <w:gridSpan w:val="3"/>
          </w:tcPr>
          <w:p w14:paraId="195CC240" w14:textId="77777777" w:rsidR="007960A8" w:rsidRDefault="007960A8">
            <w:pPr>
              <w:pBdr>
                <w:top w:val="nil"/>
                <w:left w:val="nil"/>
                <w:bottom w:val="nil"/>
                <w:right w:val="nil"/>
                <w:between w:val="nil"/>
              </w:pBdr>
              <w:spacing w:before="120" w:after="120"/>
            </w:pPr>
          </w:p>
        </w:tc>
      </w:tr>
      <w:tr w:rsidR="007960A8" w14:paraId="5AC8B8C8" w14:textId="77777777">
        <w:tc>
          <w:tcPr>
            <w:tcW w:w="1518" w:type="dxa"/>
            <w:gridSpan w:val="5"/>
            <w:shd w:val="clear" w:color="auto" w:fill="CCECFF"/>
          </w:tcPr>
          <w:p w14:paraId="6365EF96" w14:textId="77777777" w:rsidR="007960A8" w:rsidRDefault="00A26397">
            <w:pPr>
              <w:pBdr>
                <w:top w:val="nil"/>
                <w:left w:val="nil"/>
                <w:bottom w:val="nil"/>
                <w:right w:val="nil"/>
                <w:between w:val="nil"/>
              </w:pBdr>
              <w:spacing w:before="120" w:after="120"/>
              <w:rPr>
                <w:b/>
                <w:bCs/>
              </w:rPr>
            </w:pPr>
            <w:r>
              <w:rPr>
                <w:b/>
                <w:bCs/>
              </w:rPr>
              <w:t>Emp No</w:t>
            </w:r>
          </w:p>
        </w:tc>
        <w:tc>
          <w:tcPr>
            <w:tcW w:w="1829" w:type="dxa"/>
            <w:gridSpan w:val="2"/>
          </w:tcPr>
          <w:p w14:paraId="58A53DA9" w14:textId="77777777" w:rsidR="007960A8" w:rsidRDefault="007960A8">
            <w:pPr>
              <w:pBdr>
                <w:top w:val="nil"/>
                <w:left w:val="nil"/>
                <w:bottom w:val="nil"/>
                <w:right w:val="nil"/>
                <w:between w:val="nil"/>
              </w:pBdr>
              <w:spacing w:before="120" w:after="120"/>
            </w:pPr>
          </w:p>
        </w:tc>
        <w:tc>
          <w:tcPr>
            <w:tcW w:w="1408" w:type="dxa"/>
            <w:gridSpan w:val="2"/>
          </w:tcPr>
          <w:p w14:paraId="563B5303" w14:textId="77777777" w:rsidR="007960A8" w:rsidRDefault="007960A8">
            <w:pPr>
              <w:pBdr>
                <w:top w:val="nil"/>
                <w:left w:val="nil"/>
                <w:bottom w:val="nil"/>
                <w:right w:val="nil"/>
                <w:between w:val="nil"/>
              </w:pBdr>
              <w:spacing w:before="120" w:after="120"/>
            </w:pPr>
          </w:p>
        </w:tc>
        <w:tc>
          <w:tcPr>
            <w:tcW w:w="1407" w:type="dxa"/>
            <w:gridSpan w:val="3"/>
          </w:tcPr>
          <w:p w14:paraId="3CEC7308" w14:textId="77777777" w:rsidR="007960A8" w:rsidRDefault="007960A8">
            <w:pPr>
              <w:pBdr>
                <w:top w:val="nil"/>
                <w:left w:val="nil"/>
                <w:bottom w:val="nil"/>
                <w:right w:val="nil"/>
                <w:between w:val="nil"/>
              </w:pBdr>
              <w:spacing w:before="120" w:after="120"/>
            </w:pPr>
          </w:p>
        </w:tc>
        <w:tc>
          <w:tcPr>
            <w:tcW w:w="2112" w:type="dxa"/>
            <w:gridSpan w:val="4"/>
          </w:tcPr>
          <w:p w14:paraId="5605C4AF" w14:textId="77777777" w:rsidR="007960A8" w:rsidRDefault="007960A8">
            <w:pPr>
              <w:pBdr>
                <w:top w:val="nil"/>
                <w:left w:val="nil"/>
                <w:bottom w:val="nil"/>
                <w:right w:val="nil"/>
                <w:between w:val="nil"/>
              </w:pBdr>
              <w:spacing w:before="120" w:after="120"/>
            </w:pPr>
          </w:p>
        </w:tc>
        <w:tc>
          <w:tcPr>
            <w:tcW w:w="2110" w:type="dxa"/>
            <w:gridSpan w:val="3"/>
          </w:tcPr>
          <w:p w14:paraId="3657520E" w14:textId="77777777" w:rsidR="007960A8" w:rsidRDefault="007960A8">
            <w:pPr>
              <w:pBdr>
                <w:top w:val="nil"/>
                <w:left w:val="nil"/>
                <w:bottom w:val="nil"/>
                <w:right w:val="nil"/>
                <w:between w:val="nil"/>
              </w:pBdr>
              <w:spacing w:before="120" w:after="120"/>
            </w:pPr>
          </w:p>
        </w:tc>
        <w:tc>
          <w:tcPr>
            <w:tcW w:w="1690" w:type="dxa"/>
            <w:gridSpan w:val="2"/>
          </w:tcPr>
          <w:p w14:paraId="4EF3ACD1" w14:textId="77777777" w:rsidR="007960A8" w:rsidRDefault="007960A8">
            <w:pPr>
              <w:pBdr>
                <w:top w:val="nil"/>
                <w:left w:val="nil"/>
                <w:bottom w:val="nil"/>
                <w:right w:val="nil"/>
                <w:between w:val="nil"/>
              </w:pBdr>
              <w:spacing w:before="120" w:after="120"/>
            </w:pPr>
          </w:p>
        </w:tc>
        <w:tc>
          <w:tcPr>
            <w:tcW w:w="1689" w:type="dxa"/>
            <w:gridSpan w:val="3"/>
          </w:tcPr>
          <w:p w14:paraId="75399D92" w14:textId="77777777" w:rsidR="007960A8" w:rsidRDefault="007960A8">
            <w:pPr>
              <w:pBdr>
                <w:top w:val="nil"/>
                <w:left w:val="nil"/>
                <w:bottom w:val="nil"/>
                <w:right w:val="nil"/>
                <w:between w:val="nil"/>
              </w:pBdr>
              <w:spacing w:before="120" w:after="120"/>
            </w:pPr>
          </w:p>
        </w:tc>
        <w:tc>
          <w:tcPr>
            <w:tcW w:w="1830" w:type="dxa"/>
            <w:gridSpan w:val="3"/>
          </w:tcPr>
          <w:p w14:paraId="3E5EED77" w14:textId="77777777" w:rsidR="007960A8" w:rsidRDefault="007960A8">
            <w:pPr>
              <w:pBdr>
                <w:top w:val="nil"/>
                <w:left w:val="nil"/>
                <w:bottom w:val="nil"/>
                <w:right w:val="nil"/>
                <w:between w:val="nil"/>
              </w:pBdr>
              <w:spacing w:before="120" w:after="120"/>
            </w:pPr>
          </w:p>
        </w:tc>
      </w:tr>
    </w:tbl>
    <w:p w14:paraId="6165C697" w14:textId="77777777" w:rsidR="007960A8" w:rsidRDefault="00A26397">
      <w:pPr>
        <w:spacing w:before="120" w:after="120"/>
      </w:pPr>
      <w:r>
        <w:br w:type="page"/>
      </w:r>
    </w:p>
    <w:tbl>
      <w:tblPr>
        <w:tblStyle w:val="aa"/>
        <w:tblW w:w="1559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691"/>
        <w:gridCol w:w="1497"/>
        <w:gridCol w:w="4074"/>
        <w:gridCol w:w="3093"/>
        <w:gridCol w:w="1698"/>
        <w:gridCol w:w="2122"/>
      </w:tblGrid>
      <w:tr w:rsidR="007960A8" w14:paraId="79D3441D" w14:textId="77777777">
        <w:tc>
          <w:tcPr>
            <w:tcW w:w="1418" w:type="dxa"/>
            <w:tcBorders>
              <w:top w:val="nil"/>
              <w:left w:val="nil"/>
              <w:bottom w:val="single" w:sz="4" w:space="0" w:color="000000"/>
            </w:tcBorders>
          </w:tcPr>
          <w:p w14:paraId="18808B50" w14:textId="77777777" w:rsidR="007960A8" w:rsidRDefault="007960A8">
            <w:pPr>
              <w:pBdr>
                <w:top w:val="nil"/>
                <w:left w:val="nil"/>
                <w:bottom w:val="nil"/>
                <w:right w:val="nil"/>
                <w:between w:val="nil"/>
              </w:pBdr>
              <w:spacing w:before="120" w:after="120"/>
            </w:pPr>
          </w:p>
        </w:tc>
        <w:tc>
          <w:tcPr>
            <w:tcW w:w="14175" w:type="dxa"/>
            <w:gridSpan w:val="6"/>
            <w:shd w:val="clear" w:color="auto" w:fill="A8D08D"/>
          </w:tcPr>
          <w:p w14:paraId="166D4A97" w14:textId="77777777" w:rsidR="007960A8" w:rsidRDefault="00A26397">
            <w:pPr>
              <w:pBdr>
                <w:top w:val="nil"/>
                <w:left w:val="nil"/>
                <w:bottom w:val="nil"/>
                <w:right w:val="nil"/>
                <w:between w:val="nil"/>
              </w:pBdr>
              <w:spacing w:before="120" w:after="120"/>
              <w:rPr>
                <w:b/>
                <w:bCs/>
              </w:rPr>
            </w:pPr>
            <w:r>
              <w:rPr>
                <w:b/>
                <w:bCs/>
              </w:rPr>
              <w:t>CONTRACTUAL PAY AND BENEFITS</w:t>
            </w:r>
          </w:p>
        </w:tc>
      </w:tr>
      <w:tr w:rsidR="007960A8" w14:paraId="693352FD" w14:textId="77777777">
        <w:tc>
          <w:tcPr>
            <w:tcW w:w="1418" w:type="dxa"/>
            <w:shd w:val="clear" w:color="auto" w:fill="CCECFF"/>
          </w:tcPr>
          <w:p w14:paraId="38E914C1" w14:textId="77777777" w:rsidR="007960A8" w:rsidRDefault="00A26397">
            <w:pPr>
              <w:pBdr>
                <w:top w:val="nil"/>
                <w:left w:val="nil"/>
                <w:bottom w:val="nil"/>
                <w:right w:val="nil"/>
                <w:between w:val="nil"/>
              </w:pBdr>
              <w:spacing w:before="120" w:after="120"/>
              <w:rPr>
                <w:b/>
                <w:bCs/>
              </w:rPr>
            </w:pPr>
            <w:r>
              <w:rPr>
                <w:b/>
                <w:bCs/>
              </w:rPr>
              <w:t>Details</w:t>
            </w:r>
          </w:p>
        </w:tc>
        <w:tc>
          <w:tcPr>
            <w:tcW w:w="1691" w:type="dxa"/>
            <w:shd w:val="clear" w:color="auto" w:fill="A8D08D"/>
          </w:tcPr>
          <w:p w14:paraId="60CE12A4" w14:textId="77777777" w:rsidR="007960A8" w:rsidRDefault="00A26397">
            <w:pPr>
              <w:pBdr>
                <w:top w:val="nil"/>
                <w:left w:val="nil"/>
                <w:bottom w:val="nil"/>
                <w:right w:val="nil"/>
                <w:between w:val="nil"/>
              </w:pBdr>
              <w:spacing w:before="120" w:after="120"/>
              <w:rPr>
                <w:b/>
                <w:bCs/>
              </w:rPr>
            </w:pPr>
            <w:r>
              <w:rPr>
                <w:b/>
                <w:bCs/>
              </w:rPr>
              <w:t>Annual leave entitlement (excluding bank holidays)</w:t>
            </w:r>
          </w:p>
        </w:tc>
        <w:tc>
          <w:tcPr>
            <w:tcW w:w="1497" w:type="dxa"/>
            <w:shd w:val="clear" w:color="auto" w:fill="A8D08D"/>
          </w:tcPr>
          <w:p w14:paraId="5CAE184F" w14:textId="77777777" w:rsidR="007960A8" w:rsidRDefault="00A26397">
            <w:pPr>
              <w:pBdr>
                <w:top w:val="nil"/>
                <w:left w:val="nil"/>
                <w:bottom w:val="nil"/>
                <w:right w:val="nil"/>
                <w:between w:val="nil"/>
              </w:pBdr>
              <w:spacing w:before="120" w:after="120"/>
              <w:rPr>
                <w:b/>
                <w:bCs/>
              </w:rPr>
            </w:pPr>
            <w:r>
              <w:rPr>
                <w:b/>
                <w:bCs/>
              </w:rPr>
              <w:t>Bank holiday entitlement</w:t>
            </w:r>
          </w:p>
        </w:tc>
        <w:tc>
          <w:tcPr>
            <w:tcW w:w="4074" w:type="dxa"/>
            <w:shd w:val="clear" w:color="auto" w:fill="A8D08D"/>
          </w:tcPr>
          <w:p w14:paraId="1DE77CC5" w14:textId="77777777" w:rsidR="007960A8" w:rsidRDefault="00A26397">
            <w:pPr>
              <w:pBdr>
                <w:top w:val="nil"/>
                <w:left w:val="nil"/>
                <w:bottom w:val="nil"/>
                <w:right w:val="nil"/>
                <w:between w:val="nil"/>
              </w:pBdr>
              <w:spacing w:before="120" w:after="120"/>
              <w:rPr>
                <w:b/>
                <w:bCs/>
              </w:rPr>
            </w:pPr>
            <w:r>
              <w:rPr>
                <w:b/>
                <w:bCs/>
              </w:rPr>
              <w:t>Method of calculating holiday pay (i.e. based on fixed salary only or incl. entitlements to variable remuneration such as bonuses, allowances, commission or overtime pay?)</w:t>
            </w:r>
          </w:p>
        </w:tc>
        <w:tc>
          <w:tcPr>
            <w:tcW w:w="3093" w:type="dxa"/>
            <w:shd w:val="clear" w:color="auto" w:fill="A8D08D"/>
          </w:tcPr>
          <w:p w14:paraId="54AA64E3" w14:textId="77777777" w:rsidR="007960A8" w:rsidRDefault="00A26397">
            <w:pPr>
              <w:pBdr>
                <w:top w:val="nil"/>
                <w:left w:val="nil"/>
                <w:bottom w:val="nil"/>
                <w:right w:val="nil"/>
                <w:between w:val="nil"/>
              </w:pBdr>
              <w:spacing w:before="120" w:after="120"/>
              <w:rPr>
                <w:b/>
                <w:bCs/>
              </w:rPr>
            </w:pPr>
            <w:r>
              <w:rPr>
                <w:b/>
                <w:bCs/>
              </w:rPr>
              <w:t>Maternit</w:t>
            </w:r>
            <w:r>
              <w:rPr>
                <w:b/>
                <w:bCs/>
              </w:rPr>
              <w:t>y or paternity or shared parental leave entitlement and pay</w:t>
            </w:r>
          </w:p>
        </w:tc>
        <w:tc>
          <w:tcPr>
            <w:tcW w:w="1698" w:type="dxa"/>
            <w:shd w:val="clear" w:color="auto" w:fill="A8D08D"/>
          </w:tcPr>
          <w:p w14:paraId="27ED31B5" w14:textId="77777777" w:rsidR="007960A8" w:rsidRDefault="00A26397">
            <w:pPr>
              <w:pBdr>
                <w:top w:val="nil"/>
                <w:left w:val="nil"/>
                <w:bottom w:val="nil"/>
                <w:right w:val="nil"/>
                <w:between w:val="nil"/>
              </w:pBdr>
              <w:spacing w:before="120" w:after="120"/>
              <w:rPr>
                <w:b/>
                <w:bCs/>
              </w:rPr>
            </w:pPr>
            <w:r>
              <w:rPr>
                <w:b/>
                <w:bCs/>
              </w:rPr>
              <w:t>Sick leave entitlement and pay</w:t>
            </w:r>
          </w:p>
        </w:tc>
        <w:tc>
          <w:tcPr>
            <w:tcW w:w="2122" w:type="dxa"/>
            <w:shd w:val="clear" w:color="auto" w:fill="A8D08D"/>
          </w:tcPr>
          <w:p w14:paraId="5198AD0B" w14:textId="77777777" w:rsidR="007960A8" w:rsidRDefault="00A26397">
            <w:pPr>
              <w:pBdr>
                <w:top w:val="nil"/>
                <w:left w:val="nil"/>
                <w:bottom w:val="nil"/>
                <w:right w:val="nil"/>
                <w:between w:val="nil"/>
              </w:pBdr>
              <w:spacing w:before="120" w:after="120"/>
              <w:rPr>
                <w:b/>
                <w:bCs/>
              </w:rPr>
            </w:pPr>
            <w:r>
              <w:rPr>
                <w:b/>
                <w:bCs/>
              </w:rPr>
              <w:t xml:space="preserve">Redundancy pay entitlement (statutory / enhanced / contractual / discretionary) </w:t>
            </w:r>
          </w:p>
        </w:tc>
      </w:tr>
      <w:tr w:rsidR="007960A8" w14:paraId="12C871B0" w14:textId="77777777">
        <w:tc>
          <w:tcPr>
            <w:tcW w:w="1418" w:type="dxa"/>
            <w:shd w:val="clear" w:color="auto" w:fill="CCECFF"/>
          </w:tcPr>
          <w:p w14:paraId="7103A580" w14:textId="77777777" w:rsidR="007960A8" w:rsidRDefault="00A26397">
            <w:pPr>
              <w:pBdr>
                <w:top w:val="nil"/>
                <w:left w:val="nil"/>
                <w:bottom w:val="nil"/>
                <w:right w:val="nil"/>
                <w:between w:val="nil"/>
              </w:pBdr>
              <w:spacing w:before="120" w:after="120"/>
              <w:rPr>
                <w:b/>
                <w:bCs/>
              </w:rPr>
            </w:pPr>
            <w:r>
              <w:rPr>
                <w:b/>
                <w:bCs/>
              </w:rPr>
              <w:t>Emp No 1</w:t>
            </w:r>
          </w:p>
        </w:tc>
        <w:tc>
          <w:tcPr>
            <w:tcW w:w="1691" w:type="dxa"/>
          </w:tcPr>
          <w:p w14:paraId="33F1076D" w14:textId="77777777" w:rsidR="007960A8" w:rsidRDefault="007960A8">
            <w:pPr>
              <w:pBdr>
                <w:top w:val="nil"/>
                <w:left w:val="nil"/>
                <w:bottom w:val="nil"/>
                <w:right w:val="nil"/>
                <w:between w:val="nil"/>
              </w:pBdr>
              <w:spacing w:before="120" w:after="120"/>
            </w:pPr>
          </w:p>
        </w:tc>
        <w:tc>
          <w:tcPr>
            <w:tcW w:w="1497" w:type="dxa"/>
          </w:tcPr>
          <w:p w14:paraId="40B6B80A" w14:textId="77777777" w:rsidR="007960A8" w:rsidRDefault="007960A8">
            <w:pPr>
              <w:pBdr>
                <w:top w:val="nil"/>
                <w:left w:val="nil"/>
                <w:bottom w:val="nil"/>
                <w:right w:val="nil"/>
                <w:between w:val="nil"/>
              </w:pBdr>
              <w:spacing w:before="120" w:after="120"/>
            </w:pPr>
          </w:p>
        </w:tc>
        <w:tc>
          <w:tcPr>
            <w:tcW w:w="4074" w:type="dxa"/>
          </w:tcPr>
          <w:p w14:paraId="3CBF3080" w14:textId="77777777" w:rsidR="007960A8" w:rsidRDefault="007960A8">
            <w:pPr>
              <w:pBdr>
                <w:top w:val="nil"/>
                <w:left w:val="nil"/>
                <w:bottom w:val="nil"/>
                <w:right w:val="nil"/>
                <w:between w:val="nil"/>
              </w:pBdr>
              <w:spacing w:before="120" w:after="120"/>
            </w:pPr>
          </w:p>
        </w:tc>
        <w:tc>
          <w:tcPr>
            <w:tcW w:w="3093" w:type="dxa"/>
          </w:tcPr>
          <w:p w14:paraId="0DB46250" w14:textId="77777777" w:rsidR="007960A8" w:rsidRDefault="007960A8">
            <w:pPr>
              <w:pBdr>
                <w:top w:val="nil"/>
                <w:left w:val="nil"/>
                <w:bottom w:val="nil"/>
                <w:right w:val="nil"/>
                <w:between w:val="nil"/>
              </w:pBdr>
              <w:spacing w:before="120" w:after="120"/>
            </w:pPr>
          </w:p>
        </w:tc>
        <w:tc>
          <w:tcPr>
            <w:tcW w:w="1698" w:type="dxa"/>
          </w:tcPr>
          <w:p w14:paraId="5C2C594C" w14:textId="77777777" w:rsidR="007960A8" w:rsidRDefault="007960A8">
            <w:pPr>
              <w:pBdr>
                <w:top w:val="nil"/>
                <w:left w:val="nil"/>
                <w:bottom w:val="nil"/>
                <w:right w:val="nil"/>
                <w:between w:val="nil"/>
              </w:pBdr>
              <w:spacing w:before="120" w:after="120"/>
            </w:pPr>
          </w:p>
        </w:tc>
        <w:tc>
          <w:tcPr>
            <w:tcW w:w="2122" w:type="dxa"/>
          </w:tcPr>
          <w:p w14:paraId="2C6AA854" w14:textId="77777777" w:rsidR="007960A8" w:rsidRDefault="007960A8">
            <w:pPr>
              <w:pBdr>
                <w:top w:val="nil"/>
                <w:left w:val="nil"/>
                <w:bottom w:val="nil"/>
                <w:right w:val="nil"/>
                <w:between w:val="nil"/>
              </w:pBdr>
              <w:spacing w:before="120" w:after="120"/>
            </w:pPr>
          </w:p>
        </w:tc>
      </w:tr>
      <w:tr w:rsidR="007960A8" w14:paraId="480259A6" w14:textId="77777777">
        <w:tc>
          <w:tcPr>
            <w:tcW w:w="1418" w:type="dxa"/>
            <w:shd w:val="clear" w:color="auto" w:fill="CCECFF"/>
          </w:tcPr>
          <w:p w14:paraId="2EBE383E" w14:textId="77777777" w:rsidR="007960A8" w:rsidRDefault="00A26397">
            <w:pPr>
              <w:pBdr>
                <w:top w:val="nil"/>
                <w:left w:val="nil"/>
                <w:bottom w:val="nil"/>
                <w:right w:val="nil"/>
                <w:between w:val="nil"/>
              </w:pBdr>
              <w:spacing w:before="120" w:after="120"/>
              <w:rPr>
                <w:b/>
                <w:bCs/>
              </w:rPr>
            </w:pPr>
            <w:r>
              <w:rPr>
                <w:b/>
                <w:bCs/>
              </w:rPr>
              <w:t>Emp No 2</w:t>
            </w:r>
          </w:p>
        </w:tc>
        <w:tc>
          <w:tcPr>
            <w:tcW w:w="1691" w:type="dxa"/>
          </w:tcPr>
          <w:p w14:paraId="52806B0E" w14:textId="77777777" w:rsidR="007960A8" w:rsidRDefault="007960A8">
            <w:pPr>
              <w:pBdr>
                <w:top w:val="nil"/>
                <w:left w:val="nil"/>
                <w:bottom w:val="nil"/>
                <w:right w:val="nil"/>
                <w:between w:val="nil"/>
              </w:pBdr>
              <w:spacing w:before="120" w:after="120"/>
            </w:pPr>
          </w:p>
        </w:tc>
        <w:tc>
          <w:tcPr>
            <w:tcW w:w="1497" w:type="dxa"/>
          </w:tcPr>
          <w:p w14:paraId="2397CB55" w14:textId="77777777" w:rsidR="007960A8" w:rsidRDefault="007960A8">
            <w:pPr>
              <w:pBdr>
                <w:top w:val="nil"/>
                <w:left w:val="nil"/>
                <w:bottom w:val="nil"/>
                <w:right w:val="nil"/>
                <w:between w:val="nil"/>
              </w:pBdr>
              <w:spacing w:before="120" w:after="120"/>
            </w:pPr>
          </w:p>
        </w:tc>
        <w:tc>
          <w:tcPr>
            <w:tcW w:w="4074" w:type="dxa"/>
          </w:tcPr>
          <w:p w14:paraId="11604E27" w14:textId="77777777" w:rsidR="007960A8" w:rsidRDefault="007960A8">
            <w:pPr>
              <w:pBdr>
                <w:top w:val="nil"/>
                <w:left w:val="nil"/>
                <w:bottom w:val="nil"/>
                <w:right w:val="nil"/>
                <w:between w:val="nil"/>
              </w:pBdr>
              <w:spacing w:before="120" w:after="120"/>
            </w:pPr>
          </w:p>
        </w:tc>
        <w:tc>
          <w:tcPr>
            <w:tcW w:w="3093" w:type="dxa"/>
          </w:tcPr>
          <w:p w14:paraId="36A2F294" w14:textId="77777777" w:rsidR="007960A8" w:rsidRDefault="007960A8">
            <w:pPr>
              <w:pBdr>
                <w:top w:val="nil"/>
                <w:left w:val="nil"/>
                <w:bottom w:val="nil"/>
                <w:right w:val="nil"/>
                <w:between w:val="nil"/>
              </w:pBdr>
              <w:spacing w:before="120" w:after="120"/>
            </w:pPr>
          </w:p>
        </w:tc>
        <w:tc>
          <w:tcPr>
            <w:tcW w:w="1698" w:type="dxa"/>
          </w:tcPr>
          <w:p w14:paraId="2440EB63" w14:textId="77777777" w:rsidR="007960A8" w:rsidRDefault="007960A8">
            <w:pPr>
              <w:pBdr>
                <w:top w:val="nil"/>
                <w:left w:val="nil"/>
                <w:bottom w:val="nil"/>
                <w:right w:val="nil"/>
                <w:between w:val="nil"/>
              </w:pBdr>
              <w:spacing w:before="120" w:after="120"/>
            </w:pPr>
          </w:p>
        </w:tc>
        <w:tc>
          <w:tcPr>
            <w:tcW w:w="2122" w:type="dxa"/>
          </w:tcPr>
          <w:p w14:paraId="699303B6" w14:textId="77777777" w:rsidR="007960A8" w:rsidRDefault="007960A8">
            <w:pPr>
              <w:pBdr>
                <w:top w:val="nil"/>
                <w:left w:val="nil"/>
                <w:bottom w:val="nil"/>
                <w:right w:val="nil"/>
                <w:between w:val="nil"/>
              </w:pBdr>
              <w:spacing w:before="120" w:after="120"/>
            </w:pPr>
          </w:p>
        </w:tc>
      </w:tr>
      <w:tr w:rsidR="007960A8" w14:paraId="6BFEA8E6" w14:textId="77777777">
        <w:tc>
          <w:tcPr>
            <w:tcW w:w="1418" w:type="dxa"/>
            <w:shd w:val="clear" w:color="auto" w:fill="CCECFF"/>
          </w:tcPr>
          <w:p w14:paraId="1D360ACD" w14:textId="77777777" w:rsidR="007960A8" w:rsidRDefault="00A26397">
            <w:pPr>
              <w:pBdr>
                <w:top w:val="nil"/>
                <w:left w:val="nil"/>
                <w:bottom w:val="nil"/>
                <w:right w:val="nil"/>
                <w:between w:val="nil"/>
              </w:pBdr>
              <w:spacing w:before="120" w:after="120"/>
              <w:rPr>
                <w:b/>
                <w:bCs/>
              </w:rPr>
            </w:pPr>
            <w:r>
              <w:rPr>
                <w:b/>
                <w:bCs/>
              </w:rPr>
              <w:t>Emp No</w:t>
            </w:r>
          </w:p>
        </w:tc>
        <w:tc>
          <w:tcPr>
            <w:tcW w:w="1691" w:type="dxa"/>
          </w:tcPr>
          <w:p w14:paraId="3D49179D" w14:textId="77777777" w:rsidR="007960A8" w:rsidRDefault="007960A8">
            <w:pPr>
              <w:pBdr>
                <w:top w:val="nil"/>
                <w:left w:val="nil"/>
                <w:bottom w:val="nil"/>
                <w:right w:val="nil"/>
                <w:between w:val="nil"/>
              </w:pBdr>
              <w:spacing w:before="120" w:after="120"/>
            </w:pPr>
          </w:p>
        </w:tc>
        <w:tc>
          <w:tcPr>
            <w:tcW w:w="1497" w:type="dxa"/>
          </w:tcPr>
          <w:p w14:paraId="381BC444" w14:textId="77777777" w:rsidR="007960A8" w:rsidRDefault="007960A8">
            <w:pPr>
              <w:pBdr>
                <w:top w:val="nil"/>
                <w:left w:val="nil"/>
                <w:bottom w:val="nil"/>
                <w:right w:val="nil"/>
                <w:between w:val="nil"/>
              </w:pBdr>
              <w:spacing w:before="120" w:after="120"/>
            </w:pPr>
          </w:p>
        </w:tc>
        <w:tc>
          <w:tcPr>
            <w:tcW w:w="4074" w:type="dxa"/>
          </w:tcPr>
          <w:p w14:paraId="1C454391" w14:textId="77777777" w:rsidR="007960A8" w:rsidRDefault="007960A8">
            <w:pPr>
              <w:pBdr>
                <w:top w:val="nil"/>
                <w:left w:val="nil"/>
                <w:bottom w:val="nil"/>
                <w:right w:val="nil"/>
                <w:between w:val="nil"/>
              </w:pBdr>
              <w:spacing w:before="120" w:after="120"/>
            </w:pPr>
          </w:p>
        </w:tc>
        <w:tc>
          <w:tcPr>
            <w:tcW w:w="3093" w:type="dxa"/>
          </w:tcPr>
          <w:p w14:paraId="283DC381" w14:textId="77777777" w:rsidR="007960A8" w:rsidRDefault="007960A8">
            <w:pPr>
              <w:pBdr>
                <w:top w:val="nil"/>
                <w:left w:val="nil"/>
                <w:bottom w:val="nil"/>
                <w:right w:val="nil"/>
                <w:between w:val="nil"/>
              </w:pBdr>
              <w:spacing w:before="120" w:after="120"/>
            </w:pPr>
          </w:p>
        </w:tc>
        <w:tc>
          <w:tcPr>
            <w:tcW w:w="1698" w:type="dxa"/>
          </w:tcPr>
          <w:p w14:paraId="6481FDAF" w14:textId="77777777" w:rsidR="007960A8" w:rsidRDefault="007960A8">
            <w:pPr>
              <w:pBdr>
                <w:top w:val="nil"/>
                <w:left w:val="nil"/>
                <w:bottom w:val="nil"/>
                <w:right w:val="nil"/>
                <w:between w:val="nil"/>
              </w:pBdr>
              <w:spacing w:before="120" w:after="120"/>
            </w:pPr>
          </w:p>
        </w:tc>
        <w:tc>
          <w:tcPr>
            <w:tcW w:w="2122" w:type="dxa"/>
          </w:tcPr>
          <w:p w14:paraId="69EE09E6" w14:textId="77777777" w:rsidR="007960A8" w:rsidRDefault="007960A8">
            <w:pPr>
              <w:pBdr>
                <w:top w:val="nil"/>
                <w:left w:val="nil"/>
                <w:bottom w:val="nil"/>
                <w:right w:val="nil"/>
                <w:between w:val="nil"/>
              </w:pBdr>
              <w:spacing w:before="120" w:after="120"/>
            </w:pPr>
          </w:p>
        </w:tc>
      </w:tr>
      <w:tr w:rsidR="007960A8" w14:paraId="28E00A2A" w14:textId="77777777">
        <w:tc>
          <w:tcPr>
            <w:tcW w:w="1418" w:type="dxa"/>
            <w:shd w:val="clear" w:color="auto" w:fill="CCECFF"/>
          </w:tcPr>
          <w:p w14:paraId="23A2726C" w14:textId="77777777" w:rsidR="007960A8" w:rsidRDefault="00A26397">
            <w:pPr>
              <w:pBdr>
                <w:top w:val="nil"/>
                <w:left w:val="nil"/>
                <w:bottom w:val="nil"/>
                <w:right w:val="nil"/>
                <w:between w:val="nil"/>
              </w:pBdr>
              <w:spacing w:before="120" w:after="120"/>
              <w:rPr>
                <w:b/>
                <w:bCs/>
              </w:rPr>
            </w:pPr>
            <w:r>
              <w:rPr>
                <w:b/>
                <w:bCs/>
              </w:rPr>
              <w:t>Emp No</w:t>
            </w:r>
          </w:p>
        </w:tc>
        <w:tc>
          <w:tcPr>
            <w:tcW w:w="1691" w:type="dxa"/>
          </w:tcPr>
          <w:p w14:paraId="2A0C5E3F" w14:textId="77777777" w:rsidR="007960A8" w:rsidRDefault="007960A8">
            <w:pPr>
              <w:pBdr>
                <w:top w:val="nil"/>
                <w:left w:val="nil"/>
                <w:bottom w:val="nil"/>
                <w:right w:val="nil"/>
                <w:between w:val="nil"/>
              </w:pBdr>
              <w:spacing w:before="120" w:after="120"/>
            </w:pPr>
          </w:p>
        </w:tc>
        <w:tc>
          <w:tcPr>
            <w:tcW w:w="1497" w:type="dxa"/>
          </w:tcPr>
          <w:p w14:paraId="37885587" w14:textId="77777777" w:rsidR="007960A8" w:rsidRDefault="007960A8">
            <w:pPr>
              <w:pBdr>
                <w:top w:val="nil"/>
                <w:left w:val="nil"/>
                <w:bottom w:val="nil"/>
                <w:right w:val="nil"/>
                <w:between w:val="nil"/>
              </w:pBdr>
              <w:spacing w:before="120" w:after="120"/>
            </w:pPr>
          </w:p>
        </w:tc>
        <w:tc>
          <w:tcPr>
            <w:tcW w:w="4074" w:type="dxa"/>
          </w:tcPr>
          <w:p w14:paraId="0445F031" w14:textId="77777777" w:rsidR="007960A8" w:rsidRDefault="007960A8">
            <w:pPr>
              <w:pBdr>
                <w:top w:val="nil"/>
                <w:left w:val="nil"/>
                <w:bottom w:val="nil"/>
                <w:right w:val="nil"/>
                <w:between w:val="nil"/>
              </w:pBdr>
              <w:spacing w:before="120" w:after="120"/>
            </w:pPr>
          </w:p>
        </w:tc>
        <w:tc>
          <w:tcPr>
            <w:tcW w:w="3093" w:type="dxa"/>
          </w:tcPr>
          <w:p w14:paraId="0A1C3A9B" w14:textId="77777777" w:rsidR="007960A8" w:rsidRDefault="007960A8">
            <w:pPr>
              <w:pBdr>
                <w:top w:val="nil"/>
                <w:left w:val="nil"/>
                <w:bottom w:val="nil"/>
                <w:right w:val="nil"/>
                <w:between w:val="nil"/>
              </w:pBdr>
              <w:spacing w:before="120" w:after="120"/>
            </w:pPr>
          </w:p>
        </w:tc>
        <w:tc>
          <w:tcPr>
            <w:tcW w:w="1698" w:type="dxa"/>
          </w:tcPr>
          <w:p w14:paraId="780105A0" w14:textId="77777777" w:rsidR="007960A8" w:rsidRDefault="007960A8">
            <w:pPr>
              <w:pBdr>
                <w:top w:val="nil"/>
                <w:left w:val="nil"/>
                <w:bottom w:val="nil"/>
                <w:right w:val="nil"/>
                <w:between w:val="nil"/>
              </w:pBdr>
              <w:spacing w:before="120" w:after="120"/>
            </w:pPr>
          </w:p>
        </w:tc>
        <w:tc>
          <w:tcPr>
            <w:tcW w:w="2122" w:type="dxa"/>
          </w:tcPr>
          <w:p w14:paraId="5A41C99A" w14:textId="77777777" w:rsidR="007960A8" w:rsidRDefault="007960A8">
            <w:pPr>
              <w:pBdr>
                <w:top w:val="nil"/>
                <w:left w:val="nil"/>
                <w:bottom w:val="nil"/>
                <w:right w:val="nil"/>
                <w:between w:val="nil"/>
              </w:pBdr>
              <w:spacing w:before="120" w:after="120"/>
            </w:pPr>
          </w:p>
        </w:tc>
      </w:tr>
      <w:tr w:rsidR="007960A8" w14:paraId="07D7FDB5" w14:textId="77777777">
        <w:tc>
          <w:tcPr>
            <w:tcW w:w="1418" w:type="dxa"/>
            <w:shd w:val="clear" w:color="auto" w:fill="CCECFF"/>
          </w:tcPr>
          <w:p w14:paraId="35F2B258" w14:textId="77777777" w:rsidR="007960A8" w:rsidRDefault="00A26397">
            <w:pPr>
              <w:pBdr>
                <w:top w:val="nil"/>
                <w:left w:val="nil"/>
                <w:bottom w:val="nil"/>
                <w:right w:val="nil"/>
                <w:between w:val="nil"/>
              </w:pBdr>
              <w:spacing w:before="120" w:after="120"/>
              <w:rPr>
                <w:b/>
                <w:bCs/>
              </w:rPr>
            </w:pPr>
            <w:r>
              <w:rPr>
                <w:b/>
                <w:bCs/>
              </w:rPr>
              <w:t>Emp No</w:t>
            </w:r>
          </w:p>
        </w:tc>
        <w:tc>
          <w:tcPr>
            <w:tcW w:w="1691" w:type="dxa"/>
          </w:tcPr>
          <w:p w14:paraId="3AB09F94" w14:textId="77777777" w:rsidR="007960A8" w:rsidRDefault="007960A8">
            <w:pPr>
              <w:pBdr>
                <w:top w:val="nil"/>
                <w:left w:val="nil"/>
                <w:bottom w:val="nil"/>
                <w:right w:val="nil"/>
                <w:between w:val="nil"/>
              </w:pBdr>
              <w:spacing w:before="120" w:after="120"/>
            </w:pPr>
          </w:p>
        </w:tc>
        <w:tc>
          <w:tcPr>
            <w:tcW w:w="1497" w:type="dxa"/>
          </w:tcPr>
          <w:p w14:paraId="24E6C0CB" w14:textId="77777777" w:rsidR="007960A8" w:rsidRDefault="007960A8">
            <w:pPr>
              <w:pBdr>
                <w:top w:val="nil"/>
                <w:left w:val="nil"/>
                <w:bottom w:val="nil"/>
                <w:right w:val="nil"/>
                <w:between w:val="nil"/>
              </w:pBdr>
              <w:spacing w:before="120" w:after="120"/>
            </w:pPr>
          </w:p>
        </w:tc>
        <w:tc>
          <w:tcPr>
            <w:tcW w:w="4074" w:type="dxa"/>
          </w:tcPr>
          <w:p w14:paraId="437EDEEC" w14:textId="77777777" w:rsidR="007960A8" w:rsidRDefault="007960A8">
            <w:pPr>
              <w:pBdr>
                <w:top w:val="nil"/>
                <w:left w:val="nil"/>
                <w:bottom w:val="nil"/>
                <w:right w:val="nil"/>
                <w:between w:val="nil"/>
              </w:pBdr>
              <w:spacing w:before="120" w:after="120"/>
            </w:pPr>
          </w:p>
        </w:tc>
        <w:tc>
          <w:tcPr>
            <w:tcW w:w="3093" w:type="dxa"/>
          </w:tcPr>
          <w:p w14:paraId="753ADFE5" w14:textId="77777777" w:rsidR="007960A8" w:rsidRDefault="007960A8">
            <w:pPr>
              <w:pBdr>
                <w:top w:val="nil"/>
                <w:left w:val="nil"/>
                <w:bottom w:val="nil"/>
                <w:right w:val="nil"/>
                <w:between w:val="nil"/>
              </w:pBdr>
              <w:spacing w:before="120" w:after="120"/>
            </w:pPr>
          </w:p>
        </w:tc>
        <w:tc>
          <w:tcPr>
            <w:tcW w:w="1698" w:type="dxa"/>
          </w:tcPr>
          <w:p w14:paraId="6EAC3E10" w14:textId="77777777" w:rsidR="007960A8" w:rsidRDefault="007960A8">
            <w:pPr>
              <w:pBdr>
                <w:top w:val="nil"/>
                <w:left w:val="nil"/>
                <w:bottom w:val="nil"/>
                <w:right w:val="nil"/>
                <w:between w:val="nil"/>
              </w:pBdr>
              <w:spacing w:before="120" w:after="120"/>
            </w:pPr>
          </w:p>
        </w:tc>
        <w:tc>
          <w:tcPr>
            <w:tcW w:w="2122" w:type="dxa"/>
          </w:tcPr>
          <w:p w14:paraId="60D5DEFA" w14:textId="77777777" w:rsidR="007960A8" w:rsidRDefault="007960A8">
            <w:pPr>
              <w:pBdr>
                <w:top w:val="nil"/>
                <w:left w:val="nil"/>
                <w:bottom w:val="nil"/>
                <w:right w:val="nil"/>
                <w:between w:val="nil"/>
              </w:pBdr>
              <w:spacing w:before="120" w:after="120"/>
            </w:pPr>
          </w:p>
        </w:tc>
      </w:tr>
      <w:tr w:rsidR="007960A8" w14:paraId="3ED8DDDB" w14:textId="77777777">
        <w:tc>
          <w:tcPr>
            <w:tcW w:w="1418" w:type="dxa"/>
            <w:shd w:val="clear" w:color="auto" w:fill="CCECFF"/>
          </w:tcPr>
          <w:p w14:paraId="042CB6EA" w14:textId="77777777" w:rsidR="007960A8" w:rsidRDefault="00A26397">
            <w:pPr>
              <w:pBdr>
                <w:top w:val="nil"/>
                <w:left w:val="nil"/>
                <w:bottom w:val="nil"/>
                <w:right w:val="nil"/>
                <w:between w:val="nil"/>
              </w:pBdr>
              <w:spacing w:before="120" w:after="120"/>
              <w:rPr>
                <w:b/>
                <w:bCs/>
              </w:rPr>
            </w:pPr>
            <w:r>
              <w:rPr>
                <w:b/>
                <w:bCs/>
              </w:rPr>
              <w:t>Emp No</w:t>
            </w:r>
          </w:p>
        </w:tc>
        <w:tc>
          <w:tcPr>
            <w:tcW w:w="1691" w:type="dxa"/>
          </w:tcPr>
          <w:p w14:paraId="4271DE4A" w14:textId="77777777" w:rsidR="007960A8" w:rsidRDefault="007960A8">
            <w:pPr>
              <w:pBdr>
                <w:top w:val="nil"/>
                <w:left w:val="nil"/>
                <w:bottom w:val="nil"/>
                <w:right w:val="nil"/>
                <w:between w:val="nil"/>
              </w:pBdr>
              <w:spacing w:before="120" w:after="120"/>
            </w:pPr>
          </w:p>
        </w:tc>
        <w:tc>
          <w:tcPr>
            <w:tcW w:w="1497" w:type="dxa"/>
          </w:tcPr>
          <w:p w14:paraId="256987F7" w14:textId="77777777" w:rsidR="007960A8" w:rsidRDefault="007960A8">
            <w:pPr>
              <w:pBdr>
                <w:top w:val="nil"/>
                <w:left w:val="nil"/>
                <w:bottom w:val="nil"/>
                <w:right w:val="nil"/>
                <w:between w:val="nil"/>
              </w:pBdr>
              <w:spacing w:before="120" w:after="120"/>
            </w:pPr>
          </w:p>
        </w:tc>
        <w:tc>
          <w:tcPr>
            <w:tcW w:w="4074" w:type="dxa"/>
          </w:tcPr>
          <w:p w14:paraId="5C91C25B" w14:textId="77777777" w:rsidR="007960A8" w:rsidRDefault="007960A8">
            <w:pPr>
              <w:pBdr>
                <w:top w:val="nil"/>
                <w:left w:val="nil"/>
                <w:bottom w:val="nil"/>
                <w:right w:val="nil"/>
                <w:between w:val="nil"/>
              </w:pBdr>
              <w:spacing w:before="120" w:after="120"/>
            </w:pPr>
          </w:p>
        </w:tc>
        <w:tc>
          <w:tcPr>
            <w:tcW w:w="3093" w:type="dxa"/>
          </w:tcPr>
          <w:p w14:paraId="5ED9FCAA" w14:textId="77777777" w:rsidR="007960A8" w:rsidRDefault="007960A8">
            <w:pPr>
              <w:pBdr>
                <w:top w:val="nil"/>
                <w:left w:val="nil"/>
                <w:bottom w:val="nil"/>
                <w:right w:val="nil"/>
                <w:between w:val="nil"/>
              </w:pBdr>
              <w:spacing w:before="120" w:after="120"/>
            </w:pPr>
          </w:p>
        </w:tc>
        <w:tc>
          <w:tcPr>
            <w:tcW w:w="1698" w:type="dxa"/>
          </w:tcPr>
          <w:p w14:paraId="6BBEFD44" w14:textId="77777777" w:rsidR="007960A8" w:rsidRDefault="007960A8">
            <w:pPr>
              <w:pBdr>
                <w:top w:val="nil"/>
                <w:left w:val="nil"/>
                <w:bottom w:val="nil"/>
                <w:right w:val="nil"/>
                <w:between w:val="nil"/>
              </w:pBdr>
              <w:spacing w:before="120" w:after="120"/>
            </w:pPr>
          </w:p>
        </w:tc>
        <w:tc>
          <w:tcPr>
            <w:tcW w:w="2122" w:type="dxa"/>
          </w:tcPr>
          <w:p w14:paraId="19070F0B" w14:textId="77777777" w:rsidR="007960A8" w:rsidRDefault="007960A8">
            <w:pPr>
              <w:pBdr>
                <w:top w:val="nil"/>
                <w:left w:val="nil"/>
                <w:bottom w:val="nil"/>
                <w:right w:val="nil"/>
                <w:between w:val="nil"/>
              </w:pBdr>
              <w:spacing w:before="120" w:after="120"/>
            </w:pPr>
          </w:p>
        </w:tc>
      </w:tr>
      <w:tr w:rsidR="007960A8" w14:paraId="322AB59F" w14:textId="77777777">
        <w:tc>
          <w:tcPr>
            <w:tcW w:w="1418" w:type="dxa"/>
            <w:shd w:val="clear" w:color="auto" w:fill="CCECFF"/>
          </w:tcPr>
          <w:p w14:paraId="20C3F1A1" w14:textId="77777777" w:rsidR="007960A8" w:rsidRDefault="00A26397">
            <w:pPr>
              <w:pBdr>
                <w:top w:val="nil"/>
                <w:left w:val="nil"/>
                <w:bottom w:val="nil"/>
                <w:right w:val="nil"/>
                <w:between w:val="nil"/>
              </w:pBdr>
              <w:spacing w:before="120" w:after="120"/>
              <w:rPr>
                <w:b/>
                <w:bCs/>
              </w:rPr>
            </w:pPr>
            <w:r>
              <w:rPr>
                <w:b/>
                <w:bCs/>
              </w:rPr>
              <w:t>Emp No</w:t>
            </w:r>
          </w:p>
        </w:tc>
        <w:tc>
          <w:tcPr>
            <w:tcW w:w="1691" w:type="dxa"/>
          </w:tcPr>
          <w:p w14:paraId="18196384" w14:textId="77777777" w:rsidR="007960A8" w:rsidRDefault="007960A8">
            <w:pPr>
              <w:pBdr>
                <w:top w:val="nil"/>
                <w:left w:val="nil"/>
                <w:bottom w:val="nil"/>
                <w:right w:val="nil"/>
                <w:between w:val="nil"/>
              </w:pBdr>
              <w:spacing w:before="120" w:after="120"/>
            </w:pPr>
          </w:p>
        </w:tc>
        <w:tc>
          <w:tcPr>
            <w:tcW w:w="1497" w:type="dxa"/>
          </w:tcPr>
          <w:p w14:paraId="210B7102" w14:textId="77777777" w:rsidR="007960A8" w:rsidRDefault="007960A8">
            <w:pPr>
              <w:pBdr>
                <w:top w:val="nil"/>
                <w:left w:val="nil"/>
                <w:bottom w:val="nil"/>
                <w:right w:val="nil"/>
                <w:between w:val="nil"/>
              </w:pBdr>
              <w:spacing w:before="120" w:after="120"/>
            </w:pPr>
          </w:p>
        </w:tc>
        <w:tc>
          <w:tcPr>
            <w:tcW w:w="4074" w:type="dxa"/>
          </w:tcPr>
          <w:p w14:paraId="4EFB1A17" w14:textId="77777777" w:rsidR="007960A8" w:rsidRDefault="007960A8">
            <w:pPr>
              <w:pBdr>
                <w:top w:val="nil"/>
                <w:left w:val="nil"/>
                <w:bottom w:val="nil"/>
                <w:right w:val="nil"/>
                <w:between w:val="nil"/>
              </w:pBdr>
              <w:spacing w:before="120" w:after="120"/>
            </w:pPr>
          </w:p>
        </w:tc>
        <w:tc>
          <w:tcPr>
            <w:tcW w:w="3093" w:type="dxa"/>
          </w:tcPr>
          <w:p w14:paraId="1224BF52" w14:textId="77777777" w:rsidR="007960A8" w:rsidRDefault="007960A8">
            <w:pPr>
              <w:pBdr>
                <w:top w:val="nil"/>
                <w:left w:val="nil"/>
                <w:bottom w:val="nil"/>
                <w:right w:val="nil"/>
                <w:between w:val="nil"/>
              </w:pBdr>
              <w:spacing w:before="120" w:after="120"/>
            </w:pPr>
          </w:p>
        </w:tc>
        <w:tc>
          <w:tcPr>
            <w:tcW w:w="1698" w:type="dxa"/>
          </w:tcPr>
          <w:p w14:paraId="26CC73E6" w14:textId="77777777" w:rsidR="007960A8" w:rsidRDefault="007960A8">
            <w:pPr>
              <w:pBdr>
                <w:top w:val="nil"/>
                <w:left w:val="nil"/>
                <w:bottom w:val="nil"/>
                <w:right w:val="nil"/>
                <w:between w:val="nil"/>
              </w:pBdr>
              <w:spacing w:before="120" w:after="120"/>
            </w:pPr>
          </w:p>
        </w:tc>
        <w:tc>
          <w:tcPr>
            <w:tcW w:w="2122" w:type="dxa"/>
          </w:tcPr>
          <w:p w14:paraId="0C87007F" w14:textId="77777777" w:rsidR="007960A8" w:rsidRDefault="007960A8">
            <w:pPr>
              <w:pBdr>
                <w:top w:val="nil"/>
                <w:left w:val="nil"/>
                <w:bottom w:val="nil"/>
                <w:right w:val="nil"/>
                <w:between w:val="nil"/>
              </w:pBdr>
              <w:spacing w:before="120" w:after="120"/>
            </w:pPr>
          </w:p>
        </w:tc>
      </w:tr>
    </w:tbl>
    <w:p w14:paraId="2B86520E" w14:textId="77777777" w:rsidR="007960A8" w:rsidRDefault="00A26397">
      <w:pPr>
        <w:spacing w:before="120" w:after="120"/>
      </w:pPr>
      <w:r>
        <w:br w:type="page"/>
      </w:r>
    </w:p>
    <w:tbl>
      <w:tblPr>
        <w:tblStyle w:val="ab"/>
        <w:tblW w:w="1573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1616"/>
        <w:gridCol w:w="1616"/>
        <w:gridCol w:w="2334"/>
        <w:gridCol w:w="1832"/>
        <w:gridCol w:w="2622"/>
        <w:gridCol w:w="4326"/>
      </w:tblGrid>
      <w:tr w:rsidR="007960A8" w14:paraId="2E90575B" w14:textId="77777777">
        <w:tc>
          <w:tcPr>
            <w:tcW w:w="1389" w:type="dxa"/>
            <w:tcBorders>
              <w:top w:val="nil"/>
              <w:left w:val="nil"/>
              <w:bottom w:val="single" w:sz="4" w:space="0" w:color="000000"/>
            </w:tcBorders>
          </w:tcPr>
          <w:p w14:paraId="5B06ACE4" w14:textId="77777777" w:rsidR="007960A8" w:rsidRDefault="007960A8">
            <w:pPr>
              <w:pBdr>
                <w:top w:val="nil"/>
                <w:left w:val="nil"/>
                <w:bottom w:val="nil"/>
                <w:right w:val="nil"/>
                <w:between w:val="nil"/>
              </w:pBdr>
              <w:spacing w:before="120" w:after="120"/>
            </w:pPr>
          </w:p>
        </w:tc>
        <w:tc>
          <w:tcPr>
            <w:tcW w:w="14346" w:type="dxa"/>
            <w:gridSpan w:val="6"/>
            <w:shd w:val="clear" w:color="auto" w:fill="C9C9C9"/>
          </w:tcPr>
          <w:p w14:paraId="2A237D72" w14:textId="77777777" w:rsidR="007960A8" w:rsidRDefault="00A26397">
            <w:pPr>
              <w:pBdr>
                <w:top w:val="nil"/>
                <w:left w:val="nil"/>
                <w:bottom w:val="nil"/>
                <w:right w:val="nil"/>
                <w:between w:val="nil"/>
              </w:pBdr>
              <w:spacing w:before="120" w:after="120"/>
              <w:rPr>
                <w:b/>
                <w:bCs/>
              </w:rPr>
            </w:pPr>
            <w:r>
              <w:rPr>
                <w:b/>
                <w:bCs/>
              </w:rPr>
              <w:t>PENSIONS</w:t>
            </w:r>
          </w:p>
        </w:tc>
      </w:tr>
      <w:tr w:rsidR="007960A8" w14:paraId="32EDA61A" w14:textId="77777777">
        <w:tc>
          <w:tcPr>
            <w:tcW w:w="1389" w:type="dxa"/>
            <w:shd w:val="clear" w:color="auto" w:fill="CCECFF"/>
            <w:vAlign w:val="center"/>
          </w:tcPr>
          <w:p w14:paraId="727408D6" w14:textId="77777777" w:rsidR="007960A8" w:rsidRDefault="00A26397">
            <w:pPr>
              <w:pBdr>
                <w:top w:val="nil"/>
                <w:left w:val="nil"/>
                <w:bottom w:val="nil"/>
                <w:right w:val="nil"/>
                <w:between w:val="nil"/>
              </w:pBdr>
              <w:spacing w:before="120" w:after="120"/>
              <w:rPr>
                <w:b/>
                <w:bCs/>
              </w:rPr>
            </w:pPr>
            <w:r>
              <w:rPr>
                <w:b/>
                <w:bCs/>
              </w:rPr>
              <w:t>Details</w:t>
            </w:r>
          </w:p>
        </w:tc>
        <w:tc>
          <w:tcPr>
            <w:tcW w:w="1616" w:type="dxa"/>
            <w:shd w:val="clear" w:color="auto" w:fill="C9C9C9"/>
            <w:vAlign w:val="center"/>
          </w:tcPr>
          <w:p w14:paraId="6883DE38" w14:textId="77777777" w:rsidR="007960A8" w:rsidRDefault="00A26397">
            <w:pPr>
              <w:pBdr>
                <w:top w:val="nil"/>
                <w:left w:val="nil"/>
                <w:bottom w:val="nil"/>
                <w:right w:val="nil"/>
                <w:between w:val="nil"/>
              </w:pBdr>
              <w:spacing w:before="120" w:after="120"/>
              <w:rPr>
                <w:b/>
                <w:bCs/>
              </w:rPr>
            </w:pPr>
            <w:r>
              <w:rPr>
                <w:b/>
                <w:bCs/>
              </w:rPr>
              <w:t>Employee pension contribution rate</w:t>
            </w:r>
          </w:p>
        </w:tc>
        <w:tc>
          <w:tcPr>
            <w:tcW w:w="1616" w:type="dxa"/>
            <w:shd w:val="clear" w:color="auto" w:fill="C9C9C9"/>
            <w:vAlign w:val="center"/>
          </w:tcPr>
          <w:p w14:paraId="25F0FA83" w14:textId="77777777" w:rsidR="007960A8" w:rsidRDefault="00A26397">
            <w:pPr>
              <w:pBdr>
                <w:top w:val="nil"/>
                <w:left w:val="nil"/>
                <w:bottom w:val="nil"/>
                <w:right w:val="nil"/>
                <w:between w:val="nil"/>
              </w:pBdr>
              <w:spacing w:before="120" w:after="120"/>
              <w:rPr>
                <w:b/>
                <w:bCs/>
              </w:rPr>
            </w:pPr>
            <w:r>
              <w:rPr>
                <w:b/>
                <w:bCs/>
              </w:rPr>
              <w:t>Employer pension contribution rate</w:t>
            </w:r>
          </w:p>
        </w:tc>
        <w:tc>
          <w:tcPr>
            <w:tcW w:w="2334" w:type="dxa"/>
            <w:shd w:val="clear" w:color="auto" w:fill="C9C9C9"/>
            <w:vAlign w:val="center"/>
          </w:tcPr>
          <w:p w14:paraId="28C74A35" w14:textId="77777777" w:rsidR="007960A8" w:rsidRDefault="00A26397">
            <w:pPr>
              <w:pBdr>
                <w:top w:val="nil"/>
                <w:left w:val="nil"/>
                <w:bottom w:val="nil"/>
                <w:right w:val="nil"/>
                <w:between w:val="nil"/>
              </w:pBdr>
              <w:spacing w:before="120" w:after="120"/>
              <w:rPr>
                <w:b/>
                <w:bCs/>
              </w:rPr>
            </w:pPr>
            <w:r>
              <w:rPr>
                <w:b/>
                <w:bCs/>
              </w:rPr>
              <w:t>Please provide the name of the pension scheme and a link to the pension scheme website</w:t>
            </w:r>
          </w:p>
        </w:tc>
        <w:tc>
          <w:tcPr>
            <w:tcW w:w="1832" w:type="dxa"/>
            <w:shd w:val="clear" w:color="auto" w:fill="C9C9C9"/>
            <w:vAlign w:val="center"/>
          </w:tcPr>
          <w:p w14:paraId="0076AC33" w14:textId="77777777" w:rsidR="007960A8" w:rsidRDefault="00A26397">
            <w:pPr>
              <w:pBdr>
                <w:top w:val="nil"/>
                <w:left w:val="nil"/>
                <w:bottom w:val="nil"/>
                <w:right w:val="nil"/>
                <w:between w:val="nil"/>
              </w:pBdr>
              <w:spacing w:before="120" w:after="120"/>
              <w:rPr>
                <w:b/>
                <w:bCs/>
              </w:rPr>
            </w:pPr>
            <w:r>
              <w:rPr>
                <w:b/>
                <w:bCs/>
              </w:rPr>
              <w:t>Is the scheme an occupational pension scheme as defined in the Pension Schemes Act 1993?</w:t>
            </w:r>
          </w:p>
        </w:tc>
        <w:tc>
          <w:tcPr>
            <w:tcW w:w="2622" w:type="dxa"/>
            <w:shd w:val="clear" w:color="auto" w:fill="C9C9C9"/>
            <w:vAlign w:val="center"/>
          </w:tcPr>
          <w:p w14:paraId="63B8C4F1" w14:textId="77777777" w:rsidR="007960A8" w:rsidRDefault="00A26397">
            <w:pPr>
              <w:pBdr>
                <w:top w:val="nil"/>
                <w:left w:val="nil"/>
                <w:bottom w:val="nil"/>
                <w:right w:val="nil"/>
                <w:between w:val="nil"/>
              </w:pBdr>
              <w:spacing w:before="120" w:after="120"/>
              <w:rPr>
                <w:b/>
                <w:bCs/>
              </w:rPr>
            </w:pPr>
            <w:r>
              <w:rPr>
                <w:b/>
                <w:bCs/>
              </w:rPr>
              <w:t xml:space="preserve">If the scheme is not an occupational pension scheme, what type of scheme is it? </w:t>
            </w:r>
            <w:r>
              <w:rPr>
                <w:b/>
                <w:bCs/>
              </w:rPr>
              <w:t>E.g. personal pension scheme?</w:t>
            </w:r>
          </w:p>
        </w:tc>
        <w:tc>
          <w:tcPr>
            <w:tcW w:w="4326" w:type="dxa"/>
            <w:shd w:val="clear" w:color="auto" w:fill="C9C9C9"/>
            <w:vAlign w:val="center"/>
          </w:tcPr>
          <w:p w14:paraId="42683608" w14:textId="77777777" w:rsidR="007960A8" w:rsidRDefault="00A26397">
            <w:pPr>
              <w:pBdr>
                <w:top w:val="nil"/>
                <w:left w:val="nil"/>
                <w:bottom w:val="nil"/>
                <w:right w:val="nil"/>
                <w:between w:val="nil"/>
              </w:pBdr>
              <w:spacing w:before="120" w:after="120"/>
              <w:rPr>
                <w:b/>
                <w:bCs/>
              </w:rPr>
            </w:pPr>
            <w:r>
              <w:rPr>
                <w:b/>
                <w:bCs/>
              </w:rPr>
              <w:t xml:space="preserve">Type of pension provision e.g. defined benefit (CARE or final salary, and whether a public sector scheme e.g. CSPS, NHSPS, LGPS etc. or a broadly comparable scheme) or a defined contribution scheme or an auto enrolment master </w:t>
            </w:r>
            <w:r>
              <w:rPr>
                <w:b/>
                <w:bCs/>
              </w:rPr>
              <w:t>trust?</w:t>
            </w:r>
          </w:p>
        </w:tc>
      </w:tr>
      <w:tr w:rsidR="007960A8" w14:paraId="147BA715" w14:textId="77777777">
        <w:tc>
          <w:tcPr>
            <w:tcW w:w="1389" w:type="dxa"/>
            <w:shd w:val="clear" w:color="auto" w:fill="CCECFF"/>
          </w:tcPr>
          <w:p w14:paraId="6209FB13" w14:textId="77777777" w:rsidR="007960A8" w:rsidRDefault="00A26397">
            <w:pPr>
              <w:pBdr>
                <w:top w:val="nil"/>
                <w:left w:val="nil"/>
                <w:bottom w:val="nil"/>
                <w:right w:val="nil"/>
                <w:between w:val="nil"/>
              </w:pBdr>
              <w:spacing w:before="120" w:after="120"/>
              <w:rPr>
                <w:b/>
                <w:bCs/>
              </w:rPr>
            </w:pPr>
            <w:r>
              <w:rPr>
                <w:b/>
                <w:bCs/>
              </w:rPr>
              <w:t>Emp No 1</w:t>
            </w:r>
          </w:p>
        </w:tc>
        <w:tc>
          <w:tcPr>
            <w:tcW w:w="1616" w:type="dxa"/>
          </w:tcPr>
          <w:p w14:paraId="33F1FA9E" w14:textId="77777777" w:rsidR="007960A8" w:rsidRDefault="007960A8">
            <w:pPr>
              <w:pBdr>
                <w:top w:val="nil"/>
                <w:left w:val="nil"/>
                <w:bottom w:val="nil"/>
                <w:right w:val="nil"/>
                <w:between w:val="nil"/>
              </w:pBdr>
              <w:spacing w:before="120" w:after="120"/>
            </w:pPr>
          </w:p>
        </w:tc>
        <w:tc>
          <w:tcPr>
            <w:tcW w:w="1616" w:type="dxa"/>
          </w:tcPr>
          <w:p w14:paraId="65285CC2" w14:textId="77777777" w:rsidR="007960A8" w:rsidRDefault="007960A8">
            <w:pPr>
              <w:pBdr>
                <w:top w:val="nil"/>
                <w:left w:val="nil"/>
                <w:bottom w:val="nil"/>
                <w:right w:val="nil"/>
                <w:between w:val="nil"/>
              </w:pBdr>
              <w:spacing w:before="120" w:after="120"/>
            </w:pPr>
          </w:p>
        </w:tc>
        <w:tc>
          <w:tcPr>
            <w:tcW w:w="2334" w:type="dxa"/>
          </w:tcPr>
          <w:p w14:paraId="587B64C1" w14:textId="77777777" w:rsidR="007960A8" w:rsidRDefault="007960A8">
            <w:pPr>
              <w:pBdr>
                <w:top w:val="nil"/>
                <w:left w:val="nil"/>
                <w:bottom w:val="nil"/>
                <w:right w:val="nil"/>
                <w:between w:val="nil"/>
              </w:pBdr>
              <w:spacing w:before="120" w:after="120"/>
            </w:pPr>
          </w:p>
        </w:tc>
        <w:tc>
          <w:tcPr>
            <w:tcW w:w="1832" w:type="dxa"/>
          </w:tcPr>
          <w:p w14:paraId="10D517A2" w14:textId="77777777" w:rsidR="007960A8" w:rsidRDefault="007960A8">
            <w:pPr>
              <w:pBdr>
                <w:top w:val="nil"/>
                <w:left w:val="nil"/>
                <w:bottom w:val="nil"/>
                <w:right w:val="nil"/>
                <w:between w:val="nil"/>
              </w:pBdr>
              <w:spacing w:before="120" w:after="120"/>
            </w:pPr>
          </w:p>
        </w:tc>
        <w:tc>
          <w:tcPr>
            <w:tcW w:w="2622" w:type="dxa"/>
          </w:tcPr>
          <w:p w14:paraId="59F85B52" w14:textId="77777777" w:rsidR="007960A8" w:rsidRDefault="007960A8">
            <w:pPr>
              <w:pBdr>
                <w:top w:val="nil"/>
                <w:left w:val="nil"/>
                <w:bottom w:val="nil"/>
                <w:right w:val="nil"/>
                <w:between w:val="nil"/>
              </w:pBdr>
              <w:spacing w:before="120" w:after="120"/>
            </w:pPr>
          </w:p>
        </w:tc>
        <w:tc>
          <w:tcPr>
            <w:tcW w:w="4326" w:type="dxa"/>
          </w:tcPr>
          <w:p w14:paraId="27D43ED8" w14:textId="77777777" w:rsidR="007960A8" w:rsidRDefault="007960A8">
            <w:pPr>
              <w:pBdr>
                <w:top w:val="nil"/>
                <w:left w:val="nil"/>
                <w:bottom w:val="nil"/>
                <w:right w:val="nil"/>
                <w:between w:val="nil"/>
              </w:pBdr>
              <w:spacing w:before="120" w:after="120"/>
            </w:pPr>
          </w:p>
        </w:tc>
      </w:tr>
      <w:tr w:rsidR="007960A8" w14:paraId="63FE70D1" w14:textId="77777777">
        <w:tc>
          <w:tcPr>
            <w:tcW w:w="1389" w:type="dxa"/>
            <w:shd w:val="clear" w:color="auto" w:fill="CCECFF"/>
          </w:tcPr>
          <w:p w14:paraId="66C59676" w14:textId="77777777" w:rsidR="007960A8" w:rsidRDefault="00A26397">
            <w:pPr>
              <w:pBdr>
                <w:top w:val="nil"/>
                <w:left w:val="nil"/>
                <w:bottom w:val="nil"/>
                <w:right w:val="nil"/>
                <w:between w:val="nil"/>
              </w:pBdr>
              <w:spacing w:before="120" w:after="120"/>
              <w:rPr>
                <w:b/>
                <w:bCs/>
              </w:rPr>
            </w:pPr>
            <w:r>
              <w:rPr>
                <w:b/>
                <w:bCs/>
              </w:rPr>
              <w:t>Emp No 2</w:t>
            </w:r>
          </w:p>
        </w:tc>
        <w:tc>
          <w:tcPr>
            <w:tcW w:w="1616" w:type="dxa"/>
          </w:tcPr>
          <w:p w14:paraId="452A11CC" w14:textId="77777777" w:rsidR="007960A8" w:rsidRDefault="007960A8">
            <w:pPr>
              <w:pBdr>
                <w:top w:val="nil"/>
                <w:left w:val="nil"/>
                <w:bottom w:val="nil"/>
                <w:right w:val="nil"/>
                <w:between w:val="nil"/>
              </w:pBdr>
              <w:spacing w:before="120" w:after="120"/>
            </w:pPr>
          </w:p>
        </w:tc>
        <w:tc>
          <w:tcPr>
            <w:tcW w:w="1616" w:type="dxa"/>
          </w:tcPr>
          <w:p w14:paraId="79F98C48" w14:textId="77777777" w:rsidR="007960A8" w:rsidRDefault="007960A8">
            <w:pPr>
              <w:pBdr>
                <w:top w:val="nil"/>
                <w:left w:val="nil"/>
                <w:bottom w:val="nil"/>
                <w:right w:val="nil"/>
                <w:between w:val="nil"/>
              </w:pBdr>
              <w:spacing w:before="120" w:after="120"/>
            </w:pPr>
          </w:p>
        </w:tc>
        <w:tc>
          <w:tcPr>
            <w:tcW w:w="2334" w:type="dxa"/>
          </w:tcPr>
          <w:p w14:paraId="7587A9CD" w14:textId="77777777" w:rsidR="007960A8" w:rsidRDefault="007960A8">
            <w:pPr>
              <w:pBdr>
                <w:top w:val="nil"/>
                <w:left w:val="nil"/>
                <w:bottom w:val="nil"/>
                <w:right w:val="nil"/>
                <w:between w:val="nil"/>
              </w:pBdr>
              <w:spacing w:before="120" w:after="120"/>
            </w:pPr>
          </w:p>
        </w:tc>
        <w:tc>
          <w:tcPr>
            <w:tcW w:w="1832" w:type="dxa"/>
          </w:tcPr>
          <w:p w14:paraId="708A2338" w14:textId="77777777" w:rsidR="007960A8" w:rsidRDefault="007960A8">
            <w:pPr>
              <w:pBdr>
                <w:top w:val="nil"/>
                <w:left w:val="nil"/>
                <w:bottom w:val="nil"/>
                <w:right w:val="nil"/>
                <w:between w:val="nil"/>
              </w:pBdr>
              <w:spacing w:before="120" w:after="120"/>
            </w:pPr>
          </w:p>
        </w:tc>
        <w:tc>
          <w:tcPr>
            <w:tcW w:w="2622" w:type="dxa"/>
          </w:tcPr>
          <w:p w14:paraId="7E75FE05" w14:textId="77777777" w:rsidR="007960A8" w:rsidRDefault="007960A8">
            <w:pPr>
              <w:pBdr>
                <w:top w:val="nil"/>
                <w:left w:val="nil"/>
                <w:bottom w:val="nil"/>
                <w:right w:val="nil"/>
                <w:between w:val="nil"/>
              </w:pBdr>
              <w:spacing w:before="120" w:after="120"/>
            </w:pPr>
          </w:p>
        </w:tc>
        <w:tc>
          <w:tcPr>
            <w:tcW w:w="4326" w:type="dxa"/>
          </w:tcPr>
          <w:p w14:paraId="0F9F0E90" w14:textId="77777777" w:rsidR="007960A8" w:rsidRDefault="007960A8">
            <w:pPr>
              <w:pBdr>
                <w:top w:val="nil"/>
                <w:left w:val="nil"/>
                <w:bottom w:val="nil"/>
                <w:right w:val="nil"/>
                <w:between w:val="nil"/>
              </w:pBdr>
              <w:spacing w:before="120" w:after="120"/>
            </w:pPr>
          </w:p>
        </w:tc>
      </w:tr>
      <w:tr w:rsidR="007960A8" w14:paraId="3ACDDFDA" w14:textId="77777777">
        <w:tc>
          <w:tcPr>
            <w:tcW w:w="1389" w:type="dxa"/>
            <w:shd w:val="clear" w:color="auto" w:fill="CCECFF"/>
          </w:tcPr>
          <w:p w14:paraId="333AFF35" w14:textId="77777777" w:rsidR="007960A8" w:rsidRDefault="00A26397">
            <w:pPr>
              <w:pBdr>
                <w:top w:val="nil"/>
                <w:left w:val="nil"/>
                <w:bottom w:val="nil"/>
                <w:right w:val="nil"/>
                <w:between w:val="nil"/>
              </w:pBdr>
              <w:spacing w:before="120" w:after="120"/>
              <w:rPr>
                <w:b/>
                <w:bCs/>
              </w:rPr>
            </w:pPr>
            <w:r>
              <w:rPr>
                <w:b/>
                <w:bCs/>
              </w:rPr>
              <w:t>Emp No</w:t>
            </w:r>
          </w:p>
        </w:tc>
        <w:tc>
          <w:tcPr>
            <w:tcW w:w="1616" w:type="dxa"/>
          </w:tcPr>
          <w:p w14:paraId="795D62B3" w14:textId="77777777" w:rsidR="007960A8" w:rsidRDefault="007960A8">
            <w:pPr>
              <w:pBdr>
                <w:top w:val="nil"/>
                <w:left w:val="nil"/>
                <w:bottom w:val="nil"/>
                <w:right w:val="nil"/>
                <w:between w:val="nil"/>
              </w:pBdr>
              <w:spacing w:before="120" w:after="120"/>
            </w:pPr>
          </w:p>
        </w:tc>
        <w:tc>
          <w:tcPr>
            <w:tcW w:w="1616" w:type="dxa"/>
          </w:tcPr>
          <w:p w14:paraId="0EA0740D" w14:textId="77777777" w:rsidR="007960A8" w:rsidRDefault="007960A8">
            <w:pPr>
              <w:pBdr>
                <w:top w:val="nil"/>
                <w:left w:val="nil"/>
                <w:bottom w:val="nil"/>
                <w:right w:val="nil"/>
                <w:between w:val="nil"/>
              </w:pBdr>
              <w:spacing w:before="120" w:after="120"/>
            </w:pPr>
          </w:p>
        </w:tc>
        <w:tc>
          <w:tcPr>
            <w:tcW w:w="2334" w:type="dxa"/>
          </w:tcPr>
          <w:p w14:paraId="3C90D67D" w14:textId="77777777" w:rsidR="007960A8" w:rsidRDefault="007960A8">
            <w:pPr>
              <w:pBdr>
                <w:top w:val="nil"/>
                <w:left w:val="nil"/>
                <w:bottom w:val="nil"/>
                <w:right w:val="nil"/>
                <w:between w:val="nil"/>
              </w:pBdr>
              <w:spacing w:before="120" w:after="120"/>
            </w:pPr>
          </w:p>
        </w:tc>
        <w:tc>
          <w:tcPr>
            <w:tcW w:w="1832" w:type="dxa"/>
          </w:tcPr>
          <w:p w14:paraId="1B8142FE" w14:textId="77777777" w:rsidR="007960A8" w:rsidRDefault="007960A8">
            <w:pPr>
              <w:pBdr>
                <w:top w:val="nil"/>
                <w:left w:val="nil"/>
                <w:bottom w:val="nil"/>
                <w:right w:val="nil"/>
                <w:between w:val="nil"/>
              </w:pBdr>
              <w:spacing w:before="120" w:after="120"/>
            </w:pPr>
          </w:p>
        </w:tc>
        <w:tc>
          <w:tcPr>
            <w:tcW w:w="2622" w:type="dxa"/>
          </w:tcPr>
          <w:p w14:paraId="48F3CBFC" w14:textId="77777777" w:rsidR="007960A8" w:rsidRDefault="007960A8">
            <w:pPr>
              <w:pBdr>
                <w:top w:val="nil"/>
                <w:left w:val="nil"/>
                <w:bottom w:val="nil"/>
                <w:right w:val="nil"/>
                <w:between w:val="nil"/>
              </w:pBdr>
              <w:spacing w:before="120" w:after="120"/>
            </w:pPr>
          </w:p>
        </w:tc>
        <w:tc>
          <w:tcPr>
            <w:tcW w:w="4326" w:type="dxa"/>
          </w:tcPr>
          <w:p w14:paraId="4BE567D9" w14:textId="77777777" w:rsidR="007960A8" w:rsidRDefault="007960A8">
            <w:pPr>
              <w:pBdr>
                <w:top w:val="nil"/>
                <w:left w:val="nil"/>
                <w:bottom w:val="nil"/>
                <w:right w:val="nil"/>
                <w:between w:val="nil"/>
              </w:pBdr>
              <w:spacing w:before="120" w:after="120"/>
            </w:pPr>
          </w:p>
        </w:tc>
      </w:tr>
      <w:tr w:rsidR="007960A8" w14:paraId="27D56DC1" w14:textId="77777777">
        <w:tc>
          <w:tcPr>
            <w:tcW w:w="1389" w:type="dxa"/>
            <w:shd w:val="clear" w:color="auto" w:fill="CCECFF"/>
          </w:tcPr>
          <w:p w14:paraId="071176E1" w14:textId="77777777" w:rsidR="007960A8" w:rsidRDefault="00A26397">
            <w:pPr>
              <w:pBdr>
                <w:top w:val="nil"/>
                <w:left w:val="nil"/>
                <w:bottom w:val="nil"/>
                <w:right w:val="nil"/>
                <w:between w:val="nil"/>
              </w:pBdr>
              <w:spacing w:before="120" w:after="120"/>
              <w:rPr>
                <w:b/>
                <w:bCs/>
              </w:rPr>
            </w:pPr>
            <w:r>
              <w:rPr>
                <w:b/>
                <w:bCs/>
              </w:rPr>
              <w:t>Emp No</w:t>
            </w:r>
          </w:p>
        </w:tc>
        <w:tc>
          <w:tcPr>
            <w:tcW w:w="1616" w:type="dxa"/>
          </w:tcPr>
          <w:p w14:paraId="440A508F" w14:textId="77777777" w:rsidR="007960A8" w:rsidRDefault="007960A8">
            <w:pPr>
              <w:pBdr>
                <w:top w:val="nil"/>
                <w:left w:val="nil"/>
                <w:bottom w:val="nil"/>
                <w:right w:val="nil"/>
                <w:between w:val="nil"/>
              </w:pBdr>
              <w:spacing w:before="120" w:after="120"/>
            </w:pPr>
          </w:p>
        </w:tc>
        <w:tc>
          <w:tcPr>
            <w:tcW w:w="1616" w:type="dxa"/>
          </w:tcPr>
          <w:p w14:paraId="5AC147FA" w14:textId="77777777" w:rsidR="007960A8" w:rsidRDefault="007960A8">
            <w:pPr>
              <w:pBdr>
                <w:top w:val="nil"/>
                <w:left w:val="nil"/>
                <w:bottom w:val="nil"/>
                <w:right w:val="nil"/>
                <w:between w:val="nil"/>
              </w:pBdr>
              <w:spacing w:before="120" w:after="120"/>
            </w:pPr>
          </w:p>
        </w:tc>
        <w:tc>
          <w:tcPr>
            <w:tcW w:w="2334" w:type="dxa"/>
          </w:tcPr>
          <w:p w14:paraId="43F32D58" w14:textId="77777777" w:rsidR="007960A8" w:rsidRDefault="007960A8">
            <w:pPr>
              <w:pBdr>
                <w:top w:val="nil"/>
                <w:left w:val="nil"/>
                <w:bottom w:val="nil"/>
                <w:right w:val="nil"/>
                <w:between w:val="nil"/>
              </w:pBdr>
              <w:spacing w:before="120" w:after="120"/>
            </w:pPr>
          </w:p>
        </w:tc>
        <w:tc>
          <w:tcPr>
            <w:tcW w:w="1832" w:type="dxa"/>
          </w:tcPr>
          <w:p w14:paraId="631F558B" w14:textId="77777777" w:rsidR="007960A8" w:rsidRDefault="007960A8">
            <w:pPr>
              <w:pBdr>
                <w:top w:val="nil"/>
                <w:left w:val="nil"/>
                <w:bottom w:val="nil"/>
                <w:right w:val="nil"/>
                <w:between w:val="nil"/>
              </w:pBdr>
              <w:spacing w:before="120" w:after="120"/>
            </w:pPr>
          </w:p>
        </w:tc>
        <w:tc>
          <w:tcPr>
            <w:tcW w:w="2622" w:type="dxa"/>
          </w:tcPr>
          <w:p w14:paraId="4421A7C3" w14:textId="77777777" w:rsidR="007960A8" w:rsidRDefault="007960A8">
            <w:pPr>
              <w:pBdr>
                <w:top w:val="nil"/>
                <w:left w:val="nil"/>
                <w:bottom w:val="nil"/>
                <w:right w:val="nil"/>
                <w:between w:val="nil"/>
              </w:pBdr>
              <w:spacing w:before="120" w:after="120"/>
            </w:pPr>
          </w:p>
        </w:tc>
        <w:tc>
          <w:tcPr>
            <w:tcW w:w="4326" w:type="dxa"/>
          </w:tcPr>
          <w:p w14:paraId="5A2DBDC1" w14:textId="77777777" w:rsidR="007960A8" w:rsidRDefault="007960A8">
            <w:pPr>
              <w:pBdr>
                <w:top w:val="nil"/>
                <w:left w:val="nil"/>
                <w:bottom w:val="nil"/>
                <w:right w:val="nil"/>
                <w:between w:val="nil"/>
              </w:pBdr>
              <w:spacing w:before="120" w:after="120"/>
            </w:pPr>
          </w:p>
        </w:tc>
      </w:tr>
      <w:tr w:rsidR="007960A8" w14:paraId="29E90F1D" w14:textId="77777777">
        <w:tc>
          <w:tcPr>
            <w:tcW w:w="1389" w:type="dxa"/>
            <w:shd w:val="clear" w:color="auto" w:fill="CCECFF"/>
          </w:tcPr>
          <w:p w14:paraId="41E05A62" w14:textId="77777777" w:rsidR="007960A8" w:rsidRDefault="00A26397">
            <w:pPr>
              <w:pBdr>
                <w:top w:val="nil"/>
                <w:left w:val="nil"/>
                <w:bottom w:val="nil"/>
                <w:right w:val="nil"/>
                <w:between w:val="nil"/>
              </w:pBdr>
              <w:spacing w:before="120" w:after="120"/>
              <w:rPr>
                <w:b/>
                <w:bCs/>
              </w:rPr>
            </w:pPr>
            <w:r>
              <w:rPr>
                <w:b/>
                <w:bCs/>
              </w:rPr>
              <w:t>Emp No</w:t>
            </w:r>
          </w:p>
        </w:tc>
        <w:tc>
          <w:tcPr>
            <w:tcW w:w="1616" w:type="dxa"/>
          </w:tcPr>
          <w:p w14:paraId="56F83033" w14:textId="77777777" w:rsidR="007960A8" w:rsidRDefault="007960A8">
            <w:pPr>
              <w:pBdr>
                <w:top w:val="nil"/>
                <w:left w:val="nil"/>
                <w:bottom w:val="nil"/>
                <w:right w:val="nil"/>
                <w:between w:val="nil"/>
              </w:pBdr>
              <w:spacing w:before="120" w:after="120"/>
            </w:pPr>
          </w:p>
        </w:tc>
        <w:tc>
          <w:tcPr>
            <w:tcW w:w="1616" w:type="dxa"/>
          </w:tcPr>
          <w:p w14:paraId="0A5E0320" w14:textId="77777777" w:rsidR="007960A8" w:rsidRDefault="007960A8">
            <w:pPr>
              <w:pBdr>
                <w:top w:val="nil"/>
                <w:left w:val="nil"/>
                <w:bottom w:val="nil"/>
                <w:right w:val="nil"/>
                <w:between w:val="nil"/>
              </w:pBdr>
              <w:spacing w:before="120" w:after="120"/>
            </w:pPr>
          </w:p>
        </w:tc>
        <w:tc>
          <w:tcPr>
            <w:tcW w:w="2334" w:type="dxa"/>
          </w:tcPr>
          <w:p w14:paraId="53AA99FF" w14:textId="77777777" w:rsidR="007960A8" w:rsidRDefault="007960A8">
            <w:pPr>
              <w:pBdr>
                <w:top w:val="nil"/>
                <w:left w:val="nil"/>
                <w:bottom w:val="nil"/>
                <w:right w:val="nil"/>
                <w:between w:val="nil"/>
              </w:pBdr>
              <w:spacing w:before="120" w:after="120"/>
            </w:pPr>
          </w:p>
        </w:tc>
        <w:tc>
          <w:tcPr>
            <w:tcW w:w="1832" w:type="dxa"/>
          </w:tcPr>
          <w:p w14:paraId="52E2AE64" w14:textId="77777777" w:rsidR="007960A8" w:rsidRDefault="007960A8">
            <w:pPr>
              <w:pBdr>
                <w:top w:val="nil"/>
                <w:left w:val="nil"/>
                <w:bottom w:val="nil"/>
                <w:right w:val="nil"/>
                <w:between w:val="nil"/>
              </w:pBdr>
              <w:spacing w:before="120" w:after="120"/>
            </w:pPr>
          </w:p>
        </w:tc>
        <w:tc>
          <w:tcPr>
            <w:tcW w:w="2622" w:type="dxa"/>
          </w:tcPr>
          <w:p w14:paraId="5D491B9A" w14:textId="77777777" w:rsidR="007960A8" w:rsidRDefault="007960A8">
            <w:pPr>
              <w:pBdr>
                <w:top w:val="nil"/>
                <w:left w:val="nil"/>
                <w:bottom w:val="nil"/>
                <w:right w:val="nil"/>
                <w:between w:val="nil"/>
              </w:pBdr>
              <w:spacing w:before="120" w:after="120"/>
            </w:pPr>
          </w:p>
        </w:tc>
        <w:tc>
          <w:tcPr>
            <w:tcW w:w="4326" w:type="dxa"/>
          </w:tcPr>
          <w:p w14:paraId="58B4C4A7" w14:textId="77777777" w:rsidR="007960A8" w:rsidRDefault="007960A8">
            <w:pPr>
              <w:pBdr>
                <w:top w:val="nil"/>
                <w:left w:val="nil"/>
                <w:bottom w:val="nil"/>
                <w:right w:val="nil"/>
                <w:between w:val="nil"/>
              </w:pBdr>
              <w:spacing w:before="120" w:after="120"/>
            </w:pPr>
          </w:p>
        </w:tc>
      </w:tr>
      <w:tr w:rsidR="007960A8" w14:paraId="4065FBA5" w14:textId="77777777">
        <w:tc>
          <w:tcPr>
            <w:tcW w:w="1389" w:type="dxa"/>
            <w:shd w:val="clear" w:color="auto" w:fill="CCECFF"/>
          </w:tcPr>
          <w:p w14:paraId="6CF59A35" w14:textId="77777777" w:rsidR="007960A8" w:rsidRDefault="00A26397">
            <w:pPr>
              <w:pBdr>
                <w:top w:val="nil"/>
                <w:left w:val="nil"/>
                <w:bottom w:val="nil"/>
                <w:right w:val="nil"/>
                <w:between w:val="nil"/>
              </w:pBdr>
              <w:spacing w:before="120" w:after="120"/>
              <w:rPr>
                <w:b/>
                <w:bCs/>
              </w:rPr>
            </w:pPr>
            <w:r>
              <w:rPr>
                <w:b/>
                <w:bCs/>
              </w:rPr>
              <w:t>Emp No</w:t>
            </w:r>
          </w:p>
        </w:tc>
        <w:tc>
          <w:tcPr>
            <w:tcW w:w="1616" w:type="dxa"/>
          </w:tcPr>
          <w:p w14:paraId="2529D8D2" w14:textId="77777777" w:rsidR="007960A8" w:rsidRDefault="007960A8">
            <w:pPr>
              <w:pBdr>
                <w:top w:val="nil"/>
                <w:left w:val="nil"/>
                <w:bottom w:val="nil"/>
                <w:right w:val="nil"/>
                <w:between w:val="nil"/>
              </w:pBdr>
              <w:spacing w:before="120" w:after="120"/>
            </w:pPr>
          </w:p>
        </w:tc>
        <w:tc>
          <w:tcPr>
            <w:tcW w:w="1616" w:type="dxa"/>
          </w:tcPr>
          <w:p w14:paraId="516FA39D" w14:textId="77777777" w:rsidR="007960A8" w:rsidRDefault="007960A8">
            <w:pPr>
              <w:pBdr>
                <w:top w:val="nil"/>
                <w:left w:val="nil"/>
                <w:bottom w:val="nil"/>
                <w:right w:val="nil"/>
                <w:between w:val="nil"/>
              </w:pBdr>
              <w:spacing w:before="120" w:after="120"/>
            </w:pPr>
          </w:p>
        </w:tc>
        <w:tc>
          <w:tcPr>
            <w:tcW w:w="2334" w:type="dxa"/>
          </w:tcPr>
          <w:p w14:paraId="42E4A822" w14:textId="77777777" w:rsidR="007960A8" w:rsidRDefault="007960A8">
            <w:pPr>
              <w:pBdr>
                <w:top w:val="nil"/>
                <w:left w:val="nil"/>
                <w:bottom w:val="nil"/>
                <w:right w:val="nil"/>
                <w:between w:val="nil"/>
              </w:pBdr>
              <w:spacing w:before="120" w:after="120"/>
            </w:pPr>
          </w:p>
        </w:tc>
        <w:tc>
          <w:tcPr>
            <w:tcW w:w="1832" w:type="dxa"/>
          </w:tcPr>
          <w:p w14:paraId="591301FB" w14:textId="77777777" w:rsidR="007960A8" w:rsidRDefault="007960A8">
            <w:pPr>
              <w:pBdr>
                <w:top w:val="nil"/>
                <w:left w:val="nil"/>
                <w:bottom w:val="nil"/>
                <w:right w:val="nil"/>
                <w:between w:val="nil"/>
              </w:pBdr>
              <w:spacing w:before="120" w:after="120"/>
            </w:pPr>
          </w:p>
        </w:tc>
        <w:tc>
          <w:tcPr>
            <w:tcW w:w="2622" w:type="dxa"/>
          </w:tcPr>
          <w:p w14:paraId="493FEE06" w14:textId="77777777" w:rsidR="007960A8" w:rsidRDefault="007960A8">
            <w:pPr>
              <w:pBdr>
                <w:top w:val="nil"/>
                <w:left w:val="nil"/>
                <w:bottom w:val="nil"/>
                <w:right w:val="nil"/>
                <w:between w:val="nil"/>
              </w:pBdr>
              <w:spacing w:before="120" w:after="120"/>
            </w:pPr>
          </w:p>
        </w:tc>
        <w:tc>
          <w:tcPr>
            <w:tcW w:w="4326" w:type="dxa"/>
          </w:tcPr>
          <w:p w14:paraId="349B2EFA" w14:textId="77777777" w:rsidR="007960A8" w:rsidRDefault="007960A8">
            <w:pPr>
              <w:pBdr>
                <w:top w:val="nil"/>
                <w:left w:val="nil"/>
                <w:bottom w:val="nil"/>
                <w:right w:val="nil"/>
                <w:between w:val="nil"/>
              </w:pBdr>
              <w:spacing w:before="120" w:after="120"/>
            </w:pPr>
          </w:p>
        </w:tc>
      </w:tr>
      <w:tr w:rsidR="007960A8" w14:paraId="3C830252" w14:textId="77777777">
        <w:tc>
          <w:tcPr>
            <w:tcW w:w="1389" w:type="dxa"/>
            <w:shd w:val="clear" w:color="auto" w:fill="CCECFF"/>
          </w:tcPr>
          <w:p w14:paraId="2373C614" w14:textId="77777777" w:rsidR="007960A8" w:rsidRDefault="00A26397">
            <w:pPr>
              <w:pBdr>
                <w:top w:val="nil"/>
                <w:left w:val="nil"/>
                <w:bottom w:val="nil"/>
                <w:right w:val="nil"/>
                <w:between w:val="nil"/>
              </w:pBdr>
              <w:spacing w:before="120" w:after="120"/>
              <w:rPr>
                <w:b/>
                <w:bCs/>
              </w:rPr>
            </w:pPr>
            <w:r>
              <w:rPr>
                <w:b/>
                <w:bCs/>
              </w:rPr>
              <w:t>Emp No</w:t>
            </w:r>
          </w:p>
        </w:tc>
        <w:tc>
          <w:tcPr>
            <w:tcW w:w="1616" w:type="dxa"/>
          </w:tcPr>
          <w:p w14:paraId="2B82BEA4" w14:textId="77777777" w:rsidR="007960A8" w:rsidRDefault="007960A8">
            <w:pPr>
              <w:pBdr>
                <w:top w:val="nil"/>
                <w:left w:val="nil"/>
                <w:bottom w:val="nil"/>
                <w:right w:val="nil"/>
                <w:between w:val="nil"/>
              </w:pBdr>
              <w:spacing w:before="120" w:after="120"/>
            </w:pPr>
          </w:p>
        </w:tc>
        <w:tc>
          <w:tcPr>
            <w:tcW w:w="1616" w:type="dxa"/>
          </w:tcPr>
          <w:p w14:paraId="51D85718" w14:textId="77777777" w:rsidR="007960A8" w:rsidRDefault="007960A8">
            <w:pPr>
              <w:pBdr>
                <w:top w:val="nil"/>
                <w:left w:val="nil"/>
                <w:bottom w:val="nil"/>
                <w:right w:val="nil"/>
                <w:between w:val="nil"/>
              </w:pBdr>
              <w:spacing w:before="120" w:after="120"/>
            </w:pPr>
          </w:p>
        </w:tc>
        <w:tc>
          <w:tcPr>
            <w:tcW w:w="2334" w:type="dxa"/>
          </w:tcPr>
          <w:p w14:paraId="7392126D" w14:textId="77777777" w:rsidR="007960A8" w:rsidRDefault="007960A8">
            <w:pPr>
              <w:pBdr>
                <w:top w:val="nil"/>
                <w:left w:val="nil"/>
                <w:bottom w:val="nil"/>
                <w:right w:val="nil"/>
                <w:between w:val="nil"/>
              </w:pBdr>
              <w:spacing w:before="120" w:after="120"/>
            </w:pPr>
          </w:p>
        </w:tc>
        <w:tc>
          <w:tcPr>
            <w:tcW w:w="1832" w:type="dxa"/>
          </w:tcPr>
          <w:p w14:paraId="45D9D037" w14:textId="77777777" w:rsidR="007960A8" w:rsidRDefault="007960A8">
            <w:pPr>
              <w:pBdr>
                <w:top w:val="nil"/>
                <w:left w:val="nil"/>
                <w:bottom w:val="nil"/>
                <w:right w:val="nil"/>
                <w:between w:val="nil"/>
              </w:pBdr>
              <w:spacing w:before="120" w:after="120"/>
            </w:pPr>
          </w:p>
        </w:tc>
        <w:tc>
          <w:tcPr>
            <w:tcW w:w="2622" w:type="dxa"/>
          </w:tcPr>
          <w:p w14:paraId="5015A81E" w14:textId="77777777" w:rsidR="007960A8" w:rsidRDefault="007960A8">
            <w:pPr>
              <w:pBdr>
                <w:top w:val="nil"/>
                <w:left w:val="nil"/>
                <w:bottom w:val="nil"/>
                <w:right w:val="nil"/>
                <w:between w:val="nil"/>
              </w:pBdr>
              <w:spacing w:before="120" w:after="120"/>
            </w:pPr>
          </w:p>
        </w:tc>
        <w:tc>
          <w:tcPr>
            <w:tcW w:w="4326" w:type="dxa"/>
          </w:tcPr>
          <w:p w14:paraId="69DF7471" w14:textId="77777777" w:rsidR="007960A8" w:rsidRDefault="007960A8">
            <w:pPr>
              <w:pBdr>
                <w:top w:val="nil"/>
                <w:left w:val="nil"/>
                <w:bottom w:val="nil"/>
                <w:right w:val="nil"/>
                <w:between w:val="nil"/>
              </w:pBdr>
              <w:spacing w:before="120" w:after="120"/>
            </w:pPr>
          </w:p>
        </w:tc>
      </w:tr>
    </w:tbl>
    <w:p w14:paraId="08FCD384" w14:textId="77777777" w:rsidR="007960A8" w:rsidRDefault="007960A8">
      <w:pPr>
        <w:spacing w:before="120" w:after="120"/>
      </w:pPr>
    </w:p>
    <w:p w14:paraId="664B2C9E" w14:textId="77777777" w:rsidR="007960A8" w:rsidRDefault="00A26397">
      <w:pPr>
        <w:spacing w:before="120" w:after="120"/>
      </w:pPr>
      <w:r>
        <w:br w:type="page"/>
      </w:r>
    </w:p>
    <w:tbl>
      <w:tblPr>
        <w:tblStyle w:val="ac"/>
        <w:tblW w:w="1559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279"/>
        <w:gridCol w:w="1705"/>
        <w:gridCol w:w="912"/>
        <w:gridCol w:w="789"/>
        <w:gridCol w:w="1701"/>
        <w:gridCol w:w="229"/>
        <w:gridCol w:w="2323"/>
        <w:gridCol w:w="4110"/>
        <w:gridCol w:w="2127"/>
      </w:tblGrid>
      <w:tr w:rsidR="007960A8" w14:paraId="51BF7366" w14:textId="77777777">
        <w:tc>
          <w:tcPr>
            <w:tcW w:w="1419" w:type="dxa"/>
            <w:tcBorders>
              <w:top w:val="nil"/>
              <w:left w:val="nil"/>
              <w:bottom w:val="single" w:sz="4" w:space="0" w:color="000000"/>
            </w:tcBorders>
          </w:tcPr>
          <w:p w14:paraId="6CFB960B" w14:textId="77777777" w:rsidR="007960A8" w:rsidRDefault="007960A8">
            <w:pPr>
              <w:pBdr>
                <w:top w:val="nil"/>
                <w:left w:val="nil"/>
                <w:bottom w:val="nil"/>
                <w:right w:val="nil"/>
                <w:between w:val="nil"/>
              </w:pBdr>
              <w:spacing w:before="120" w:after="120"/>
            </w:pPr>
          </w:p>
        </w:tc>
        <w:tc>
          <w:tcPr>
            <w:tcW w:w="14175" w:type="dxa"/>
            <w:gridSpan w:val="9"/>
            <w:shd w:val="clear" w:color="auto" w:fill="C9C9C9"/>
          </w:tcPr>
          <w:p w14:paraId="0AB80C60" w14:textId="77777777" w:rsidR="007960A8" w:rsidRDefault="00A26397">
            <w:pPr>
              <w:pBdr>
                <w:top w:val="nil"/>
                <w:left w:val="nil"/>
                <w:bottom w:val="nil"/>
                <w:right w:val="nil"/>
                <w:between w:val="nil"/>
              </w:pBdr>
              <w:spacing w:before="120" w:after="120"/>
              <w:rPr>
                <w:b/>
                <w:bCs/>
              </w:rPr>
            </w:pPr>
            <w:r>
              <w:rPr>
                <w:b/>
                <w:bCs/>
              </w:rPr>
              <w:t>PENSIONS</w:t>
            </w:r>
          </w:p>
        </w:tc>
      </w:tr>
      <w:tr w:rsidR="007960A8" w14:paraId="698DDEEE" w14:textId="77777777">
        <w:tc>
          <w:tcPr>
            <w:tcW w:w="1419" w:type="dxa"/>
            <w:shd w:val="clear" w:color="auto" w:fill="CCECFF"/>
            <w:vAlign w:val="center"/>
          </w:tcPr>
          <w:p w14:paraId="38BAF68F" w14:textId="77777777" w:rsidR="007960A8" w:rsidRDefault="00A26397">
            <w:pPr>
              <w:pBdr>
                <w:top w:val="nil"/>
                <w:left w:val="nil"/>
                <w:bottom w:val="nil"/>
                <w:right w:val="nil"/>
                <w:between w:val="nil"/>
              </w:pBdr>
              <w:spacing w:before="120" w:after="120"/>
              <w:rPr>
                <w:b/>
                <w:bCs/>
              </w:rPr>
            </w:pPr>
            <w:r>
              <w:rPr>
                <w:b/>
                <w:bCs/>
              </w:rPr>
              <w:t>Details</w:t>
            </w:r>
          </w:p>
        </w:tc>
        <w:tc>
          <w:tcPr>
            <w:tcW w:w="1984" w:type="dxa"/>
            <w:gridSpan w:val="2"/>
            <w:shd w:val="clear" w:color="auto" w:fill="C9C9C9"/>
            <w:vAlign w:val="center"/>
          </w:tcPr>
          <w:p w14:paraId="77919201" w14:textId="77777777" w:rsidR="007960A8" w:rsidRDefault="00A26397">
            <w:pPr>
              <w:pBdr>
                <w:top w:val="nil"/>
                <w:left w:val="nil"/>
                <w:bottom w:val="nil"/>
                <w:right w:val="nil"/>
                <w:between w:val="nil"/>
              </w:pBdr>
              <w:spacing w:before="120" w:after="120"/>
              <w:rPr>
                <w:b/>
                <w:bCs/>
              </w:rPr>
            </w:pPr>
            <w:r>
              <w:rPr>
                <w:b/>
                <w:bCs/>
              </w:rPr>
              <w:t>If the Employee is in the Local Government Pension Scheme, please supply details of Fund and Administering Authority.</w:t>
            </w:r>
          </w:p>
        </w:tc>
        <w:tc>
          <w:tcPr>
            <w:tcW w:w="1701" w:type="dxa"/>
            <w:gridSpan w:val="2"/>
            <w:shd w:val="clear" w:color="auto" w:fill="C9C9C9"/>
            <w:vAlign w:val="center"/>
          </w:tcPr>
          <w:p w14:paraId="269B2A33" w14:textId="77777777" w:rsidR="007960A8" w:rsidRDefault="00A26397">
            <w:pPr>
              <w:pBdr>
                <w:top w:val="nil"/>
                <w:left w:val="nil"/>
                <w:bottom w:val="nil"/>
                <w:right w:val="nil"/>
                <w:between w:val="nil"/>
              </w:pBdr>
              <w:spacing w:before="120" w:after="120"/>
              <w:rPr>
                <w:b/>
                <w:bCs/>
              </w:rPr>
            </w:pPr>
            <w:r>
              <w:rPr>
                <w:b/>
                <w:bCs/>
              </w:rPr>
              <w:t>If the Employee is in the Civil Service Pension Scheme, please provide details of the Admission Agreement.</w:t>
            </w:r>
          </w:p>
        </w:tc>
        <w:tc>
          <w:tcPr>
            <w:tcW w:w="1701" w:type="dxa"/>
            <w:shd w:val="clear" w:color="auto" w:fill="C9C9C9"/>
            <w:vAlign w:val="center"/>
          </w:tcPr>
          <w:p w14:paraId="29AEA77E" w14:textId="77777777" w:rsidR="007960A8" w:rsidRDefault="00A26397">
            <w:pPr>
              <w:pBdr>
                <w:top w:val="nil"/>
                <w:left w:val="nil"/>
                <w:bottom w:val="nil"/>
                <w:right w:val="nil"/>
                <w:between w:val="nil"/>
              </w:pBdr>
              <w:spacing w:before="120" w:after="120"/>
              <w:rPr>
                <w:b/>
                <w:bCs/>
              </w:rPr>
            </w:pPr>
            <w:r>
              <w:rPr>
                <w:b/>
                <w:bCs/>
              </w:rPr>
              <w:t>If the Employee is in the NHSPS</w:t>
            </w:r>
            <w:r>
              <w:rPr>
                <w:b/>
                <w:bCs/>
              </w:rPr>
              <w:t>, please provide details of the Direction Letter.</w:t>
            </w:r>
          </w:p>
        </w:tc>
        <w:tc>
          <w:tcPr>
            <w:tcW w:w="2552" w:type="dxa"/>
            <w:gridSpan w:val="2"/>
            <w:shd w:val="clear" w:color="auto" w:fill="C9C9C9"/>
            <w:vAlign w:val="center"/>
          </w:tcPr>
          <w:p w14:paraId="2C5C52C2" w14:textId="77777777" w:rsidR="007960A8" w:rsidRDefault="00A26397">
            <w:pPr>
              <w:pBdr>
                <w:top w:val="nil"/>
                <w:left w:val="nil"/>
                <w:bottom w:val="nil"/>
                <w:right w:val="nil"/>
                <w:between w:val="nil"/>
              </w:pBdr>
              <w:spacing w:before="120" w:after="120"/>
              <w:rPr>
                <w:b/>
                <w:bCs/>
              </w:rPr>
            </w:pPr>
            <w:r>
              <w:rPr>
                <w:b/>
                <w:bCs/>
              </w:rPr>
              <w:t>If the Employee is in a broadly comparable pension scheme, please supply a copy of the GAD certificate of Broad Comparability.</w:t>
            </w:r>
          </w:p>
        </w:tc>
        <w:tc>
          <w:tcPr>
            <w:tcW w:w="4110" w:type="dxa"/>
            <w:shd w:val="clear" w:color="auto" w:fill="C9C9C9"/>
            <w:vAlign w:val="center"/>
          </w:tcPr>
          <w:p w14:paraId="6CDFA8FA" w14:textId="77777777" w:rsidR="007960A8" w:rsidRDefault="00A26397">
            <w:pPr>
              <w:pBdr>
                <w:top w:val="nil"/>
                <w:left w:val="nil"/>
                <w:bottom w:val="nil"/>
                <w:right w:val="nil"/>
                <w:between w:val="nil"/>
              </w:pBdr>
              <w:spacing w:before="120" w:after="120"/>
              <w:rPr>
                <w:b/>
                <w:bCs/>
              </w:rPr>
            </w:pPr>
            <w:r>
              <w:rPr>
                <w:b/>
                <w:bCs/>
              </w:rPr>
              <w:t>Did Fair Deal or any other similar pension protection for ex-public sector empl</w:t>
            </w:r>
            <w:r>
              <w:rPr>
                <w:b/>
                <w:bCs/>
              </w:rPr>
              <w:t>oyees apply to the employee when they TUPE transferred into your employment? If so, what was the nature of that protection (e.g. right to participate in a public sector pension scheme, or a broadly comparable scheme, or to bulk transfer past pension servic</w:t>
            </w:r>
            <w:r>
              <w:rPr>
                <w:b/>
                <w:bCs/>
              </w:rPr>
              <w:t>e into their current scheme)?</w:t>
            </w:r>
          </w:p>
        </w:tc>
        <w:tc>
          <w:tcPr>
            <w:tcW w:w="2127" w:type="dxa"/>
            <w:shd w:val="clear" w:color="auto" w:fill="C9C9C9"/>
            <w:vAlign w:val="center"/>
          </w:tcPr>
          <w:p w14:paraId="5B626A1E" w14:textId="77777777" w:rsidR="007960A8" w:rsidRDefault="00A26397">
            <w:pPr>
              <w:pBdr>
                <w:top w:val="nil"/>
                <w:left w:val="nil"/>
                <w:bottom w:val="nil"/>
                <w:right w:val="nil"/>
                <w:between w:val="nil"/>
              </w:pBdr>
              <w:spacing w:before="120" w:after="120"/>
              <w:rPr>
                <w:b/>
                <w:bCs/>
              </w:rPr>
            </w:pPr>
            <w:r>
              <w:rPr>
                <w:b/>
                <w:bCs/>
              </w:rPr>
              <w:t xml:space="preserve">If Fair Deal, Best Value or other pension protection applied, which public sector employer did they originally transfer out of and when? </w:t>
            </w:r>
          </w:p>
        </w:tc>
      </w:tr>
      <w:tr w:rsidR="007960A8" w14:paraId="3D5B2F9E" w14:textId="77777777">
        <w:tc>
          <w:tcPr>
            <w:tcW w:w="1419" w:type="dxa"/>
            <w:shd w:val="clear" w:color="auto" w:fill="CCECFF"/>
          </w:tcPr>
          <w:p w14:paraId="02AE4F18" w14:textId="77777777" w:rsidR="007960A8" w:rsidRDefault="00A26397">
            <w:pPr>
              <w:pBdr>
                <w:top w:val="nil"/>
                <w:left w:val="nil"/>
                <w:bottom w:val="nil"/>
                <w:right w:val="nil"/>
                <w:between w:val="nil"/>
              </w:pBdr>
              <w:spacing w:before="120" w:after="120"/>
              <w:rPr>
                <w:b/>
                <w:bCs/>
              </w:rPr>
            </w:pPr>
            <w:r>
              <w:rPr>
                <w:b/>
                <w:bCs/>
              </w:rPr>
              <w:t>Emp No 1</w:t>
            </w:r>
          </w:p>
        </w:tc>
        <w:tc>
          <w:tcPr>
            <w:tcW w:w="1984" w:type="dxa"/>
            <w:gridSpan w:val="2"/>
          </w:tcPr>
          <w:p w14:paraId="741CFE25" w14:textId="77777777" w:rsidR="007960A8" w:rsidRDefault="007960A8">
            <w:pPr>
              <w:pBdr>
                <w:top w:val="nil"/>
                <w:left w:val="nil"/>
                <w:bottom w:val="nil"/>
                <w:right w:val="nil"/>
                <w:between w:val="nil"/>
              </w:pBdr>
              <w:spacing w:before="120" w:after="120"/>
            </w:pPr>
          </w:p>
        </w:tc>
        <w:tc>
          <w:tcPr>
            <w:tcW w:w="1701" w:type="dxa"/>
            <w:gridSpan w:val="2"/>
          </w:tcPr>
          <w:p w14:paraId="174EB4A7" w14:textId="77777777" w:rsidR="007960A8" w:rsidRDefault="007960A8">
            <w:pPr>
              <w:pBdr>
                <w:top w:val="nil"/>
                <w:left w:val="nil"/>
                <w:bottom w:val="nil"/>
                <w:right w:val="nil"/>
                <w:between w:val="nil"/>
              </w:pBdr>
              <w:spacing w:before="120" w:after="120"/>
            </w:pPr>
          </w:p>
        </w:tc>
        <w:tc>
          <w:tcPr>
            <w:tcW w:w="1701" w:type="dxa"/>
          </w:tcPr>
          <w:p w14:paraId="417521BE"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459C3CE8" w14:textId="77777777" w:rsidR="007960A8" w:rsidRDefault="00A26397">
            <w:pPr>
              <w:pBdr>
                <w:top w:val="nil"/>
                <w:left w:val="nil"/>
                <w:bottom w:val="nil"/>
                <w:right w:val="nil"/>
                <w:between w:val="nil"/>
              </w:pBdr>
              <w:spacing w:before="120" w:after="120"/>
            </w:pPr>
            <w:r>
              <w:t xml:space="preserve"> </w:t>
            </w:r>
          </w:p>
        </w:tc>
        <w:tc>
          <w:tcPr>
            <w:tcW w:w="4110" w:type="dxa"/>
          </w:tcPr>
          <w:p w14:paraId="15D963AE" w14:textId="77777777" w:rsidR="007960A8" w:rsidRDefault="00A26397">
            <w:pPr>
              <w:pBdr>
                <w:top w:val="nil"/>
                <w:left w:val="nil"/>
                <w:bottom w:val="nil"/>
                <w:right w:val="nil"/>
                <w:between w:val="nil"/>
              </w:pBdr>
              <w:spacing w:before="120" w:after="120"/>
            </w:pPr>
            <w:r>
              <w:t xml:space="preserve"> </w:t>
            </w:r>
          </w:p>
        </w:tc>
        <w:tc>
          <w:tcPr>
            <w:tcW w:w="2127" w:type="dxa"/>
          </w:tcPr>
          <w:p w14:paraId="4FD1C40E" w14:textId="77777777" w:rsidR="007960A8" w:rsidRDefault="00A26397">
            <w:pPr>
              <w:pBdr>
                <w:top w:val="nil"/>
                <w:left w:val="nil"/>
                <w:bottom w:val="nil"/>
                <w:right w:val="nil"/>
                <w:between w:val="nil"/>
              </w:pBdr>
              <w:spacing w:before="120" w:after="120"/>
            </w:pPr>
            <w:r>
              <w:t xml:space="preserve"> </w:t>
            </w:r>
          </w:p>
        </w:tc>
      </w:tr>
      <w:tr w:rsidR="007960A8" w14:paraId="73500C43" w14:textId="77777777">
        <w:tc>
          <w:tcPr>
            <w:tcW w:w="1419" w:type="dxa"/>
            <w:shd w:val="clear" w:color="auto" w:fill="CCECFF"/>
          </w:tcPr>
          <w:p w14:paraId="6E3E94C4" w14:textId="77777777" w:rsidR="007960A8" w:rsidRDefault="00A26397">
            <w:pPr>
              <w:pBdr>
                <w:top w:val="nil"/>
                <w:left w:val="nil"/>
                <w:bottom w:val="nil"/>
                <w:right w:val="nil"/>
                <w:between w:val="nil"/>
              </w:pBdr>
              <w:spacing w:before="120" w:after="120"/>
              <w:rPr>
                <w:b/>
                <w:bCs/>
              </w:rPr>
            </w:pPr>
            <w:r>
              <w:rPr>
                <w:b/>
                <w:bCs/>
              </w:rPr>
              <w:t>Emp No 2</w:t>
            </w:r>
          </w:p>
        </w:tc>
        <w:tc>
          <w:tcPr>
            <w:tcW w:w="1984" w:type="dxa"/>
            <w:gridSpan w:val="2"/>
          </w:tcPr>
          <w:p w14:paraId="71DE1145" w14:textId="77777777" w:rsidR="007960A8" w:rsidRDefault="007960A8">
            <w:pPr>
              <w:pBdr>
                <w:top w:val="nil"/>
                <w:left w:val="nil"/>
                <w:bottom w:val="nil"/>
                <w:right w:val="nil"/>
                <w:between w:val="nil"/>
              </w:pBdr>
              <w:spacing w:before="120" w:after="120"/>
            </w:pPr>
          </w:p>
        </w:tc>
        <w:tc>
          <w:tcPr>
            <w:tcW w:w="1701" w:type="dxa"/>
            <w:gridSpan w:val="2"/>
          </w:tcPr>
          <w:p w14:paraId="6F497DD3" w14:textId="77777777" w:rsidR="007960A8" w:rsidRDefault="007960A8">
            <w:pPr>
              <w:pBdr>
                <w:top w:val="nil"/>
                <w:left w:val="nil"/>
                <w:bottom w:val="nil"/>
                <w:right w:val="nil"/>
                <w:between w:val="nil"/>
              </w:pBdr>
              <w:spacing w:before="120" w:after="120"/>
            </w:pPr>
          </w:p>
        </w:tc>
        <w:tc>
          <w:tcPr>
            <w:tcW w:w="1701" w:type="dxa"/>
          </w:tcPr>
          <w:p w14:paraId="716CE7EF"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7A0AA565" w14:textId="77777777" w:rsidR="007960A8" w:rsidRDefault="00A26397">
            <w:pPr>
              <w:pBdr>
                <w:top w:val="nil"/>
                <w:left w:val="nil"/>
                <w:bottom w:val="nil"/>
                <w:right w:val="nil"/>
                <w:between w:val="nil"/>
              </w:pBdr>
              <w:spacing w:before="120" w:after="120"/>
            </w:pPr>
            <w:r>
              <w:t xml:space="preserve"> </w:t>
            </w:r>
          </w:p>
        </w:tc>
        <w:tc>
          <w:tcPr>
            <w:tcW w:w="4110" w:type="dxa"/>
          </w:tcPr>
          <w:p w14:paraId="0578115A" w14:textId="77777777" w:rsidR="007960A8" w:rsidRDefault="00A26397">
            <w:pPr>
              <w:pBdr>
                <w:top w:val="nil"/>
                <w:left w:val="nil"/>
                <w:bottom w:val="nil"/>
                <w:right w:val="nil"/>
                <w:between w:val="nil"/>
              </w:pBdr>
              <w:spacing w:before="120" w:after="120"/>
            </w:pPr>
            <w:r>
              <w:t xml:space="preserve"> </w:t>
            </w:r>
          </w:p>
        </w:tc>
        <w:tc>
          <w:tcPr>
            <w:tcW w:w="2127" w:type="dxa"/>
          </w:tcPr>
          <w:p w14:paraId="6A3E4E55" w14:textId="77777777" w:rsidR="007960A8" w:rsidRDefault="00A26397">
            <w:pPr>
              <w:pBdr>
                <w:top w:val="nil"/>
                <w:left w:val="nil"/>
                <w:bottom w:val="nil"/>
                <w:right w:val="nil"/>
                <w:between w:val="nil"/>
              </w:pBdr>
              <w:spacing w:before="120" w:after="120"/>
            </w:pPr>
            <w:r>
              <w:t xml:space="preserve"> </w:t>
            </w:r>
          </w:p>
        </w:tc>
      </w:tr>
      <w:tr w:rsidR="007960A8" w14:paraId="6CAB1B2A" w14:textId="77777777">
        <w:tc>
          <w:tcPr>
            <w:tcW w:w="1419" w:type="dxa"/>
            <w:shd w:val="clear" w:color="auto" w:fill="CCECFF"/>
          </w:tcPr>
          <w:p w14:paraId="60F34A11" w14:textId="77777777" w:rsidR="007960A8" w:rsidRDefault="00A26397">
            <w:pPr>
              <w:pBdr>
                <w:top w:val="nil"/>
                <w:left w:val="nil"/>
                <w:bottom w:val="nil"/>
                <w:right w:val="nil"/>
                <w:between w:val="nil"/>
              </w:pBdr>
              <w:spacing w:before="120" w:after="120"/>
              <w:rPr>
                <w:b/>
                <w:bCs/>
              </w:rPr>
            </w:pPr>
            <w:r>
              <w:rPr>
                <w:b/>
                <w:bCs/>
              </w:rPr>
              <w:t>Emp No</w:t>
            </w:r>
          </w:p>
        </w:tc>
        <w:tc>
          <w:tcPr>
            <w:tcW w:w="1984" w:type="dxa"/>
            <w:gridSpan w:val="2"/>
          </w:tcPr>
          <w:p w14:paraId="706D6562" w14:textId="77777777" w:rsidR="007960A8" w:rsidRDefault="007960A8">
            <w:pPr>
              <w:pBdr>
                <w:top w:val="nil"/>
                <w:left w:val="nil"/>
                <w:bottom w:val="nil"/>
                <w:right w:val="nil"/>
                <w:between w:val="nil"/>
              </w:pBdr>
              <w:spacing w:before="120" w:after="120"/>
            </w:pPr>
          </w:p>
        </w:tc>
        <w:tc>
          <w:tcPr>
            <w:tcW w:w="1701" w:type="dxa"/>
            <w:gridSpan w:val="2"/>
          </w:tcPr>
          <w:p w14:paraId="2FD7606E" w14:textId="77777777" w:rsidR="007960A8" w:rsidRDefault="007960A8">
            <w:pPr>
              <w:pBdr>
                <w:top w:val="nil"/>
                <w:left w:val="nil"/>
                <w:bottom w:val="nil"/>
                <w:right w:val="nil"/>
                <w:between w:val="nil"/>
              </w:pBdr>
              <w:spacing w:before="120" w:after="120"/>
            </w:pPr>
          </w:p>
        </w:tc>
        <w:tc>
          <w:tcPr>
            <w:tcW w:w="1701" w:type="dxa"/>
          </w:tcPr>
          <w:p w14:paraId="749B314D"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00BF52E9" w14:textId="77777777" w:rsidR="007960A8" w:rsidRDefault="00A26397">
            <w:pPr>
              <w:pBdr>
                <w:top w:val="nil"/>
                <w:left w:val="nil"/>
                <w:bottom w:val="nil"/>
                <w:right w:val="nil"/>
                <w:between w:val="nil"/>
              </w:pBdr>
              <w:spacing w:before="120" w:after="120"/>
            </w:pPr>
            <w:r>
              <w:t xml:space="preserve"> </w:t>
            </w:r>
          </w:p>
        </w:tc>
        <w:tc>
          <w:tcPr>
            <w:tcW w:w="4110" w:type="dxa"/>
          </w:tcPr>
          <w:p w14:paraId="46DC528A" w14:textId="77777777" w:rsidR="007960A8" w:rsidRDefault="00A26397">
            <w:pPr>
              <w:pBdr>
                <w:top w:val="nil"/>
                <w:left w:val="nil"/>
                <w:bottom w:val="nil"/>
                <w:right w:val="nil"/>
                <w:between w:val="nil"/>
              </w:pBdr>
              <w:spacing w:before="120" w:after="120"/>
            </w:pPr>
            <w:r>
              <w:t xml:space="preserve"> </w:t>
            </w:r>
          </w:p>
        </w:tc>
        <w:tc>
          <w:tcPr>
            <w:tcW w:w="2127" w:type="dxa"/>
          </w:tcPr>
          <w:p w14:paraId="0D57642F" w14:textId="77777777" w:rsidR="007960A8" w:rsidRDefault="00A26397">
            <w:pPr>
              <w:pBdr>
                <w:top w:val="nil"/>
                <w:left w:val="nil"/>
                <w:bottom w:val="nil"/>
                <w:right w:val="nil"/>
                <w:between w:val="nil"/>
              </w:pBdr>
              <w:spacing w:before="120" w:after="120"/>
            </w:pPr>
            <w:r>
              <w:t xml:space="preserve"> </w:t>
            </w:r>
          </w:p>
        </w:tc>
      </w:tr>
      <w:tr w:rsidR="007960A8" w14:paraId="588964A7" w14:textId="77777777">
        <w:tc>
          <w:tcPr>
            <w:tcW w:w="1419" w:type="dxa"/>
            <w:shd w:val="clear" w:color="auto" w:fill="CCECFF"/>
          </w:tcPr>
          <w:p w14:paraId="7B3E0E05" w14:textId="77777777" w:rsidR="007960A8" w:rsidRDefault="00A26397">
            <w:pPr>
              <w:pBdr>
                <w:top w:val="nil"/>
                <w:left w:val="nil"/>
                <w:bottom w:val="nil"/>
                <w:right w:val="nil"/>
                <w:between w:val="nil"/>
              </w:pBdr>
              <w:spacing w:before="120" w:after="120"/>
              <w:rPr>
                <w:b/>
                <w:bCs/>
              </w:rPr>
            </w:pPr>
            <w:r>
              <w:rPr>
                <w:b/>
                <w:bCs/>
              </w:rPr>
              <w:t>Emp No</w:t>
            </w:r>
          </w:p>
        </w:tc>
        <w:tc>
          <w:tcPr>
            <w:tcW w:w="1984" w:type="dxa"/>
            <w:gridSpan w:val="2"/>
          </w:tcPr>
          <w:p w14:paraId="16ACC816" w14:textId="77777777" w:rsidR="007960A8" w:rsidRDefault="007960A8">
            <w:pPr>
              <w:pBdr>
                <w:top w:val="nil"/>
                <w:left w:val="nil"/>
                <w:bottom w:val="nil"/>
                <w:right w:val="nil"/>
                <w:between w:val="nil"/>
              </w:pBdr>
              <w:spacing w:before="120" w:after="120"/>
            </w:pPr>
          </w:p>
        </w:tc>
        <w:tc>
          <w:tcPr>
            <w:tcW w:w="1701" w:type="dxa"/>
            <w:gridSpan w:val="2"/>
          </w:tcPr>
          <w:p w14:paraId="7D84A79D" w14:textId="77777777" w:rsidR="007960A8" w:rsidRDefault="007960A8">
            <w:pPr>
              <w:pBdr>
                <w:top w:val="nil"/>
                <w:left w:val="nil"/>
                <w:bottom w:val="nil"/>
                <w:right w:val="nil"/>
                <w:between w:val="nil"/>
              </w:pBdr>
              <w:spacing w:before="120" w:after="120"/>
            </w:pPr>
          </w:p>
        </w:tc>
        <w:tc>
          <w:tcPr>
            <w:tcW w:w="1701" w:type="dxa"/>
          </w:tcPr>
          <w:p w14:paraId="651F3801"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79B475DF" w14:textId="77777777" w:rsidR="007960A8" w:rsidRDefault="00A26397">
            <w:pPr>
              <w:pBdr>
                <w:top w:val="nil"/>
                <w:left w:val="nil"/>
                <w:bottom w:val="nil"/>
                <w:right w:val="nil"/>
                <w:between w:val="nil"/>
              </w:pBdr>
              <w:spacing w:before="120" w:after="120"/>
            </w:pPr>
            <w:r>
              <w:t xml:space="preserve"> </w:t>
            </w:r>
          </w:p>
        </w:tc>
        <w:tc>
          <w:tcPr>
            <w:tcW w:w="4110" w:type="dxa"/>
          </w:tcPr>
          <w:p w14:paraId="1B1AE15A" w14:textId="77777777" w:rsidR="007960A8" w:rsidRDefault="00A26397">
            <w:pPr>
              <w:pBdr>
                <w:top w:val="nil"/>
                <w:left w:val="nil"/>
                <w:bottom w:val="nil"/>
                <w:right w:val="nil"/>
                <w:between w:val="nil"/>
              </w:pBdr>
              <w:spacing w:before="120" w:after="120"/>
            </w:pPr>
            <w:r>
              <w:t xml:space="preserve"> </w:t>
            </w:r>
          </w:p>
        </w:tc>
        <w:tc>
          <w:tcPr>
            <w:tcW w:w="2127" w:type="dxa"/>
          </w:tcPr>
          <w:p w14:paraId="7143FE8D" w14:textId="77777777" w:rsidR="007960A8" w:rsidRDefault="00A26397">
            <w:pPr>
              <w:pBdr>
                <w:top w:val="nil"/>
                <w:left w:val="nil"/>
                <w:bottom w:val="nil"/>
                <w:right w:val="nil"/>
                <w:between w:val="nil"/>
              </w:pBdr>
              <w:spacing w:before="120" w:after="120"/>
            </w:pPr>
            <w:r>
              <w:t xml:space="preserve"> </w:t>
            </w:r>
          </w:p>
        </w:tc>
      </w:tr>
      <w:tr w:rsidR="007960A8" w14:paraId="444FEB4D" w14:textId="77777777">
        <w:tc>
          <w:tcPr>
            <w:tcW w:w="1419" w:type="dxa"/>
            <w:shd w:val="clear" w:color="auto" w:fill="CCECFF"/>
          </w:tcPr>
          <w:p w14:paraId="29E73735" w14:textId="77777777" w:rsidR="007960A8" w:rsidRDefault="00A26397">
            <w:pPr>
              <w:pBdr>
                <w:top w:val="nil"/>
                <w:left w:val="nil"/>
                <w:bottom w:val="nil"/>
                <w:right w:val="nil"/>
                <w:between w:val="nil"/>
              </w:pBdr>
              <w:spacing w:before="120" w:after="120"/>
              <w:rPr>
                <w:b/>
                <w:bCs/>
              </w:rPr>
            </w:pPr>
            <w:r>
              <w:rPr>
                <w:b/>
                <w:bCs/>
              </w:rPr>
              <w:t>Emp No</w:t>
            </w:r>
          </w:p>
        </w:tc>
        <w:tc>
          <w:tcPr>
            <w:tcW w:w="1984" w:type="dxa"/>
            <w:gridSpan w:val="2"/>
          </w:tcPr>
          <w:p w14:paraId="263DAC3F" w14:textId="77777777" w:rsidR="007960A8" w:rsidRDefault="007960A8">
            <w:pPr>
              <w:pBdr>
                <w:top w:val="nil"/>
                <w:left w:val="nil"/>
                <w:bottom w:val="nil"/>
                <w:right w:val="nil"/>
                <w:between w:val="nil"/>
              </w:pBdr>
              <w:spacing w:before="120" w:after="120"/>
            </w:pPr>
          </w:p>
        </w:tc>
        <w:tc>
          <w:tcPr>
            <w:tcW w:w="1701" w:type="dxa"/>
            <w:gridSpan w:val="2"/>
          </w:tcPr>
          <w:p w14:paraId="2705A503" w14:textId="77777777" w:rsidR="007960A8" w:rsidRDefault="007960A8">
            <w:pPr>
              <w:pBdr>
                <w:top w:val="nil"/>
                <w:left w:val="nil"/>
                <w:bottom w:val="nil"/>
                <w:right w:val="nil"/>
                <w:between w:val="nil"/>
              </w:pBdr>
              <w:spacing w:before="120" w:after="120"/>
            </w:pPr>
          </w:p>
        </w:tc>
        <w:tc>
          <w:tcPr>
            <w:tcW w:w="1701" w:type="dxa"/>
          </w:tcPr>
          <w:p w14:paraId="1E981971"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4C14C41D" w14:textId="77777777" w:rsidR="007960A8" w:rsidRDefault="00A26397">
            <w:pPr>
              <w:pBdr>
                <w:top w:val="nil"/>
                <w:left w:val="nil"/>
                <w:bottom w:val="nil"/>
                <w:right w:val="nil"/>
                <w:between w:val="nil"/>
              </w:pBdr>
              <w:spacing w:before="120" w:after="120"/>
            </w:pPr>
            <w:r>
              <w:t xml:space="preserve"> </w:t>
            </w:r>
          </w:p>
        </w:tc>
        <w:tc>
          <w:tcPr>
            <w:tcW w:w="4110" w:type="dxa"/>
          </w:tcPr>
          <w:p w14:paraId="53B471FD" w14:textId="77777777" w:rsidR="007960A8" w:rsidRDefault="00A26397">
            <w:pPr>
              <w:pBdr>
                <w:top w:val="nil"/>
                <w:left w:val="nil"/>
                <w:bottom w:val="nil"/>
                <w:right w:val="nil"/>
                <w:between w:val="nil"/>
              </w:pBdr>
              <w:spacing w:before="120" w:after="120"/>
            </w:pPr>
            <w:r>
              <w:t xml:space="preserve"> </w:t>
            </w:r>
          </w:p>
        </w:tc>
        <w:tc>
          <w:tcPr>
            <w:tcW w:w="2127" w:type="dxa"/>
          </w:tcPr>
          <w:p w14:paraId="4C85CE80" w14:textId="77777777" w:rsidR="007960A8" w:rsidRDefault="00A26397">
            <w:pPr>
              <w:pBdr>
                <w:top w:val="nil"/>
                <w:left w:val="nil"/>
                <w:bottom w:val="nil"/>
                <w:right w:val="nil"/>
                <w:between w:val="nil"/>
              </w:pBdr>
              <w:spacing w:before="120" w:after="120"/>
            </w:pPr>
            <w:r>
              <w:t xml:space="preserve"> </w:t>
            </w:r>
          </w:p>
        </w:tc>
      </w:tr>
      <w:tr w:rsidR="007960A8" w14:paraId="13E54C2B" w14:textId="77777777">
        <w:tc>
          <w:tcPr>
            <w:tcW w:w="1419" w:type="dxa"/>
            <w:shd w:val="clear" w:color="auto" w:fill="CCECFF"/>
          </w:tcPr>
          <w:p w14:paraId="4902CAE7" w14:textId="77777777" w:rsidR="007960A8" w:rsidRDefault="00A26397">
            <w:pPr>
              <w:pBdr>
                <w:top w:val="nil"/>
                <w:left w:val="nil"/>
                <w:bottom w:val="nil"/>
                <w:right w:val="nil"/>
                <w:between w:val="nil"/>
              </w:pBdr>
              <w:spacing w:before="120" w:after="120"/>
              <w:rPr>
                <w:b/>
                <w:bCs/>
              </w:rPr>
            </w:pPr>
            <w:r>
              <w:rPr>
                <w:b/>
                <w:bCs/>
              </w:rPr>
              <w:t>Emp No</w:t>
            </w:r>
          </w:p>
        </w:tc>
        <w:tc>
          <w:tcPr>
            <w:tcW w:w="1984" w:type="dxa"/>
            <w:gridSpan w:val="2"/>
          </w:tcPr>
          <w:p w14:paraId="0B2EE945" w14:textId="77777777" w:rsidR="007960A8" w:rsidRDefault="007960A8">
            <w:pPr>
              <w:pBdr>
                <w:top w:val="nil"/>
                <w:left w:val="nil"/>
                <w:bottom w:val="nil"/>
                <w:right w:val="nil"/>
                <w:between w:val="nil"/>
              </w:pBdr>
              <w:spacing w:before="120" w:after="120"/>
            </w:pPr>
          </w:p>
        </w:tc>
        <w:tc>
          <w:tcPr>
            <w:tcW w:w="1701" w:type="dxa"/>
            <w:gridSpan w:val="2"/>
          </w:tcPr>
          <w:p w14:paraId="21B7BE61" w14:textId="77777777" w:rsidR="007960A8" w:rsidRDefault="007960A8">
            <w:pPr>
              <w:pBdr>
                <w:top w:val="nil"/>
                <w:left w:val="nil"/>
                <w:bottom w:val="nil"/>
                <w:right w:val="nil"/>
                <w:between w:val="nil"/>
              </w:pBdr>
              <w:spacing w:before="120" w:after="120"/>
            </w:pPr>
          </w:p>
        </w:tc>
        <w:tc>
          <w:tcPr>
            <w:tcW w:w="1701" w:type="dxa"/>
          </w:tcPr>
          <w:p w14:paraId="210F5F90"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65D1E65C" w14:textId="77777777" w:rsidR="007960A8" w:rsidRDefault="00A26397">
            <w:pPr>
              <w:pBdr>
                <w:top w:val="nil"/>
                <w:left w:val="nil"/>
                <w:bottom w:val="nil"/>
                <w:right w:val="nil"/>
                <w:between w:val="nil"/>
              </w:pBdr>
              <w:spacing w:before="120" w:after="120"/>
            </w:pPr>
            <w:r>
              <w:t xml:space="preserve"> </w:t>
            </w:r>
          </w:p>
        </w:tc>
        <w:tc>
          <w:tcPr>
            <w:tcW w:w="4110" w:type="dxa"/>
          </w:tcPr>
          <w:p w14:paraId="407F4977" w14:textId="77777777" w:rsidR="007960A8" w:rsidRDefault="00A26397">
            <w:pPr>
              <w:pBdr>
                <w:top w:val="nil"/>
                <w:left w:val="nil"/>
                <w:bottom w:val="nil"/>
                <w:right w:val="nil"/>
                <w:between w:val="nil"/>
              </w:pBdr>
              <w:spacing w:before="120" w:after="120"/>
            </w:pPr>
            <w:r>
              <w:t xml:space="preserve"> </w:t>
            </w:r>
          </w:p>
        </w:tc>
        <w:tc>
          <w:tcPr>
            <w:tcW w:w="2127" w:type="dxa"/>
          </w:tcPr>
          <w:p w14:paraId="6E321F3D" w14:textId="77777777" w:rsidR="007960A8" w:rsidRDefault="00A26397">
            <w:pPr>
              <w:pBdr>
                <w:top w:val="nil"/>
                <w:left w:val="nil"/>
                <w:bottom w:val="nil"/>
                <w:right w:val="nil"/>
                <w:between w:val="nil"/>
              </w:pBdr>
              <w:spacing w:before="120" w:after="120"/>
            </w:pPr>
            <w:r>
              <w:t xml:space="preserve"> </w:t>
            </w:r>
          </w:p>
        </w:tc>
      </w:tr>
      <w:tr w:rsidR="007960A8" w14:paraId="2728250B" w14:textId="77777777">
        <w:tc>
          <w:tcPr>
            <w:tcW w:w="1419" w:type="dxa"/>
            <w:shd w:val="clear" w:color="auto" w:fill="CCECFF"/>
          </w:tcPr>
          <w:p w14:paraId="5EA7BB67" w14:textId="77777777" w:rsidR="007960A8" w:rsidRDefault="00A26397">
            <w:pPr>
              <w:pBdr>
                <w:top w:val="nil"/>
                <w:left w:val="nil"/>
                <w:bottom w:val="nil"/>
                <w:right w:val="nil"/>
                <w:between w:val="nil"/>
              </w:pBdr>
              <w:spacing w:before="120" w:after="120"/>
              <w:rPr>
                <w:b/>
                <w:bCs/>
              </w:rPr>
            </w:pPr>
            <w:r>
              <w:rPr>
                <w:b/>
                <w:bCs/>
              </w:rPr>
              <w:t>Emp No</w:t>
            </w:r>
          </w:p>
        </w:tc>
        <w:tc>
          <w:tcPr>
            <w:tcW w:w="1984" w:type="dxa"/>
            <w:gridSpan w:val="2"/>
          </w:tcPr>
          <w:p w14:paraId="63CD3795" w14:textId="77777777" w:rsidR="007960A8" w:rsidRDefault="007960A8">
            <w:pPr>
              <w:pBdr>
                <w:top w:val="nil"/>
                <w:left w:val="nil"/>
                <w:bottom w:val="nil"/>
                <w:right w:val="nil"/>
                <w:between w:val="nil"/>
              </w:pBdr>
              <w:spacing w:before="120" w:after="120"/>
            </w:pPr>
          </w:p>
        </w:tc>
        <w:tc>
          <w:tcPr>
            <w:tcW w:w="1701" w:type="dxa"/>
            <w:gridSpan w:val="2"/>
          </w:tcPr>
          <w:p w14:paraId="52DA2ED0" w14:textId="77777777" w:rsidR="007960A8" w:rsidRDefault="007960A8">
            <w:pPr>
              <w:pBdr>
                <w:top w:val="nil"/>
                <w:left w:val="nil"/>
                <w:bottom w:val="nil"/>
                <w:right w:val="nil"/>
                <w:between w:val="nil"/>
              </w:pBdr>
              <w:spacing w:before="120" w:after="120"/>
            </w:pPr>
          </w:p>
        </w:tc>
        <w:tc>
          <w:tcPr>
            <w:tcW w:w="1701" w:type="dxa"/>
          </w:tcPr>
          <w:p w14:paraId="1742B9AE" w14:textId="77777777" w:rsidR="007960A8" w:rsidRDefault="00A26397">
            <w:pPr>
              <w:pBdr>
                <w:top w:val="nil"/>
                <w:left w:val="nil"/>
                <w:bottom w:val="nil"/>
                <w:right w:val="nil"/>
                <w:between w:val="nil"/>
              </w:pBdr>
              <w:spacing w:before="120" w:after="120"/>
            </w:pPr>
            <w:r>
              <w:t xml:space="preserve"> </w:t>
            </w:r>
          </w:p>
        </w:tc>
        <w:tc>
          <w:tcPr>
            <w:tcW w:w="2552" w:type="dxa"/>
            <w:gridSpan w:val="2"/>
          </w:tcPr>
          <w:p w14:paraId="75DA1310" w14:textId="77777777" w:rsidR="007960A8" w:rsidRDefault="00A26397">
            <w:pPr>
              <w:pBdr>
                <w:top w:val="nil"/>
                <w:left w:val="nil"/>
                <w:bottom w:val="nil"/>
                <w:right w:val="nil"/>
                <w:between w:val="nil"/>
              </w:pBdr>
              <w:spacing w:before="120" w:after="120"/>
            </w:pPr>
            <w:r>
              <w:t xml:space="preserve"> </w:t>
            </w:r>
          </w:p>
        </w:tc>
        <w:tc>
          <w:tcPr>
            <w:tcW w:w="4110" w:type="dxa"/>
          </w:tcPr>
          <w:p w14:paraId="4A1A3842" w14:textId="77777777" w:rsidR="007960A8" w:rsidRDefault="00A26397">
            <w:pPr>
              <w:pBdr>
                <w:top w:val="nil"/>
                <w:left w:val="nil"/>
                <w:bottom w:val="nil"/>
                <w:right w:val="nil"/>
                <w:between w:val="nil"/>
              </w:pBdr>
              <w:spacing w:before="120" w:after="120"/>
            </w:pPr>
            <w:r>
              <w:t xml:space="preserve"> </w:t>
            </w:r>
          </w:p>
        </w:tc>
        <w:tc>
          <w:tcPr>
            <w:tcW w:w="2127" w:type="dxa"/>
          </w:tcPr>
          <w:p w14:paraId="6AED2819" w14:textId="77777777" w:rsidR="007960A8" w:rsidRDefault="00A26397">
            <w:pPr>
              <w:pBdr>
                <w:top w:val="nil"/>
                <w:left w:val="nil"/>
                <w:bottom w:val="nil"/>
                <w:right w:val="nil"/>
                <w:between w:val="nil"/>
              </w:pBdr>
              <w:spacing w:before="120" w:after="120"/>
            </w:pPr>
            <w:r>
              <w:t xml:space="preserve"> </w:t>
            </w:r>
          </w:p>
        </w:tc>
      </w:tr>
      <w:tr w:rsidR="007960A8" w14:paraId="38244F25" w14:textId="77777777">
        <w:tc>
          <w:tcPr>
            <w:tcW w:w="1698" w:type="dxa"/>
            <w:gridSpan w:val="2"/>
            <w:tcBorders>
              <w:top w:val="nil"/>
              <w:left w:val="nil"/>
              <w:bottom w:val="single" w:sz="4" w:space="0" w:color="000000"/>
            </w:tcBorders>
          </w:tcPr>
          <w:p w14:paraId="4A21E871" w14:textId="77777777" w:rsidR="007960A8" w:rsidRDefault="007960A8">
            <w:pPr>
              <w:pBdr>
                <w:top w:val="nil"/>
                <w:left w:val="nil"/>
                <w:bottom w:val="nil"/>
                <w:right w:val="nil"/>
                <w:between w:val="nil"/>
              </w:pBdr>
              <w:spacing w:before="120" w:after="120"/>
            </w:pPr>
          </w:p>
        </w:tc>
        <w:tc>
          <w:tcPr>
            <w:tcW w:w="13896" w:type="dxa"/>
            <w:gridSpan w:val="8"/>
            <w:shd w:val="clear" w:color="auto" w:fill="FF99CC"/>
          </w:tcPr>
          <w:p w14:paraId="11DF21E7" w14:textId="77777777" w:rsidR="007960A8" w:rsidRDefault="00A26397">
            <w:pPr>
              <w:pBdr>
                <w:top w:val="nil"/>
                <w:left w:val="nil"/>
                <w:bottom w:val="nil"/>
                <w:right w:val="nil"/>
                <w:between w:val="nil"/>
              </w:pBdr>
              <w:spacing w:before="120" w:after="120"/>
              <w:rPr>
                <w:b/>
                <w:bCs/>
              </w:rPr>
            </w:pPr>
            <w:r>
              <w:rPr>
                <w:b/>
                <w:bCs/>
              </w:rPr>
              <w:t>OTHER</w:t>
            </w:r>
          </w:p>
        </w:tc>
      </w:tr>
      <w:tr w:rsidR="007960A8" w14:paraId="42351151" w14:textId="77777777">
        <w:tc>
          <w:tcPr>
            <w:tcW w:w="1698" w:type="dxa"/>
            <w:gridSpan w:val="2"/>
            <w:shd w:val="clear" w:color="auto" w:fill="CCECFF"/>
          </w:tcPr>
          <w:p w14:paraId="63FD0911" w14:textId="77777777" w:rsidR="007960A8" w:rsidRDefault="00A26397">
            <w:pPr>
              <w:pBdr>
                <w:top w:val="nil"/>
                <w:left w:val="nil"/>
                <w:bottom w:val="nil"/>
                <w:right w:val="nil"/>
                <w:between w:val="nil"/>
              </w:pBdr>
              <w:spacing w:before="120" w:after="120"/>
              <w:rPr>
                <w:b/>
                <w:bCs/>
              </w:rPr>
            </w:pPr>
            <w:r>
              <w:rPr>
                <w:b/>
                <w:bCs/>
              </w:rPr>
              <w:t>Details</w:t>
            </w:r>
          </w:p>
        </w:tc>
        <w:tc>
          <w:tcPr>
            <w:tcW w:w="2617" w:type="dxa"/>
            <w:gridSpan w:val="2"/>
            <w:shd w:val="clear" w:color="auto" w:fill="FF99CC"/>
          </w:tcPr>
          <w:p w14:paraId="7D51CE14" w14:textId="77777777" w:rsidR="007960A8" w:rsidRDefault="00A26397">
            <w:pPr>
              <w:pBdr>
                <w:top w:val="nil"/>
                <w:left w:val="nil"/>
                <w:bottom w:val="nil"/>
                <w:right w:val="nil"/>
                <w:between w:val="nil"/>
              </w:pBdr>
              <w:spacing w:before="120" w:after="120"/>
              <w:rPr>
                <w:b/>
                <w:bCs/>
              </w:rPr>
            </w:pPr>
            <w:r>
              <w:rPr>
                <w:b/>
                <w:bCs/>
              </w:rPr>
              <w:t>Security Check Level</w:t>
            </w:r>
          </w:p>
        </w:tc>
        <w:tc>
          <w:tcPr>
            <w:tcW w:w="2719" w:type="dxa"/>
            <w:gridSpan w:val="3"/>
            <w:shd w:val="clear" w:color="auto" w:fill="FF99CC"/>
          </w:tcPr>
          <w:p w14:paraId="465BCD9A" w14:textId="77777777" w:rsidR="007960A8" w:rsidRDefault="00A26397">
            <w:pPr>
              <w:pBdr>
                <w:top w:val="nil"/>
                <w:left w:val="nil"/>
                <w:bottom w:val="nil"/>
                <w:right w:val="nil"/>
                <w:between w:val="nil"/>
              </w:pBdr>
              <w:spacing w:before="120" w:after="120"/>
              <w:rPr>
                <w:b/>
                <w:bCs/>
              </w:rPr>
            </w:pPr>
            <w:r>
              <w:rPr>
                <w:b/>
                <w:bCs/>
              </w:rPr>
              <w:t>Security Clearance Expiry date</w:t>
            </w:r>
          </w:p>
        </w:tc>
        <w:tc>
          <w:tcPr>
            <w:tcW w:w="8560" w:type="dxa"/>
            <w:gridSpan w:val="3"/>
            <w:shd w:val="clear" w:color="auto" w:fill="FF99CC"/>
          </w:tcPr>
          <w:p w14:paraId="4AEB5BFF" w14:textId="77777777" w:rsidR="007960A8" w:rsidRDefault="00A26397">
            <w:pPr>
              <w:pBdr>
                <w:top w:val="nil"/>
                <w:left w:val="nil"/>
                <w:bottom w:val="nil"/>
                <w:right w:val="nil"/>
                <w:between w:val="nil"/>
              </w:pBdr>
              <w:spacing w:before="120" w:after="120"/>
              <w:rPr>
                <w:b/>
                <w:bCs/>
              </w:rPr>
            </w:pPr>
            <w:r>
              <w:rPr>
                <w:b/>
                <w:bCs/>
              </w:rPr>
              <w:t>Additional info or comments</w:t>
            </w:r>
          </w:p>
        </w:tc>
      </w:tr>
      <w:tr w:rsidR="007960A8" w14:paraId="17172B82" w14:textId="77777777">
        <w:tc>
          <w:tcPr>
            <w:tcW w:w="1698" w:type="dxa"/>
            <w:gridSpan w:val="2"/>
            <w:shd w:val="clear" w:color="auto" w:fill="CCECFF"/>
          </w:tcPr>
          <w:p w14:paraId="08E61570" w14:textId="77777777" w:rsidR="007960A8" w:rsidRDefault="00A26397">
            <w:pPr>
              <w:pBdr>
                <w:top w:val="nil"/>
                <w:left w:val="nil"/>
                <w:bottom w:val="nil"/>
                <w:right w:val="nil"/>
                <w:between w:val="nil"/>
              </w:pBdr>
              <w:spacing w:before="120" w:after="120"/>
              <w:rPr>
                <w:b/>
                <w:bCs/>
              </w:rPr>
            </w:pPr>
            <w:r>
              <w:rPr>
                <w:b/>
                <w:bCs/>
              </w:rPr>
              <w:t>Emp No 1</w:t>
            </w:r>
          </w:p>
        </w:tc>
        <w:tc>
          <w:tcPr>
            <w:tcW w:w="2617" w:type="dxa"/>
            <w:gridSpan w:val="2"/>
          </w:tcPr>
          <w:p w14:paraId="7DD12853" w14:textId="77777777" w:rsidR="007960A8" w:rsidRDefault="007960A8">
            <w:pPr>
              <w:pBdr>
                <w:top w:val="nil"/>
                <w:left w:val="nil"/>
                <w:bottom w:val="nil"/>
                <w:right w:val="nil"/>
                <w:between w:val="nil"/>
              </w:pBdr>
              <w:spacing w:before="120" w:after="120"/>
            </w:pPr>
          </w:p>
        </w:tc>
        <w:tc>
          <w:tcPr>
            <w:tcW w:w="2719" w:type="dxa"/>
            <w:gridSpan w:val="3"/>
          </w:tcPr>
          <w:p w14:paraId="5C04F2A9" w14:textId="77777777" w:rsidR="007960A8" w:rsidRDefault="007960A8">
            <w:pPr>
              <w:pBdr>
                <w:top w:val="nil"/>
                <w:left w:val="nil"/>
                <w:bottom w:val="nil"/>
                <w:right w:val="nil"/>
                <w:between w:val="nil"/>
              </w:pBdr>
              <w:spacing w:before="120" w:after="120"/>
            </w:pPr>
          </w:p>
        </w:tc>
        <w:tc>
          <w:tcPr>
            <w:tcW w:w="8560" w:type="dxa"/>
            <w:gridSpan w:val="3"/>
          </w:tcPr>
          <w:p w14:paraId="44DE16A2" w14:textId="77777777" w:rsidR="007960A8" w:rsidRDefault="007960A8">
            <w:pPr>
              <w:pBdr>
                <w:top w:val="nil"/>
                <w:left w:val="nil"/>
                <w:bottom w:val="nil"/>
                <w:right w:val="nil"/>
                <w:between w:val="nil"/>
              </w:pBdr>
              <w:spacing w:before="120" w:after="120"/>
            </w:pPr>
          </w:p>
        </w:tc>
      </w:tr>
      <w:tr w:rsidR="007960A8" w14:paraId="61EA0BDE" w14:textId="77777777">
        <w:tc>
          <w:tcPr>
            <w:tcW w:w="1698" w:type="dxa"/>
            <w:gridSpan w:val="2"/>
            <w:shd w:val="clear" w:color="auto" w:fill="CCECFF"/>
          </w:tcPr>
          <w:p w14:paraId="6EECC7DB" w14:textId="77777777" w:rsidR="007960A8" w:rsidRDefault="00A26397">
            <w:pPr>
              <w:pBdr>
                <w:top w:val="nil"/>
                <w:left w:val="nil"/>
                <w:bottom w:val="nil"/>
                <w:right w:val="nil"/>
                <w:between w:val="nil"/>
              </w:pBdr>
              <w:spacing w:before="120" w:after="120"/>
              <w:rPr>
                <w:b/>
                <w:bCs/>
              </w:rPr>
            </w:pPr>
            <w:r>
              <w:rPr>
                <w:b/>
                <w:bCs/>
              </w:rPr>
              <w:t>Emp No 2</w:t>
            </w:r>
          </w:p>
        </w:tc>
        <w:tc>
          <w:tcPr>
            <w:tcW w:w="2617" w:type="dxa"/>
            <w:gridSpan w:val="2"/>
          </w:tcPr>
          <w:p w14:paraId="0CBC0E27" w14:textId="77777777" w:rsidR="007960A8" w:rsidRDefault="007960A8">
            <w:pPr>
              <w:pBdr>
                <w:top w:val="nil"/>
                <w:left w:val="nil"/>
                <w:bottom w:val="nil"/>
                <w:right w:val="nil"/>
                <w:between w:val="nil"/>
              </w:pBdr>
              <w:spacing w:before="120" w:after="120"/>
            </w:pPr>
          </w:p>
        </w:tc>
        <w:tc>
          <w:tcPr>
            <w:tcW w:w="2719" w:type="dxa"/>
            <w:gridSpan w:val="3"/>
          </w:tcPr>
          <w:p w14:paraId="2577AFBB" w14:textId="77777777" w:rsidR="007960A8" w:rsidRDefault="007960A8">
            <w:pPr>
              <w:pBdr>
                <w:top w:val="nil"/>
                <w:left w:val="nil"/>
                <w:bottom w:val="nil"/>
                <w:right w:val="nil"/>
                <w:between w:val="nil"/>
              </w:pBdr>
              <w:spacing w:before="120" w:after="120"/>
            </w:pPr>
          </w:p>
        </w:tc>
        <w:tc>
          <w:tcPr>
            <w:tcW w:w="8560" w:type="dxa"/>
            <w:gridSpan w:val="3"/>
          </w:tcPr>
          <w:p w14:paraId="7B9D704C" w14:textId="77777777" w:rsidR="007960A8" w:rsidRDefault="007960A8">
            <w:pPr>
              <w:pBdr>
                <w:top w:val="nil"/>
                <w:left w:val="nil"/>
                <w:bottom w:val="nil"/>
                <w:right w:val="nil"/>
                <w:between w:val="nil"/>
              </w:pBdr>
              <w:spacing w:before="120" w:after="120"/>
            </w:pPr>
          </w:p>
        </w:tc>
      </w:tr>
      <w:tr w:rsidR="007960A8" w14:paraId="3D462FDB" w14:textId="77777777">
        <w:tc>
          <w:tcPr>
            <w:tcW w:w="1698" w:type="dxa"/>
            <w:gridSpan w:val="2"/>
            <w:shd w:val="clear" w:color="auto" w:fill="CCECFF"/>
          </w:tcPr>
          <w:p w14:paraId="6AD63204" w14:textId="77777777" w:rsidR="007960A8" w:rsidRDefault="00A26397">
            <w:pPr>
              <w:pBdr>
                <w:top w:val="nil"/>
                <w:left w:val="nil"/>
                <w:bottom w:val="nil"/>
                <w:right w:val="nil"/>
                <w:between w:val="nil"/>
              </w:pBdr>
              <w:spacing w:before="120" w:after="120"/>
              <w:rPr>
                <w:b/>
                <w:bCs/>
              </w:rPr>
            </w:pPr>
            <w:r>
              <w:rPr>
                <w:b/>
                <w:bCs/>
              </w:rPr>
              <w:t>Emp No</w:t>
            </w:r>
          </w:p>
        </w:tc>
        <w:tc>
          <w:tcPr>
            <w:tcW w:w="2617" w:type="dxa"/>
            <w:gridSpan w:val="2"/>
          </w:tcPr>
          <w:p w14:paraId="3649B2A6" w14:textId="77777777" w:rsidR="007960A8" w:rsidRDefault="007960A8">
            <w:pPr>
              <w:pBdr>
                <w:top w:val="nil"/>
                <w:left w:val="nil"/>
                <w:bottom w:val="nil"/>
                <w:right w:val="nil"/>
                <w:between w:val="nil"/>
              </w:pBdr>
              <w:spacing w:before="120" w:after="120"/>
            </w:pPr>
          </w:p>
        </w:tc>
        <w:tc>
          <w:tcPr>
            <w:tcW w:w="2719" w:type="dxa"/>
            <w:gridSpan w:val="3"/>
          </w:tcPr>
          <w:p w14:paraId="4457530F" w14:textId="77777777" w:rsidR="007960A8" w:rsidRDefault="007960A8">
            <w:pPr>
              <w:pBdr>
                <w:top w:val="nil"/>
                <w:left w:val="nil"/>
                <w:bottom w:val="nil"/>
                <w:right w:val="nil"/>
                <w:between w:val="nil"/>
              </w:pBdr>
              <w:spacing w:before="120" w:after="120"/>
            </w:pPr>
          </w:p>
        </w:tc>
        <w:tc>
          <w:tcPr>
            <w:tcW w:w="8560" w:type="dxa"/>
            <w:gridSpan w:val="3"/>
          </w:tcPr>
          <w:p w14:paraId="651A4E99" w14:textId="77777777" w:rsidR="007960A8" w:rsidRDefault="007960A8">
            <w:pPr>
              <w:pBdr>
                <w:top w:val="nil"/>
                <w:left w:val="nil"/>
                <w:bottom w:val="nil"/>
                <w:right w:val="nil"/>
                <w:between w:val="nil"/>
              </w:pBdr>
              <w:spacing w:before="120" w:after="120"/>
            </w:pPr>
          </w:p>
        </w:tc>
      </w:tr>
      <w:tr w:rsidR="007960A8" w14:paraId="128CCCFA" w14:textId="77777777">
        <w:tc>
          <w:tcPr>
            <w:tcW w:w="1698" w:type="dxa"/>
            <w:gridSpan w:val="2"/>
            <w:shd w:val="clear" w:color="auto" w:fill="CCECFF"/>
          </w:tcPr>
          <w:p w14:paraId="48A6AA18" w14:textId="77777777" w:rsidR="007960A8" w:rsidRDefault="00A26397">
            <w:pPr>
              <w:pBdr>
                <w:top w:val="nil"/>
                <w:left w:val="nil"/>
                <w:bottom w:val="nil"/>
                <w:right w:val="nil"/>
                <w:between w:val="nil"/>
              </w:pBdr>
              <w:spacing w:before="120" w:after="120"/>
              <w:rPr>
                <w:b/>
                <w:bCs/>
              </w:rPr>
            </w:pPr>
            <w:r>
              <w:rPr>
                <w:b/>
                <w:bCs/>
              </w:rPr>
              <w:t>Emp No</w:t>
            </w:r>
          </w:p>
        </w:tc>
        <w:tc>
          <w:tcPr>
            <w:tcW w:w="2617" w:type="dxa"/>
            <w:gridSpan w:val="2"/>
          </w:tcPr>
          <w:p w14:paraId="3CD823C6" w14:textId="77777777" w:rsidR="007960A8" w:rsidRDefault="007960A8">
            <w:pPr>
              <w:pBdr>
                <w:top w:val="nil"/>
                <w:left w:val="nil"/>
                <w:bottom w:val="nil"/>
                <w:right w:val="nil"/>
                <w:between w:val="nil"/>
              </w:pBdr>
              <w:spacing w:before="120" w:after="120"/>
            </w:pPr>
          </w:p>
        </w:tc>
        <w:tc>
          <w:tcPr>
            <w:tcW w:w="2719" w:type="dxa"/>
            <w:gridSpan w:val="3"/>
          </w:tcPr>
          <w:p w14:paraId="4AE14097" w14:textId="77777777" w:rsidR="007960A8" w:rsidRDefault="007960A8">
            <w:pPr>
              <w:pBdr>
                <w:top w:val="nil"/>
                <w:left w:val="nil"/>
                <w:bottom w:val="nil"/>
                <w:right w:val="nil"/>
                <w:between w:val="nil"/>
              </w:pBdr>
              <w:spacing w:before="120" w:after="120"/>
            </w:pPr>
          </w:p>
        </w:tc>
        <w:tc>
          <w:tcPr>
            <w:tcW w:w="8560" w:type="dxa"/>
            <w:gridSpan w:val="3"/>
          </w:tcPr>
          <w:p w14:paraId="3E77BCA5" w14:textId="77777777" w:rsidR="007960A8" w:rsidRDefault="007960A8">
            <w:pPr>
              <w:pBdr>
                <w:top w:val="nil"/>
                <w:left w:val="nil"/>
                <w:bottom w:val="nil"/>
                <w:right w:val="nil"/>
                <w:between w:val="nil"/>
              </w:pBdr>
              <w:spacing w:before="120" w:after="120"/>
            </w:pPr>
          </w:p>
        </w:tc>
      </w:tr>
      <w:tr w:rsidR="007960A8" w14:paraId="63CA67A4" w14:textId="77777777">
        <w:tc>
          <w:tcPr>
            <w:tcW w:w="1698" w:type="dxa"/>
            <w:gridSpan w:val="2"/>
            <w:shd w:val="clear" w:color="auto" w:fill="CCECFF"/>
          </w:tcPr>
          <w:p w14:paraId="3EA04DCA" w14:textId="77777777" w:rsidR="007960A8" w:rsidRDefault="00A26397">
            <w:pPr>
              <w:pBdr>
                <w:top w:val="nil"/>
                <w:left w:val="nil"/>
                <w:bottom w:val="nil"/>
                <w:right w:val="nil"/>
                <w:between w:val="nil"/>
              </w:pBdr>
              <w:spacing w:before="120" w:after="120"/>
              <w:rPr>
                <w:b/>
                <w:bCs/>
              </w:rPr>
            </w:pPr>
            <w:r>
              <w:rPr>
                <w:b/>
                <w:bCs/>
              </w:rPr>
              <w:t>Emp No</w:t>
            </w:r>
          </w:p>
        </w:tc>
        <w:tc>
          <w:tcPr>
            <w:tcW w:w="2617" w:type="dxa"/>
            <w:gridSpan w:val="2"/>
          </w:tcPr>
          <w:p w14:paraId="26D5165A" w14:textId="77777777" w:rsidR="007960A8" w:rsidRDefault="007960A8">
            <w:pPr>
              <w:pBdr>
                <w:top w:val="nil"/>
                <w:left w:val="nil"/>
                <w:bottom w:val="nil"/>
                <w:right w:val="nil"/>
                <w:between w:val="nil"/>
              </w:pBdr>
              <w:spacing w:before="120" w:after="120"/>
            </w:pPr>
          </w:p>
        </w:tc>
        <w:tc>
          <w:tcPr>
            <w:tcW w:w="2719" w:type="dxa"/>
            <w:gridSpan w:val="3"/>
          </w:tcPr>
          <w:p w14:paraId="57C7379C" w14:textId="77777777" w:rsidR="007960A8" w:rsidRDefault="007960A8">
            <w:pPr>
              <w:pBdr>
                <w:top w:val="nil"/>
                <w:left w:val="nil"/>
                <w:bottom w:val="nil"/>
                <w:right w:val="nil"/>
                <w:between w:val="nil"/>
              </w:pBdr>
              <w:spacing w:before="120" w:after="120"/>
            </w:pPr>
          </w:p>
        </w:tc>
        <w:tc>
          <w:tcPr>
            <w:tcW w:w="8560" w:type="dxa"/>
            <w:gridSpan w:val="3"/>
          </w:tcPr>
          <w:p w14:paraId="10AD4F5D" w14:textId="77777777" w:rsidR="007960A8" w:rsidRDefault="007960A8">
            <w:pPr>
              <w:pBdr>
                <w:top w:val="nil"/>
                <w:left w:val="nil"/>
                <w:bottom w:val="nil"/>
                <w:right w:val="nil"/>
                <w:between w:val="nil"/>
              </w:pBdr>
              <w:spacing w:before="120" w:after="120"/>
            </w:pPr>
          </w:p>
        </w:tc>
      </w:tr>
      <w:tr w:rsidR="007960A8" w14:paraId="183DA754" w14:textId="77777777">
        <w:tc>
          <w:tcPr>
            <w:tcW w:w="1698" w:type="dxa"/>
            <w:gridSpan w:val="2"/>
            <w:shd w:val="clear" w:color="auto" w:fill="CCECFF"/>
          </w:tcPr>
          <w:p w14:paraId="66F6FC02" w14:textId="77777777" w:rsidR="007960A8" w:rsidRDefault="00A26397">
            <w:pPr>
              <w:pBdr>
                <w:top w:val="nil"/>
                <w:left w:val="nil"/>
                <w:bottom w:val="nil"/>
                <w:right w:val="nil"/>
                <w:between w:val="nil"/>
              </w:pBdr>
              <w:spacing w:before="120" w:after="120"/>
              <w:rPr>
                <w:b/>
                <w:bCs/>
              </w:rPr>
            </w:pPr>
            <w:r>
              <w:rPr>
                <w:b/>
                <w:bCs/>
              </w:rPr>
              <w:t>Emp No</w:t>
            </w:r>
          </w:p>
        </w:tc>
        <w:tc>
          <w:tcPr>
            <w:tcW w:w="2617" w:type="dxa"/>
            <w:gridSpan w:val="2"/>
          </w:tcPr>
          <w:p w14:paraId="2C2EB51D" w14:textId="77777777" w:rsidR="007960A8" w:rsidRDefault="007960A8">
            <w:pPr>
              <w:pBdr>
                <w:top w:val="nil"/>
                <w:left w:val="nil"/>
                <w:bottom w:val="nil"/>
                <w:right w:val="nil"/>
                <w:between w:val="nil"/>
              </w:pBdr>
              <w:spacing w:before="120" w:after="120"/>
            </w:pPr>
          </w:p>
        </w:tc>
        <w:tc>
          <w:tcPr>
            <w:tcW w:w="2719" w:type="dxa"/>
            <w:gridSpan w:val="3"/>
          </w:tcPr>
          <w:p w14:paraId="16E6F1F4" w14:textId="77777777" w:rsidR="007960A8" w:rsidRDefault="007960A8">
            <w:pPr>
              <w:pBdr>
                <w:top w:val="nil"/>
                <w:left w:val="nil"/>
                <w:bottom w:val="nil"/>
                <w:right w:val="nil"/>
                <w:between w:val="nil"/>
              </w:pBdr>
              <w:spacing w:before="120" w:after="120"/>
            </w:pPr>
          </w:p>
        </w:tc>
        <w:tc>
          <w:tcPr>
            <w:tcW w:w="8560" w:type="dxa"/>
            <w:gridSpan w:val="3"/>
          </w:tcPr>
          <w:p w14:paraId="34DCDE01" w14:textId="77777777" w:rsidR="007960A8" w:rsidRDefault="007960A8">
            <w:pPr>
              <w:pBdr>
                <w:top w:val="nil"/>
                <w:left w:val="nil"/>
                <w:bottom w:val="nil"/>
                <w:right w:val="nil"/>
                <w:between w:val="nil"/>
              </w:pBdr>
              <w:spacing w:before="120" w:after="120"/>
            </w:pPr>
          </w:p>
        </w:tc>
      </w:tr>
      <w:tr w:rsidR="007960A8" w14:paraId="7DD2EEBD" w14:textId="77777777">
        <w:tc>
          <w:tcPr>
            <w:tcW w:w="1698" w:type="dxa"/>
            <w:gridSpan w:val="2"/>
            <w:shd w:val="clear" w:color="auto" w:fill="CCECFF"/>
          </w:tcPr>
          <w:p w14:paraId="104908A0" w14:textId="77777777" w:rsidR="007960A8" w:rsidRDefault="00A26397">
            <w:pPr>
              <w:pBdr>
                <w:top w:val="nil"/>
                <w:left w:val="nil"/>
                <w:bottom w:val="nil"/>
                <w:right w:val="nil"/>
                <w:between w:val="nil"/>
              </w:pBdr>
              <w:spacing w:before="120" w:after="120"/>
              <w:rPr>
                <w:b/>
                <w:bCs/>
              </w:rPr>
            </w:pPr>
            <w:r>
              <w:rPr>
                <w:b/>
                <w:bCs/>
              </w:rPr>
              <w:t>Emp No</w:t>
            </w:r>
          </w:p>
        </w:tc>
        <w:tc>
          <w:tcPr>
            <w:tcW w:w="2617" w:type="dxa"/>
            <w:gridSpan w:val="2"/>
          </w:tcPr>
          <w:p w14:paraId="5CDCA40F" w14:textId="77777777" w:rsidR="007960A8" w:rsidRDefault="007960A8">
            <w:pPr>
              <w:pBdr>
                <w:top w:val="nil"/>
                <w:left w:val="nil"/>
                <w:bottom w:val="nil"/>
                <w:right w:val="nil"/>
                <w:between w:val="nil"/>
              </w:pBdr>
              <w:spacing w:before="120" w:after="120"/>
            </w:pPr>
          </w:p>
        </w:tc>
        <w:tc>
          <w:tcPr>
            <w:tcW w:w="2719" w:type="dxa"/>
            <w:gridSpan w:val="3"/>
          </w:tcPr>
          <w:p w14:paraId="178ECDA9" w14:textId="77777777" w:rsidR="007960A8" w:rsidRDefault="007960A8">
            <w:pPr>
              <w:pBdr>
                <w:top w:val="nil"/>
                <w:left w:val="nil"/>
                <w:bottom w:val="nil"/>
                <w:right w:val="nil"/>
                <w:between w:val="nil"/>
              </w:pBdr>
              <w:spacing w:before="120" w:after="120"/>
            </w:pPr>
          </w:p>
        </w:tc>
        <w:tc>
          <w:tcPr>
            <w:tcW w:w="8560" w:type="dxa"/>
            <w:gridSpan w:val="3"/>
          </w:tcPr>
          <w:p w14:paraId="5C7489AF" w14:textId="77777777" w:rsidR="007960A8" w:rsidRDefault="007960A8">
            <w:pPr>
              <w:pBdr>
                <w:top w:val="nil"/>
                <w:left w:val="nil"/>
                <w:bottom w:val="nil"/>
                <w:right w:val="nil"/>
                <w:between w:val="nil"/>
              </w:pBdr>
              <w:spacing w:before="120" w:after="120"/>
            </w:pPr>
          </w:p>
        </w:tc>
      </w:tr>
    </w:tbl>
    <w:p w14:paraId="201DC5A5" w14:textId="77777777" w:rsidR="007960A8" w:rsidRDefault="007960A8">
      <w:pPr>
        <w:spacing w:before="120" w:after="120"/>
        <w:rPr>
          <w:b/>
          <w:bCs/>
        </w:rPr>
      </w:pPr>
    </w:p>
    <w:p w14:paraId="3133FD85" w14:textId="77777777" w:rsidR="007960A8" w:rsidRDefault="00A26397">
      <w:pPr>
        <w:widowControl/>
        <w:spacing w:after="160" w:line="259" w:lineRule="auto"/>
        <w:rPr>
          <w:b/>
          <w:bCs/>
        </w:rPr>
        <w:sectPr w:rsidR="007960A8">
          <w:pgSz w:w="16840" w:h="11910" w:orient="landscape"/>
          <w:pgMar w:top="1220" w:right="2080" w:bottom="1220" w:left="1200" w:header="838" w:footer="1000" w:gutter="0"/>
          <w:cols w:space="720"/>
        </w:sectPr>
      </w:pPr>
      <w:r>
        <w:br w:type="page"/>
      </w:r>
    </w:p>
    <w:p w14:paraId="3291A219" w14:textId="77777777" w:rsidR="007960A8" w:rsidRDefault="00A26397">
      <w:pPr>
        <w:spacing w:after="240" w:line="276" w:lineRule="auto"/>
        <w:rPr>
          <w:b/>
          <w:bCs/>
          <w:sz w:val="28"/>
          <w:szCs w:val="28"/>
        </w:rPr>
      </w:pPr>
      <w:r>
        <w:rPr>
          <w:b/>
          <w:bCs/>
          <w:sz w:val="28"/>
          <w:szCs w:val="28"/>
        </w:rPr>
        <w:t>Schedule [Guidance: insert schedule ref here] Intellectual Property Rights</w:t>
      </w:r>
    </w:p>
    <w:p w14:paraId="18045733" w14:textId="77777777" w:rsidR="007960A8" w:rsidRDefault="00A26397">
      <w:pPr>
        <w:spacing w:after="240" w:line="276" w:lineRule="auto"/>
        <w:rPr>
          <w:b/>
          <w:bCs/>
          <w:i/>
          <w:iCs/>
          <w:highlight w:val="yellow"/>
        </w:rPr>
      </w:pPr>
      <w:r>
        <w:rPr>
          <w:b/>
          <w:bCs/>
          <w:i/>
          <w:iCs/>
          <w:highlight w:val="yellow"/>
        </w:rPr>
        <w:t>[Guidance: This schedule provides a number of options in respect of intellectual property rights depending upon the nature of the services.  The unused options should be deleted. Pa</w:t>
      </w:r>
      <w:r>
        <w:rPr>
          <w:b/>
          <w:bCs/>
          <w:i/>
          <w:iCs/>
          <w:highlight w:val="yellow"/>
        </w:rPr>
        <w:t xml:space="preserve">rt A contains a number of options that can apply when ICT Services form part of the Services, and Part B sets out the options that can apply when ICT Services do not form part of the Services Each IPR Option is self-contained and as such, there will be no </w:t>
      </w:r>
      <w:r>
        <w:rPr>
          <w:b/>
          <w:bCs/>
          <w:i/>
          <w:iCs/>
          <w:highlight w:val="yellow"/>
        </w:rPr>
        <w:t xml:space="preserve">other impact throughout the contract drafting. Delete this guidance once actioned] </w:t>
      </w:r>
    </w:p>
    <w:p w14:paraId="79920941" w14:textId="77777777" w:rsidR="007960A8" w:rsidRDefault="00A26397">
      <w:pPr>
        <w:spacing w:after="240" w:line="276" w:lineRule="auto"/>
        <w:rPr>
          <w:b/>
          <w:bCs/>
          <w:i/>
          <w:iCs/>
          <w:highlight w:val="yellow"/>
        </w:rPr>
      </w:pPr>
      <w:r>
        <w:rPr>
          <w:b/>
          <w:bCs/>
          <w:i/>
          <w:iCs/>
          <w:highlight w:val="yellow"/>
        </w:rPr>
        <w:t>[Part A: Intellectual Property Rights – No ICT Services]</w:t>
      </w:r>
    </w:p>
    <w:p w14:paraId="7279F89F" w14:textId="77777777" w:rsidR="007960A8" w:rsidRDefault="00A26397">
      <w:pPr>
        <w:spacing w:after="240" w:line="276" w:lineRule="auto"/>
        <w:rPr>
          <w:b/>
          <w:bCs/>
          <w:i/>
          <w:iCs/>
          <w:highlight w:val="yellow"/>
        </w:rPr>
      </w:pPr>
      <w:r>
        <w:rPr>
          <w:b/>
          <w:bCs/>
          <w:i/>
          <w:iCs/>
          <w:highlight w:val="yellow"/>
        </w:rPr>
        <w:t>[Guidance note: this Part A of the Schedule on Intellectual Property Rights (IPRs) should be amended depending on h</w:t>
      </w:r>
      <w:r>
        <w:rPr>
          <w:b/>
          <w:bCs/>
          <w:i/>
          <w:iCs/>
          <w:highlight w:val="yellow"/>
        </w:rPr>
        <w:t xml:space="preserve">ow you need to arrange ownership and licensing of all New IPR created for or pursuant to the contract. There are 4 suggested IPR Options available under Part A.  </w:t>
      </w:r>
    </w:p>
    <w:p w14:paraId="4C43EF43" w14:textId="77777777" w:rsidR="007960A8" w:rsidRDefault="00A26397">
      <w:pPr>
        <w:spacing w:after="240" w:line="276" w:lineRule="auto"/>
        <w:ind w:left="720" w:hanging="720"/>
        <w:rPr>
          <w:b/>
          <w:bCs/>
          <w:i/>
          <w:iCs/>
          <w:highlight w:val="yellow"/>
        </w:rPr>
      </w:pPr>
      <w:r>
        <w:rPr>
          <w:b/>
          <w:bCs/>
          <w:i/>
          <w:iCs/>
          <w:highlight w:val="yellow"/>
        </w:rPr>
        <w:t>●</w:t>
      </w:r>
      <w:r>
        <w:rPr>
          <w:b/>
          <w:bCs/>
          <w:i/>
          <w:iCs/>
          <w:highlight w:val="yellow"/>
        </w:rPr>
        <w:tab/>
        <w:t xml:space="preserve">IPR Option A1: Client owns all New IPR with limited Service Provider rights to all New IPR </w:t>
      </w:r>
      <w:r>
        <w:rPr>
          <w:b/>
          <w:bCs/>
          <w:i/>
          <w:iCs/>
          <w:highlight w:val="yellow"/>
        </w:rPr>
        <w:t xml:space="preserve">in order to deliver the Services; </w:t>
      </w:r>
    </w:p>
    <w:p w14:paraId="653EAEC9" w14:textId="77777777" w:rsidR="007960A8" w:rsidRDefault="00A26397">
      <w:pPr>
        <w:spacing w:after="240" w:line="276" w:lineRule="auto"/>
        <w:rPr>
          <w:b/>
          <w:bCs/>
          <w:i/>
          <w:iCs/>
          <w:highlight w:val="yellow"/>
        </w:rPr>
      </w:pPr>
      <w:r>
        <w:rPr>
          <w:b/>
          <w:bCs/>
          <w:i/>
          <w:iCs/>
          <w:highlight w:val="yellow"/>
        </w:rPr>
        <w:t>●</w:t>
      </w:r>
      <w:r>
        <w:rPr>
          <w:b/>
          <w:bCs/>
          <w:i/>
          <w:iCs/>
          <w:highlight w:val="yellow"/>
        </w:rPr>
        <w:tab/>
        <w:t xml:space="preserve">IPR Option A2: Client ownership of all New IPR with non-exclusive Service Provider rights; </w:t>
      </w:r>
    </w:p>
    <w:p w14:paraId="30C43FDE" w14:textId="77777777" w:rsidR="007960A8" w:rsidRDefault="00A26397">
      <w:pPr>
        <w:spacing w:after="240" w:line="276" w:lineRule="auto"/>
        <w:ind w:left="720" w:hanging="720"/>
        <w:rPr>
          <w:b/>
          <w:bCs/>
          <w:i/>
          <w:iCs/>
          <w:highlight w:val="yellow"/>
        </w:rPr>
      </w:pPr>
      <w:r>
        <w:rPr>
          <w:b/>
          <w:bCs/>
          <w:i/>
          <w:iCs/>
          <w:highlight w:val="yellow"/>
        </w:rPr>
        <w:t>●</w:t>
      </w:r>
      <w:r>
        <w:rPr>
          <w:b/>
          <w:bCs/>
          <w:i/>
          <w:iCs/>
          <w:highlight w:val="yellow"/>
        </w:rPr>
        <w:tab/>
      </w:r>
      <w:r>
        <w:rPr>
          <w:b/>
          <w:bCs/>
          <w:i/>
          <w:iCs/>
          <w:highlight w:val="yellow"/>
        </w:rPr>
        <w:t xml:space="preserve">IPR Option A3: Service Provider ownership of all New IPR with Client rights for the current contract only; </w:t>
      </w:r>
    </w:p>
    <w:p w14:paraId="73D3023C" w14:textId="77777777" w:rsidR="007960A8" w:rsidRDefault="00A26397">
      <w:pPr>
        <w:spacing w:after="240" w:line="276" w:lineRule="auto"/>
        <w:ind w:left="720" w:hanging="720"/>
        <w:rPr>
          <w:b/>
          <w:bCs/>
          <w:i/>
          <w:iCs/>
          <w:highlight w:val="yellow"/>
        </w:rPr>
      </w:pPr>
      <w:r>
        <w:rPr>
          <w:b/>
          <w:bCs/>
          <w:i/>
          <w:iCs/>
          <w:highlight w:val="yellow"/>
        </w:rPr>
        <w:t>●</w:t>
      </w:r>
      <w:r>
        <w:rPr>
          <w:b/>
          <w:bCs/>
          <w:i/>
          <w:iCs/>
          <w:highlight w:val="yellow"/>
        </w:rPr>
        <w:tab/>
        <w:t>IPR Option A4: Service Provider ownership of New IPR with Client rights for the current contract and broader public sector functions; and</w:t>
      </w:r>
    </w:p>
    <w:p w14:paraId="0109A8CB" w14:textId="77777777" w:rsidR="007960A8" w:rsidRDefault="00A26397">
      <w:pPr>
        <w:spacing w:after="240" w:line="276" w:lineRule="auto"/>
        <w:rPr>
          <w:b/>
          <w:bCs/>
          <w:i/>
          <w:iCs/>
          <w:highlight w:val="yellow"/>
        </w:rPr>
      </w:pPr>
      <w:r>
        <w:rPr>
          <w:b/>
          <w:bCs/>
          <w:i/>
          <w:iCs/>
          <w:highlight w:val="yellow"/>
        </w:rPr>
        <w:t>IPR Option A1 should be considered for use in situations where the Client should retain ownership of any New IPR. In this situation, the Client will not look to publish the New IPR under Open Licence.</w:t>
      </w:r>
    </w:p>
    <w:p w14:paraId="6A9D23EC" w14:textId="77777777" w:rsidR="007960A8" w:rsidRDefault="00A26397">
      <w:pPr>
        <w:spacing w:after="240" w:line="276" w:lineRule="auto"/>
        <w:rPr>
          <w:b/>
          <w:bCs/>
          <w:i/>
          <w:iCs/>
          <w:highlight w:val="yellow"/>
        </w:rPr>
      </w:pPr>
      <w:r>
        <w:rPr>
          <w:b/>
          <w:bCs/>
          <w:i/>
          <w:iCs/>
          <w:highlight w:val="yellow"/>
        </w:rPr>
        <w:t>IPR Option A2 should be considered for use in situation</w:t>
      </w:r>
      <w:r>
        <w:rPr>
          <w:b/>
          <w:bCs/>
          <w:i/>
          <w:iCs/>
          <w:highlight w:val="yellow"/>
        </w:rPr>
        <w:t>s where the Client should retain ownership of any New IPR but where the Service Provider should be able to use any New IPR developed, subject to Client approval. In this situation, the Client will not look to publish the New IPR under Open Licence.</w:t>
      </w:r>
    </w:p>
    <w:p w14:paraId="29780D12" w14:textId="77777777" w:rsidR="007960A8" w:rsidRDefault="00A26397">
      <w:pPr>
        <w:spacing w:after="240" w:line="276" w:lineRule="auto"/>
        <w:rPr>
          <w:b/>
          <w:bCs/>
          <w:i/>
          <w:iCs/>
          <w:highlight w:val="yellow"/>
        </w:rPr>
      </w:pPr>
      <w:r>
        <w:rPr>
          <w:b/>
          <w:bCs/>
          <w:i/>
          <w:iCs/>
          <w:highlight w:val="yellow"/>
        </w:rPr>
        <w:t>IPR Opt</w:t>
      </w:r>
      <w:r>
        <w:rPr>
          <w:b/>
          <w:bCs/>
          <w:i/>
          <w:iCs/>
          <w:highlight w:val="yellow"/>
        </w:rPr>
        <w:t>ion A3 should be considered for use where (a) there is no clear benefit in the Client owning the New IPR, or (b) where any New IPR created cannot easily be separated from the Service Provider Existing IPR (e.g. Software As A Service (SAAS)), but where a li</w:t>
      </w:r>
      <w:r>
        <w:rPr>
          <w:b/>
          <w:bCs/>
          <w:i/>
          <w:iCs/>
          <w:highlight w:val="yellow"/>
        </w:rPr>
        <w:t xml:space="preserve">cence is only needed for the current contracted Services and the IPR in question will not be needed for other services. </w:t>
      </w:r>
    </w:p>
    <w:p w14:paraId="7D9A45E6" w14:textId="77777777" w:rsidR="007960A8" w:rsidRDefault="00A26397">
      <w:pPr>
        <w:spacing w:after="240" w:line="276" w:lineRule="auto"/>
        <w:rPr>
          <w:b/>
          <w:bCs/>
          <w:i/>
          <w:iCs/>
          <w:highlight w:val="yellow"/>
        </w:rPr>
      </w:pPr>
      <w:r>
        <w:rPr>
          <w:b/>
          <w:bCs/>
          <w:i/>
          <w:iCs/>
          <w:highlight w:val="yellow"/>
        </w:rPr>
        <w:t>IPR Option A4 is similar to IPR Option A3, except it should be used where the licence to the Client for the IPR in question should exte</w:t>
      </w:r>
      <w:r>
        <w:rPr>
          <w:b/>
          <w:bCs/>
          <w:i/>
          <w:iCs/>
          <w:highlight w:val="yellow"/>
        </w:rPr>
        <w:t>nd to cover other contracts and services, which may include contracts and services not yet awarded, and broader public sector functions.</w:t>
      </w:r>
    </w:p>
    <w:p w14:paraId="22788B02" w14:textId="77777777" w:rsidR="007960A8" w:rsidRDefault="00A26397">
      <w:pPr>
        <w:spacing w:after="240" w:line="276" w:lineRule="auto"/>
        <w:rPr>
          <w:b/>
          <w:bCs/>
          <w:i/>
          <w:iCs/>
          <w:highlight w:val="yellow"/>
        </w:rPr>
      </w:pPr>
      <w:r>
        <w:rPr>
          <w:b/>
          <w:bCs/>
          <w:i/>
          <w:iCs/>
          <w:highlight w:val="yellow"/>
        </w:rPr>
        <w:t xml:space="preserve">When publishing as open licence, Client should be mindful that the terms of any input licence (that is the open source </w:t>
      </w:r>
      <w:r>
        <w:rPr>
          <w:b/>
          <w:bCs/>
          <w:i/>
          <w:iCs/>
          <w:highlight w:val="yellow"/>
        </w:rPr>
        <w:t>licence for any open source IP which has been used to create the New IPR) aligns with the ‘output licence’ (that is, the licence under which the Client will publish the New IPR as open licence).</w:t>
      </w:r>
    </w:p>
    <w:p w14:paraId="05798859" w14:textId="77777777" w:rsidR="007960A8" w:rsidRDefault="00A26397">
      <w:pPr>
        <w:spacing w:after="240" w:line="276" w:lineRule="auto"/>
        <w:rPr>
          <w:b/>
          <w:bCs/>
          <w:i/>
          <w:iCs/>
        </w:rPr>
        <w:sectPr w:rsidR="007960A8">
          <w:headerReference w:type="even" r:id="rId28"/>
          <w:headerReference w:type="default" r:id="rId29"/>
          <w:footerReference w:type="even" r:id="rId30"/>
          <w:footerReference w:type="default" r:id="rId31"/>
          <w:headerReference w:type="first" r:id="rId32"/>
          <w:footerReference w:type="first" r:id="rId33"/>
          <w:pgSz w:w="11910" w:h="16840"/>
          <w:pgMar w:top="1440" w:right="1440" w:bottom="1440" w:left="1440" w:header="706" w:footer="706" w:gutter="0"/>
          <w:cols w:space="720"/>
          <w:titlePg/>
        </w:sectPr>
      </w:pPr>
      <w:r>
        <w:rPr>
          <w:b/>
          <w:bCs/>
          <w:i/>
          <w:iCs/>
          <w:highlight w:val="yellow"/>
        </w:rPr>
        <w:t>Carefully check cross-references as these may need to be updated when unused clauses are deleted]</w:t>
      </w:r>
    </w:p>
    <w:p w14:paraId="22706FC9" w14:textId="77777777" w:rsidR="007960A8" w:rsidRDefault="00A26397">
      <w:pPr>
        <w:pStyle w:val="Heading1"/>
        <w:keepNext/>
        <w:widowControl/>
        <w:numPr>
          <w:ilvl w:val="0"/>
          <w:numId w:val="97"/>
        </w:numPr>
        <w:spacing w:after="240"/>
        <w:ind w:left="1418" w:hanging="1418"/>
        <w:rPr>
          <w:sz w:val="36"/>
          <w:szCs w:val="36"/>
        </w:rPr>
      </w:pPr>
      <w:r>
        <w:rPr>
          <w:sz w:val="36"/>
          <w:szCs w:val="36"/>
        </w:rPr>
        <w:t>Intellectual Property Rights (no ICT Services)</w:t>
      </w:r>
    </w:p>
    <w:p w14:paraId="4E7D475D" w14:textId="77777777" w:rsidR="007960A8" w:rsidRDefault="00A26397">
      <w:pPr>
        <w:spacing w:after="240" w:line="276" w:lineRule="auto"/>
        <w:rPr>
          <w:b/>
          <w:bCs/>
          <w:i/>
          <w:iCs/>
        </w:rPr>
      </w:pPr>
      <w:r>
        <w:rPr>
          <w:b/>
          <w:bCs/>
          <w:i/>
          <w:iCs/>
          <w:highlight w:val="yellow"/>
        </w:rPr>
        <w:t>[Guidance: For IPR Option A1</w:t>
      </w:r>
      <w:r>
        <w:rPr>
          <w:b/>
          <w:bCs/>
          <w:i/>
          <w:iCs/>
          <w:highlight w:val="yellow"/>
        </w:rPr>
        <w:t>: Client owns all New IPR with limited Service Provider rights to New IPR in order to deliver the Services, please include the following drafting:]</w:t>
      </w:r>
    </w:p>
    <w:p w14:paraId="3727905B" w14:textId="77777777" w:rsidR="007960A8" w:rsidRDefault="00A26397">
      <w:pPr>
        <w:spacing w:after="240" w:line="276" w:lineRule="auto"/>
        <w:rPr>
          <w:b/>
          <w:bCs/>
        </w:rPr>
      </w:pPr>
      <w:r>
        <w:rPr>
          <w:b/>
          <w:bCs/>
        </w:rPr>
        <w:t>1A</w:t>
      </w:r>
      <w:r>
        <w:rPr>
          <w:b/>
          <w:bCs/>
        </w:rPr>
        <w:tab/>
        <w:t>Definitions</w:t>
      </w:r>
    </w:p>
    <w:p w14:paraId="03D9B72C" w14:textId="77777777" w:rsidR="007960A8" w:rsidRDefault="00A26397">
      <w:pPr>
        <w:widowControl/>
        <w:pBdr>
          <w:top w:val="nil"/>
          <w:left w:val="nil"/>
          <w:bottom w:val="nil"/>
          <w:right w:val="nil"/>
          <w:between w:val="nil"/>
        </w:pBdr>
        <w:spacing w:line="360" w:lineRule="auto"/>
        <w:ind w:left="720"/>
        <w:jc w:val="both"/>
        <w:rPr>
          <w:color w:val="000000"/>
        </w:rPr>
      </w:pPr>
      <w:r>
        <w:rPr>
          <w:color w:val="000000"/>
        </w:rPr>
        <w:t>1A.1</w:t>
      </w:r>
      <w:r>
        <w:rPr>
          <w:color w:val="000000"/>
        </w:rPr>
        <w:tab/>
      </w:r>
      <w:r>
        <w:rPr>
          <w:color w:val="000000"/>
        </w:rPr>
        <w:t>in this Schedule the following words shall have the following meanings:</w:t>
      </w:r>
    </w:p>
    <w:p w14:paraId="5254CABB" w14:textId="77777777" w:rsidR="007960A8" w:rsidRDefault="00A26397">
      <w:pPr>
        <w:widowControl/>
        <w:pBdr>
          <w:top w:val="nil"/>
          <w:left w:val="nil"/>
          <w:bottom w:val="nil"/>
          <w:right w:val="nil"/>
          <w:between w:val="nil"/>
        </w:pBdr>
        <w:spacing w:line="360" w:lineRule="auto"/>
        <w:ind w:left="1440"/>
        <w:jc w:val="both"/>
        <w:rPr>
          <w:color w:val="000000"/>
        </w:rPr>
      </w:pPr>
      <w:r>
        <w:rPr>
          <w:b/>
          <w:bCs/>
          <w:color w:val="000000"/>
        </w:rPr>
        <w:t>Approval</w:t>
      </w:r>
      <w:r>
        <w:rPr>
          <w:color w:val="000000"/>
        </w:rPr>
        <w:t xml:space="preserve">: the prior written consent of the </w:t>
      </w:r>
      <w:r>
        <w:rPr>
          <w:i/>
          <w:iCs/>
          <w:color w:val="000000"/>
        </w:rPr>
        <w:t>Client</w:t>
      </w:r>
      <w:r>
        <w:rPr>
          <w:color w:val="000000"/>
        </w:rPr>
        <w:t xml:space="preserve"> and “</w:t>
      </w:r>
      <w:r>
        <w:rPr>
          <w:b/>
          <w:bCs/>
          <w:color w:val="000000"/>
        </w:rPr>
        <w:t>approve</w:t>
      </w:r>
      <w:r>
        <w:rPr>
          <w:color w:val="000000"/>
        </w:rPr>
        <w:t>” and “</w:t>
      </w:r>
      <w:r>
        <w:rPr>
          <w:b/>
          <w:bCs/>
          <w:color w:val="000000"/>
        </w:rPr>
        <w:t>approved</w:t>
      </w:r>
      <w:r>
        <w:rPr>
          <w:color w:val="000000"/>
        </w:rPr>
        <w:t>” shall be construed accordingly;</w:t>
      </w:r>
    </w:p>
    <w:p w14:paraId="19F2472C" w14:textId="77777777" w:rsidR="007960A8" w:rsidRDefault="007960A8">
      <w:pPr>
        <w:widowControl/>
        <w:pBdr>
          <w:top w:val="nil"/>
          <w:left w:val="nil"/>
          <w:bottom w:val="nil"/>
          <w:right w:val="nil"/>
          <w:between w:val="nil"/>
        </w:pBdr>
        <w:spacing w:line="360" w:lineRule="auto"/>
        <w:jc w:val="both"/>
        <w:rPr>
          <w:color w:val="000000"/>
        </w:rPr>
      </w:pPr>
    </w:p>
    <w:p w14:paraId="7EA11149"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Code</w:t>
      </w:r>
      <w:r>
        <w:rPr>
          <w:color w:val="000000"/>
        </w:rPr>
        <w:t>: means:</w:t>
      </w:r>
    </w:p>
    <w:p w14:paraId="04212777" w14:textId="77777777" w:rsidR="007960A8" w:rsidRDefault="00A26397">
      <w:pPr>
        <w:widowControl/>
        <w:numPr>
          <w:ilvl w:val="3"/>
          <w:numId w:val="93"/>
        </w:numPr>
        <w:pBdr>
          <w:top w:val="nil"/>
          <w:left w:val="nil"/>
          <w:bottom w:val="nil"/>
          <w:right w:val="nil"/>
          <w:between w:val="nil"/>
        </w:pBdr>
        <w:spacing w:line="360" w:lineRule="auto"/>
        <w:ind w:left="2127"/>
        <w:jc w:val="both"/>
        <w:rPr>
          <w:color w:val="000000"/>
        </w:rPr>
      </w:pPr>
      <w:r>
        <w:rPr>
          <w:color w:val="000000"/>
        </w:rPr>
        <w:t>the source code;</w:t>
      </w:r>
    </w:p>
    <w:p w14:paraId="06F3C325" w14:textId="77777777" w:rsidR="007960A8" w:rsidRDefault="00A26397">
      <w:pPr>
        <w:widowControl/>
        <w:numPr>
          <w:ilvl w:val="3"/>
          <w:numId w:val="93"/>
        </w:numPr>
        <w:pBdr>
          <w:top w:val="nil"/>
          <w:left w:val="nil"/>
          <w:bottom w:val="nil"/>
          <w:right w:val="nil"/>
          <w:between w:val="nil"/>
        </w:pBdr>
        <w:spacing w:line="360" w:lineRule="auto"/>
        <w:ind w:left="2127"/>
        <w:jc w:val="both"/>
        <w:rPr>
          <w:color w:val="000000"/>
        </w:rPr>
      </w:pPr>
      <w:r>
        <w:rPr>
          <w:color w:val="000000"/>
        </w:rPr>
        <w:t>the object code;</w:t>
      </w:r>
    </w:p>
    <w:p w14:paraId="50921DC9" w14:textId="77777777" w:rsidR="007960A8" w:rsidRDefault="00A26397">
      <w:pPr>
        <w:widowControl/>
        <w:numPr>
          <w:ilvl w:val="3"/>
          <w:numId w:val="93"/>
        </w:numPr>
        <w:pBdr>
          <w:top w:val="nil"/>
          <w:left w:val="nil"/>
          <w:bottom w:val="nil"/>
          <w:right w:val="nil"/>
          <w:between w:val="nil"/>
        </w:pBdr>
        <w:spacing w:line="360" w:lineRule="auto"/>
        <w:ind w:left="2127"/>
        <w:jc w:val="both"/>
        <w:rPr>
          <w:color w:val="000000"/>
        </w:rPr>
      </w:pPr>
      <w:r>
        <w:rPr>
          <w:color w:val="000000"/>
        </w:rPr>
        <w:t>third party components, including third party coding frameworks and libraries; and</w:t>
      </w:r>
    </w:p>
    <w:p w14:paraId="108D7C78" w14:textId="77777777" w:rsidR="007960A8" w:rsidRDefault="00A26397">
      <w:pPr>
        <w:widowControl/>
        <w:numPr>
          <w:ilvl w:val="3"/>
          <w:numId w:val="93"/>
        </w:numPr>
        <w:pBdr>
          <w:top w:val="nil"/>
          <w:left w:val="nil"/>
          <w:bottom w:val="nil"/>
          <w:right w:val="nil"/>
          <w:between w:val="nil"/>
        </w:pBdr>
        <w:spacing w:line="360" w:lineRule="auto"/>
        <w:ind w:left="2127"/>
        <w:jc w:val="both"/>
        <w:rPr>
          <w:color w:val="000000"/>
        </w:rPr>
      </w:pPr>
      <w:r>
        <w:rPr>
          <w:color w:val="000000"/>
        </w:rPr>
        <w:t>all supporting documentation;</w:t>
      </w:r>
    </w:p>
    <w:p w14:paraId="1EECAFE8" w14:textId="77777777" w:rsidR="007960A8" w:rsidRDefault="007960A8">
      <w:pPr>
        <w:widowControl/>
        <w:pBdr>
          <w:top w:val="nil"/>
          <w:left w:val="nil"/>
          <w:bottom w:val="nil"/>
          <w:right w:val="nil"/>
          <w:between w:val="nil"/>
        </w:pBdr>
        <w:spacing w:after="240"/>
        <w:ind w:left="3238"/>
        <w:jc w:val="both"/>
        <w:rPr>
          <w:color w:val="000000"/>
          <w:sz w:val="21"/>
          <w:szCs w:val="21"/>
        </w:rPr>
      </w:pPr>
    </w:p>
    <w:p w14:paraId="7925267A"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Confidential Information</w:t>
      </w:r>
      <w:r>
        <w:rPr>
          <w:color w:val="000000"/>
        </w:rPr>
        <w:t xml:space="preserve">: </w:t>
      </w:r>
      <w:r>
        <w:rPr>
          <w:color w:val="000000"/>
        </w:rPr>
        <w:tab/>
        <w:t>any information, however it is conveyed, that relates to the business, affairs, developments, trade secrets, Know-H</w:t>
      </w:r>
      <w:r>
        <w:rPr>
          <w:color w:val="000000"/>
        </w:rPr>
        <w:t xml:space="preserve">ow, personnel and suppliers of the </w:t>
      </w:r>
      <w:r>
        <w:rPr>
          <w:i/>
          <w:iCs/>
          <w:color w:val="000000"/>
        </w:rPr>
        <w:t>Client</w:t>
      </w:r>
      <w:r>
        <w:rPr>
          <w:color w:val="000000"/>
        </w:rPr>
        <w:t xml:space="preserve"> and the </w:t>
      </w:r>
      <w:r>
        <w:rPr>
          <w:i/>
          <w:iCs/>
          <w:color w:val="000000"/>
        </w:rPr>
        <w:t>Service Provider</w:t>
      </w:r>
      <w:r>
        <w:rPr>
          <w:color w:val="000000"/>
        </w:rPr>
        <w:t>, including IPRs, together with information derived from the above, and any other information clearly designated as being confidential (whether or not it is marked as “</w:t>
      </w:r>
      <w:r>
        <w:rPr>
          <w:b/>
          <w:bCs/>
          <w:color w:val="000000"/>
        </w:rPr>
        <w:t>confidential</w:t>
      </w:r>
      <w:r>
        <w:rPr>
          <w:color w:val="000000"/>
        </w:rPr>
        <w:t>”) or whic</w:t>
      </w:r>
      <w:r>
        <w:rPr>
          <w:color w:val="000000"/>
        </w:rPr>
        <w:t>h ought reasonably to be considered to be confidential;</w:t>
      </w:r>
    </w:p>
    <w:p w14:paraId="2142164D"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7F5E44BC"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Controller</w:t>
      </w:r>
      <w:r>
        <w:rPr>
          <w:color w:val="000000"/>
        </w:rPr>
        <w:t xml:space="preserve">: </w:t>
      </w:r>
      <w:r>
        <w:rPr>
          <w:color w:val="000000"/>
        </w:rPr>
        <w:tab/>
        <w:t>has the meaning given to it in the UK GDPR or the EU GDPR as the context requires;</w:t>
      </w:r>
    </w:p>
    <w:p w14:paraId="5E7FEC69"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6C9D6BC2"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Client Existing IPR</w:t>
      </w:r>
      <w:r>
        <w:rPr>
          <w:color w:val="000000"/>
        </w:rPr>
        <w:t xml:space="preserve">: </w:t>
      </w:r>
      <w:r>
        <w:rPr>
          <w:color w:val="000000"/>
        </w:rPr>
        <w:tab/>
      </w:r>
      <w:r>
        <w:rPr>
          <w:color w:val="000000"/>
        </w:rPr>
        <w:t xml:space="preserve">any and all IPR that is owned by or licensed by the </w:t>
      </w:r>
      <w:r>
        <w:rPr>
          <w:i/>
          <w:iCs/>
          <w:color w:val="000000"/>
        </w:rPr>
        <w:t>Client</w:t>
      </w:r>
      <w:r>
        <w:rPr>
          <w:color w:val="000000"/>
        </w:rPr>
        <w:t xml:space="preserve"> and which has been developed independently of the Contract (whether prior to the Contract Date or otherwise);</w:t>
      </w:r>
    </w:p>
    <w:p w14:paraId="6E3BD5BA"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08834246"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End Date</w:t>
      </w:r>
      <w:r>
        <w:rPr>
          <w:color w:val="000000"/>
        </w:rPr>
        <w:t xml:space="preserve">: </w:t>
      </w:r>
      <w:r>
        <w:rPr>
          <w:color w:val="000000"/>
        </w:rPr>
        <w:tab/>
        <w:t>the day following the end of the Services Period or if earlier, the date th</w:t>
      </w:r>
      <w:r>
        <w:rPr>
          <w:color w:val="000000"/>
        </w:rPr>
        <w:t>e Contract is terminated.</w:t>
      </w:r>
    </w:p>
    <w:p w14:paraId="2E923B17"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End User</w:t>
      </w:r>
      <w:r>
        <w:rPr>
          <w:color w:val="000000"/>
        </w:rPr>
        <w:t xml:space="preserve">: </w:t>
      </w:r>
      <w:r>
        <w:rPr>
          <w:color w:val="000000"/>
        </w:rPr>
        <w:tab/>
        <w:t xml:space="preserve">a party that is accessing the </w:t>
      </w:r>
      <w:r>
        <w:rPr>
          <w:i/>
          <w:iCs/>
          <w:color w:val="000000"/>
        </w:rPr>
        <w:t>services</w:t>
      </w:r>
      <w:r>
        <w:rPr>
          <w:color w:val="000000"/>
        </w:rPr>
        <w:t xml:space="preserve"> provided pursuant to the Contract (including the </w:t>
      </w:r>
      <w:r>
        <w:rPr>
          <w:i/>
          <w:iCs/>
          <w:color w:val="000000"/>
        </w:rPr>
        <w:t>Client</w:t>
      </w:r>
      <w:r>
        <w:rPr>
          <w:color w:val="000000"/>
        </w:rPr>
        <w:t xml:space="preserve"> where it is accessing </w:t>
      </w:r>
      <w:r>
        <w:rPr>
          <w:i/>
          <w:iCs/>
          <w:color w:val="000000"/>
        </w:rPr>
        <w:t>services</w:t>
      </w:r>
      <w:r>
        <w:rPr>
          <w:color w:val="000000"/>
        </w:rPr>
        <w:t xml:space="preserve"> on its own account as a user);</w:t>
      </w:r>
    </w:p>
    <w:p w14:paraId="3AF1BC05"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66C6DD69"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EU GDPR</w:t>
      </w:r>
      <w:r>
        <w:rPr>
          <w:color w:val="000000"/>
        </w:rPr>
        <w:t xml:space="preserve">: </w:t>
      </w:r>
      <w:r>
        <w:rPr>
          <w:color w:val="000000"/>
        </w:rPr>
        <w:tab/>
      </w:r>
      <w:r>
        <w:rPr>
          <w:color w:val="000000"/>
        </w:rPr>
        <w:t>Regulation (EU) 20168/679 of the European Parliament and of the Council of 27 April 2016 on the protection of natural person with regard to the processing of personal data and on the free movement of such data (General Data Protection Regulation) as it has</w:t>
      </w:r>
      <w:r>
        <w:rPr>
          <w:color w:val="000000"/>
        </w:rPr>
        <w:t xml:space="preserve"> effect in EU law;</w:t>
      </w:r>
    </w:p>
    <w:p w14:paraId="7628FDED"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1DA265CF"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Existing IPR</w:t>
      </w:r>
      <w:r>
        <w:rPr>
          <w:color w:val="000000"/>
        </w:rPr>
        <w:t xml:space="preserve">: </w:t>
      </w:r>
      <w:r>
        <w:rPr>
          <w:color w:val="000000"/>
        </w:rPr>
        <w:tab/>
        <w:t xml:space="preserve">for the </w:t>
      </w:r>
      <w:r>
        <w:rPr>
          <w:i/>
          <w:iCs/>
          <w:color w:val="000000"/>
        </w:rPr>
        <w:t>Client</w:t>
      </w:r>
      <w:r>
        <w:rPr>
          <w:color w:val="000000"/>
        </w:rPr>
        <w:t xml:space="preserve">, the Client’s Existing IPR and for the </w:t>
      </w:r>
      <w:r>
        <w:rPr>
          <w:i/>
          <w:iCs/>
          <w:color w:val="000000"/>
        </w:rPr>
        <w:t>Service Provider</w:t>
      </w:r>
      <w:r>
        <w:rPr>
          <w:color w:val="000000"/>
        </w:rPr>
        <w:t>, the Service Provider’s Existing IPR</w:t>
      </w:r>
    </w:p>
    <w:p w14:paraId="7A2881A6"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Government Data</w:t>
      </w:r>
      <w:r>
        <w:rPr>
          <w:color w:val="000000"/>
        </w:rPr>
        <w:t xml:space="preserve">: means </w:t>
      </w:r>
    </w:p>
    <w:p w14:paraId="7F02BA22" w14:textId="77777777" w:rsidR="007960A8" w:rsidRDefault="00A26397">
      <w:pPr>
        <w:widowControl/>
        <w:numPr>
          <w:ilvl w:val="3"/>
          <w:numId w:val="100"/>
        </w:numPr>
        <w:pBdr>
          <w:top w:val="nil"/>
          <w:left w:val="nil"/>
          <w:bottom w:val="nil"/>
          <w:right w:val="nil"/>
          <w:between w:val="nil"/>
        </w:pBdr>
        <w:spacing w:line="360" w:lineRule="auto"/>
        <w:ind w:left="2268"/>
        <w:jc w:val="both"/>
        <w:rPr>
          <w:color w:val="000000"/>
        </w:rPr>
      </w:pPr>
      <w:r>
        <w:rPr>
          <w:color w:val="000000"/>
        </w:rPr>
        <w:t>data, text, drawings, diagrams, images or sounds (together with any database made up of any of these) which are embodied in any electronic, magnetic, optical or tangible media;</w:t>
      </w:r>
    </w:p>
    <w:p w14:paraId="26AB9BDF" w14:textId="77777777" w:rsidR="007960A8" w:rsidRDefault="00A26397">
      <w:pPr>
        <w:widowControl/>
        <w:numPr>
          <w:ilvl w:val="3"/>
          <w:numId w:val="100"/>
        </w:numPr>
        <w:pBdr>
          <w:top w:val="nil"/>
          <w:left w:val="nil"/>
          <w:bottom w:val="nil"/>
          <w:right w:val="nil"/>
          <w:between w:val="nil"/>
        </w:pBdr>
        <w:spacing w:line="360" w:lineRule="auto"/>
        <w:ind w:left="2268"/>
        <w:jc w:val="both"/>
        <w:rPr>
          <w:color w:val="000000"/>
        </w:rPr>
      </w:pPr>
      <w:r>
        <w:rPr>
          <w:color w:val="000000"/>
        </w:rPr>
        <w:t xml:space="preserve">Personal Data for which the </w:t>
      </w:r>
      <w:r>
        <w:rPr>
          <w:i/>
          <w:iCs/>
          <w:color w:val="000000"/>
        </w:rPr>
        <w:t>Client</w:t>
      </w:r>
      <w:r>
        <w:rPr>
          <w:color w:val="000000"/>
        </w:rPr>
        <w:t xml:space="preserve"> is a, or the, Controller; or any meta-data r</w:t>
      </w:r>
      <w:r>
        <w:rPr>
          <w:color w:val="000000"/>
        </w:rPr>
        <w:t>elating to categories of data referred to in a) or b) that:</w:t>
      </w:r>
    </w:p>
    <w:p w14:paraId="208774AF" w14:textId="77777777" w:rsidR="007960A8" w:rsidRDefault="00A26397">
      <w:pPr>
        <w:widowControl/>
        <w:numPr>
          <w:ilvl w:val="4"/>
          <w:numId w:val="100"/>
        </w:numPr>
        <w:pBdr>
          <w:top w:val="nil"/>
          <w:left w:val="nil"/>
          <w:bottom w:val="nil"/>
          <w:right w:val="nil"/>
          <w:between w:val="nil"/>
        </w:pBdr>
        <w:spacing w:line="360" w:lineRule="auto"/>
        <w:ind w:left="2977"/>
        <w:jc w:val="both"/>
        <w:rPr>
          <w:color w:val="000000"/>
        </w:rPr>
      </w:pPr>
      <w:r>
        <w:rPr>
          <w:color w:val="000000"/>
        </w:rPr>
        <w:t xml:space="preserve">is supplied to the </w:t>
      </w:r>
      <w:r>
        <w:rPr>
          <w:i/>
          <w:iCs/>
          <w:color w:val="000000"/>
        </w:rPr>
        <w:t>Service Provider</w:t>
      </w:r>
      <w:r>
        <w:rPr>
          <w:color w:val="000000"/>
        </w:rPr>
        <w:t xml:space="preserve"> on or on behalf of the Relevant Authority; or</w:t>
      </w:r>
    </w:p>
    <w:p w14:paraId="079419AC" w14:textId="77777777" w:rsidR="007960A8" w:rsidRDefault="00A26397">
      <w:pPr>
        <w:widowControl/>
        <w:numPr>
          <w:ilvl w:val="4"/>
          <w:numId w:val="100"/>
        </w:numPr>
        <w:pBdr>
          <w:top w:val="nil"/>
          <w:left w:val="nil"/>
          <w:bottom w:val="nil"/>
          <w:right w:val="nil"/>
          <w:between w:val="nil"/>
        </w:pBdr>
        <w:spacing w:line="360" w:lineRule="auto"/>
        <w:ind w:left="2977"/>
        <w:jc w:val="both"/>
        <w:rPr>
          <w:color w:val="000000"/>
        </w:rPr>
      </w:pPr>
      <w:r>
        <w:rPr>
          <w:color w:val="000000"/>
        </w:rPr>
        <w:t xml:space="preserve">the </w:t>
      </w:r>
      <w:r>
        <w:rPr>
          <w:i/>
          <w:iCs/>
          <w:color w:val="000000"/>
        </w:rPr>
        <w:t>Service Provider</w:t>
      </w:r>
      <w:r>
        <w:rPr>
          <w:color w:val="000000"/>
        </w:rPr>
        <w:t xml:space="preserve"> is required to generate, Process, Handle, store or transmit under the Contract;</w:t>
      </w:r>
    </w:p>
    <w:p w14:paraId="57A98285" w14:textId="77777777" w:rsidR="007960A8" w:rsidRDefault="00A26397">
      <w:pPr>
        <w:widowControl/>
        <w:pBdr>
          <w:top w:val="nil"/>
          <w:left w:val="nil"/>
          <w:bottom w:val="nil"/>
          <w:right w:val="nil"/>
          <w:between w:val="nil"/>
        </w:pBdr>
        <w:spacing w:line="360" w:lineRule="auto"/>
        <w:ind w:left="2160"/>
        <w:jc w:val="both"/>
        <w:rPr>
          <w:color w:val="000000"/>
        </w:rPr>
      </w:pPr>
      <w:r>
        <w:rPr>
          <w:color w:val="000000"/>
        </w:rPr>
        <w:t>and for the a</w:t>
      </w:r>
      <w:r>
        <w:rPr>
          <w:color w:val="000000"/>
        </w:rPr>
        <w:t>voidance of doubt includes any Code and any meta data relating to any Code;</w:t>
      </w:r>
    </w:p>
    <w:p w14:paraId="1D011A82" w14:textId="77777777" w:rsidR="007960A8" w:rsidRDefault="007960A8">
      <w:pPr>
        <w:widowControl/>
        <w:pBdr>
          <w:top w:val="nil"/>
          <w:left w:val="nil"/>
          <w:bottom w:val="nil"/>
          <w:right w:val="nil"/>
          <w:between w:val="nil"/>
        </w:pBdr>
        <w:spacing w:line="360" w:lineRule="auto"/>
        <w:jc w:val="both"/>
        <w:rPr>
          <w:color w:val="000000"/>
        </w:rPr>
      </w:pPr>
    </w:p>
    <w:p w14:paraId="4E62C02C" w14:textId="77777777" w:rsidR="007960A8" w:rsidRDefault="00A26397">
      <w:pPr>
        <w:widowControl/>
        <w:pBdr>
          <w:top w:val="nil"/>
          <w:left w:val="nil"/>
          <w:bottom w:val="nil"/>
          <w:right w:val="nil"/>
          <w:between w:val="nil"/>
        </w:pBdr>
        <w:spacing w:line="360" w:lineRule="auto"/>
        <w:ind w:left="2880" w:hanging="2880"/>
        <w:jc w:val="both"/>
        <w:rPr>
          <w:color w:val="000000"/>
        </w:rPr>
      </w:pPr>
      <w:r>
        <w:rPr>
          <w:b/>
          <w:bCs/>
          <w:color w:val="000000"/>
        </w:rPr>
        <w:t>Handle:</w:t>
      </w:r>
      <w:r>
        <w:rPr>
          <w:color w:val="000000"/>
        </w:rPr>
        <w:t xml:space="preserve"> </w:t>
      </w:r>
      <w:r>
        <w:rPr>
          <w:color w:val="000000"/>
        </w:rPr>
        <w:tab/>
      </w:r>
      <w:r>
        <w:rPr>
          <w:color w:val="000000"/>
        </w:rPr>
        <w:t>any operation performed on data, whether or not by automated means, including collection, recording, organisation, structuring, storage, adaptation or alteration, retrieval, consultation, use, disclosure by transmission, dissemination or otherwise making a</w:t>
      </w:r>
      <w:r>
        <w:rPr>
          <w:color w:val="000000"/>
        </w:rPr>
        <w:t>vailable, alignment or combination, restriction, erasure or destruction of that data;</w:t>
      </w:r>
    </w:p>
    <w:p w14:paraId="3D7334BF" w14:textId="77777777" w:rsidR="007960A8" w:rsidRDefault="007960A8">
      <w:pPr>
        <w:widowControl/>
        <w:pBdr>
          <w:top w:val="nil"/>
          <w:left w:val="nil"/>
          <w:bottom w:val="nil"/>
          <w:right w:val="nil"/>
          <w:between w:val="nil"/>
        </w:pBdr>
        <w:spacing w:line="360" w:lineRule="auto"/>
        <w:ind w:left="2880" w:hanging="2880"/>
        <w:jc w:val="both"/>
        <w:rPr>
          <w:color w:val="000000"/>
        </w:rPr>
      </w:pPr>
    </w:p>
    <w:p w14:paraId="07BB5849" w14:textId="77777777" w:rsidR="007960A8" w:rsidRDefault="00A26397">
      <w:pPr>
        <w:widowControl/>
        <w:pBdr>
          <w:top w:val="nil"/>
          <w:left w:val="nil"/>
          <w:bottom w:val="nil"/>
          <w:right w:val="nil"/>
          <w:between w:val="nil"/>
        </w:pBdr>
        <w:spacing w:line="360" w:lineRule="auto"/>
        <w:jc w:val="both"/>
        <w:rPr>
          <w:color w:val="000000"/>
        </w:rPr>
      </w:pPr>
      <w:r>
        <w:rPr>
          <w:color w:val="000000"/>
        </w:rPr>
        <w:t>I</w:t>
      </w:r>
      <w:r>
        <w:rPr>
          <w:b/>
          <w:bCs/>
          <w:color w:val="000000"/>
        </w:rPr>
        <w:t>ntellectual Property Rights (or IPR):</w:t>
      </w:r>
      <w:r>
        <w:rPr>
          <w:color w:val="000000"/>
        </w:rPr>
        <w:t xml:space="preserve"> means:</w:t>
      </w:r>
    </w:p>
    <w:p w14:paraId="39369447" w14:textId="77777777" w:rsidR="007960A8" w:rsidRDefault="00A26397">
      <w:pPr>
        <w:widowControl/>
        <w:numPr>
          <w:ilvl w:val="3"/>
          <w:numId w:val="101"/>
        </w:numPr>
        <w:pBdr>
          <w:top w:val="nil"/>
          <w:left w:val="nil"/>
          <w:bottom w:val="nil"/>
          <w:right w:val="nil"/>
          <w:between w:val="nil"/>
        </w:pBdr>
        <w:spacing w:line="360" w:lineRule="auto"/>
        <w:ind w:left="2127"/>
        <w:jc w:val="both"/>
        <w:rPr>
          <w:color w:val="000000"/>
        </w:rPr>
      </w:pPr>
      <w:r>
        <w:rPr>
          <w:color w:val="000000"/>
        </w:rPr>
        <w:t>copyright, rights related to or affording protection similar to copyright, rights in databases, patents and rights in inven</w:t>
      </w:r>
      <w:r>
        <w:rPr>
          <w:color w:val="000000"/>
        </w:rPr>
        <w:t>tions, semi-conductor topography rights, trade mark, right in internet domain names and website addresses and other rights in trade or business names, goodwill, designs, Know-How, trade secrets and other rights in Confidential Information;</w:t>
      </w:r>
    </w:p>
    <w:p w14:paraId="7DE344A0" w14:textId="77777777" w:rsidR="007960A8" w:rsidRDefault="00A26397">
      <w:pPr>
        <w:widowControl/>
        <w:numPr>
          <w:ilvl w:val="3"/>
          <w:numId w:val="101"/>
        </w:numPr>
        <w:pBdr>
          <w:top w:val="nil"/>
          <w:left w:val="nil"/>
          <w:bottom w:val="nil"/>
          <w:right w:val="nil"/>
          <w:between w:val="nil"/>
        </w:pBdr>
        <w:spacing w:line="360" w:lineRule="auto"/>
        <w:ind w:left="2127"/>
        <w:jc w:val="both"/>
        <w:rPr>
          <w:color w:val="000000"/>
        </w:rPr>
      </w:pPr>
      <w:r>
        <w:rPr>
          <w:color w:val="000000"/>
        </w:rPr>
        <w:t>applications for</w:t>
      </w:r>
      <w:r>
        <w:rPr>
          <w:color w:val="000000"/>
        </w:rPr>
        <w:t xml:space="preserve"> registration, and the right to apply for registration, for any of the rights listed at (a) that are capable of being registered in any country or jurisdiction; and</w:t>
      </w:r>
    </w:p>
    <w:p w14:paraId="12CCB05A" w14:textId="77777777" w:rsidR="007960A8" w:rsidRDefault="00A26397">
      <w:pPr>
        <w:widowControl/>
        <w:numPr>
          <w:ilvl w:val="3"/>
          <w:numId w:val="101"/>
        </w:numPr>
        <w:pBdr>
          <w:top w:val="nil"/>
          <w:left w:val="nil"/>
          <w:bottom w:val="nil"/>
          <w:right w:val="nil"/>
          <w:between w:val="nil"/>
        </w:pBdr>
        <w:spacing w:line="360" w:lineRule="auto"/>
        <w:ind w:left="2127"/>
        <w:jc w:val="both"/>
        <w:rPr>
          <w:color w:val="000000"/>
        </w:rPr>
      </w:pPr>
      <w:r>
        <w:rPr>
          <w:color w:val="000000"/>
        </w:rPr>
        <w:t>all other rights having equivalent or similar effect in any country or jurisdiction;</w:t>
      </w:r>
    </w:p>
    <w:p w14:paraId="51963AD8" w14:textId="77777777" w:rsidR="007960A8" w:rsidRDefault="007960A8">
      <w:pPr>
        <w:widowControl/>
        <w:pBdr>
          <w:top w:val="nil"/>
          <w:left w:val="nil"/>
          <w:bottom w:val="nil"/>
          <w:right w:val="nil"/>
          <w:between w:val="nil"/>
        </w:pBdr>
        <w:spacing w:after="240"/>
        <w:ind w:left="3238"/>
        <w:jc w:val="both"/>
        <w:rPr>
          <w:color w:val="000000"/>
          <w:sz w:val="21"/>
          <w:szCs w:val="21"/>
        </w:rPr>
      </w:pPr>
    </w:p>
    <w:p w14:paraId="0B5C5B9F" w14:textId="77777777" w:rsidR="007960A8" w:rsidRDefault="00A26397">
      <w:pPr>
        <w:widowControl/>
        <w:pBdr>
          <w:top w:val="nil"/>
          <w:left w:val="nil"/>
          <w:bottom w:val="nil"/>
          <w:right w:val="nil"/>
          <w:between w:val="nil"/>
        </w:pBdr>
        <w:spacing w:line="360" w:lineRule="auto"/>
        <w:ind w:left="2127" w:hanging="2127"/>
        <w:jc w:val="both"/>
        <w:rPr>
          <w:color w:val="000000"/>
        </w:rPr>
      </w:pPr>
      <w:r>
        <w:rPr>
          <w:b/>
          <w:bCs/>
          <w:color w:val="000000"/>
        </w:rPr>
        <w:t>Know-How</w:t>
      </w:r>
      <w:r>
        <w:rPr>
          <w:color w:val="000000"/>
        </w:rPr>
        <w:t xml:space="preserve">: </w:t>
      </w:r>
      <w:r>
        <w:rPr>
          <w:color w:val="000000"/>
        </w:rPr>
        <w:tab/>
      </w:r>
      <w:r>
        <w:rPr>
          <w:color w:val="000000"/>
        </w:rPr>
        <w:tab/>
        <w:t xml:space="preserve">all ideas, concepts, schemes, information, knowledge, techniques, methodology, and anything else in the nature of know-how relating to the </w:t>
      </w:r>
      <w:r>
        <w:rPr>
          <w:i/>
          <w:iCs/>
          <w:color w:val="000000"/>
        </w:rPr>
        <w:t>services</w:t>
      </w:r>
      <w:r>
        <w:rPr>
          <w:color w:val="000000"/>
        </w:rPr>
        <w:t xml:space="preserve"> but excluding know-how already in the other party’s possession before the Contract Date;</w:t>
      </w:r>
    </w:p>
    <w:p w14:paraId="71338C7E" w14:textId="77777777" w:rsidR="007960A8" w:rsidRDefault="007960A8">
      <w:pPr>
        <w:widowControl/>
        <w:pBdr>
          <w:top w:val="nil"/>
          <w:left w:val="nil"/>
          <w:bottom w:val="nil"/>
          <w:right w:val="nil"/>
          <w:between w:val="nil"/>
        </w:pBdr>
        <w:spacing w:line="360" w:lineRule="auto"/>
        <w:ind w:left="2127" w:hanging="2127"/>
        <w:jc w:val="both"/>
        <w:rPr>
          <w:color w:val="000000"/>
        </w:rPr>
      </w:pPr>
    </w:p>
    <w:p w14:paraId="61A1C4A5"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New IPR</w:t>
      </w:r>
      <w:r>
        <w:rPr>
          <w:color w:val="000000"/>
        </w:rPr>
        <w:t xml:space="preserve">: means </w:t>
      </w:r>
    </w:p>
    <w:p w14:paraId="1601C5FC" w14:textId="77777777" w:rsidR="007960A8" w:rsidRDefault="00A26397">
      <w:pPr>
        <w:widowControl/>
        <w:numPr>
          <w:ilvl w:val="3"/>
          <w:numId w:val="102"/>
        </w:numPr>
        <w:pBdr>
          <w:top w:val="nil"/>
          <w:left w:val="nil"/>
          <w:bottom w:val="nil"/>
          <w:right w:val="nil"/>
          <w:between w:val="nil"/>
        </w:pBdr>
        <w:spacing w:line="360" w:lineRule="auto"/>
        <w:ind w:left="2127"/>
        <w:jc w:val="both"/>
        <w:rPr>
          <w:color w:val="000000"/>
        </w:rPr>
      </w:pPr>
      <w:r>
        <w:rPr>
          <w:color w:val="000000"/>
        </w:rPr>
        <w:t xml:space="preserve">IPR in items created by the </w:t>
      </w:r>
      <w:r>
        <w:rPr>
          <w:i/>
          <w:iCs/>
          <w:color w:val="000000"/>
        </w:rPr>
        <w:t>Service Provider</w:t>
      </w:r>
      <w:r>
        <w:rPr>
          <w:color w:val="000000"/>
        </w:rPr>
        <w:t xml:space="preserve"> (or by a third party on behalf of the </w:t>
      </w:r>
      <w:r>
        <w:rPr>
          <w:i/>
          <w:iCs/>
          <w:color w:val="000000"/>
        </w:rPr>
        <w:t>Service Provider</w:t>
      </w:r>
      <w:r>
        <w:rPr>
          <w:color w:val="000000"/>
        </w:rPr>
        <w:t>) specifically for the purpose of the Contract and updates and amendments of these items including database schemes; and/or</w:t>
      </w:r>
    </w:p>
    <w:p w14:paraId="5D15186E" w14:textId="77777777" w:rsidR="007960A8" w:rsidRDefault="00A26397">
      <w:pPr>
        <w:widowControl/>
        <w:numPr>
          <w:ilvl w:val="3"/>
          <w:numId w:val="102"/>
        </w:numPr>
        <w:pBdr>
          <w:top w:val="nil"/>
          <w:left w:val="nil"/>
          <w:bottom w:val="nil"/>
          <w:right w:val="nil"/>
          <w:between w:val="nil"/>
        </w:pBdr>
        <w:spacing w:line="360" w:lineRule="auto"/>
        <w:ind w:left="2127"/>
        <w:jc w:val="both"/>
        <w:rPr>
          <w:color w:val="000000"/>
        </w:rPr>
      </w:pPr>
      <w:r>
        <w:rPr>
          <w:color w:val="000000"/>
        </w:rPr>
        <w:t xml:space="preserve">IPR in or arising as a result of the performance of the </w:t>
      </w:r>
      <w:r>
        <w:rPr>
          <w:i/>
          <w:iCs/>
          <w:color w:val="000000"/>
        </w:rPr>
        <w:t>Service Provider’s</w:t>
      </w:r>
      <w:r>
        <w:rPr>
          <w:color w:val="000000"/>
        </w:rPr>
        <w:t xml:space="preserve"> obligations under the Contract and all updates and amendm</w:t>
      </w:r>
      <w:r>
        <w:rPr>
          <w:color w:val="000000"/>
        </w:rPr>
        <w:t>ents to the same;</w:t>
      </w:r>
    </w:p>
    <w:p w14:paraId="0D572388" w14:textId="77777777" w:rsidR="007960A8" w:rsidRDefault="00A26397">
      <w:pPr>
        <w:widowControl/>
        <w:pBdr>
          <w:top w:val="nil"/>
          <w:left w:val="nil"/>
          <w:bottom w:val="nil"/>
          <w:right w:val="nil"/>
          <w:between w:val="nil"/>
        </w:pBdr>
        <w:spacing w:line="360" w:lineRule="auto"/>
        <w:ind w:left="1407" w:firstLine="720"/>
        <w:jc w:val="both"/>
        <w:rPr>
          <w:color w:val="000000"/>
        </w:rPr>
      </w:pPr>
      <w:r>
        <w:rPr>
          <w:color w:val="000000"/>
        </w:rPr>
        <w:t>but shall not include the Service Provider’s Existing IPR,</w:t>
      </w:r>
    </w:p>
    <w:p w14:paraId="62FADDA3" w14:textId="77777777" w:rsidR="007960A8" w:rsidRDefault="007960A8">
      <w:pPr>
        <w:widowControl/>
        <w:pBdr>
          <w:top w:val="nil"/>
          <w:left w:val="nil"/>
          <w:bottom w:val="nil"/>
          <w:right w:val="nil"/>
          <w:between w:val="nil"/>
        </w:pBdr>
        <w:spacing w:line="360" w:lineRule="auto"/>
        <w:jc w:val="both"/>
        <w:rPr>
          <w:color w:val="000000"/>
        </w:rPr>
      </w:pPr>
    </w:p>
    <w:p w14:paraId="4D15B01F" w14:textId="77777777" w:rsidR="007960A8" w:rsidRDefault="00A26397">
      <w:pPr>
        <w:widowControl/>
        <w:pBdr>
          <w:top w:val="nil"/>
          <w:left w:val="nil"/>
          <w:bottom w:val="nil"/>
          <w:right w:val="nil"/>
          <w:between w:val="nil"/>
        </w:pBdr>
        <w:spacing w:line="360" w:lineRule="auto"/>
        <w:ind w:left="2127" w:hanging="2127"/>
        <w:jc w:val="both"/>
        <w:rPr>
          <w:color w:val="000000"/>
        </w:rPr>
      </w:pPr>
      <w:r>
        <w:rPr>
          <w:b/>
          <w:bCs/>
          <w:color w:val="000000"/>
        </w:rPr>
        <w:t>New IPR Item</w:t>
      </w:r>
      <w:r>
        <w:rPr>
          <w:color w:val="000000"/>
        </w:rPr>
        <w:t xml:space="preserve">: </w:t>
      </w:r>
      <w:r>
        <w:rPr>
          <w:color w:val="000000"/>
        </w:rPr>
        <w:tab/>
        <w:t>a deliverable, document, product or other item within which NEW IPR subsists;</w:t>
      </w:r>
    </w:p>
    <w:p w14:paraId="54128368" w14:textId="77777777" w:rsidR="007960A8" w:rsidRDefault="007960A8">
      <w:pPr>
        <w:widowControl/>
        <w:pBdr>
          <w:top w:val="nil"/>
          <w:left w:val="nil"/>
          <w:bottom w:val="nil"/>
          <w:right w:val="nil"/>
          <w:between w:val="nil"/>
        </w:pBdr>
        <w:spacing w:line="360" w:lineRule="auto"/>
        <w:ind w:left="2127" w:hanging="2127"/>
        <w:jc w:val="both"/>
        <w:rPr>
          <w:color w:val="000000"/>
        </w:rPr>
      </w:pPr>
    </w:p>
    <w:p w14:paraId="65480711" w14:textId="77777777" w:rsidR="007960A8" w:rsidRDefault="00A26397">
      <w:pPr>
        <w:widowControl/>
        <w:pBdr>
          <w:top w:val="nil"/>
          <w:left w:val="nil"/>
          <w:bottom w:val="nil"/>
          <w:right w:val="nil"/>
          <w:between w:val="nil"/>
        </w:pBdr>
        <w:spacing w:line="360" w:lineRule="auto"/>
        <w:ind w:left="2127" w:hanging="2127"/>
        <w:jc w:val="both"/>
        <w:rPr>
          <w:color w:val="000000"/>
        </w:rPr>
      </w:pPr>
      <w:r>
        <w:rPr>
          <w:b/>
          <w:bCs/>
          <w:color w:val="000000"/>
        </w:rPr>
        <w:t>Open Licence</w:t>
      </w:r>
      <w:r>
        <w:rPr>
          <w:color w:val="000000"/>
        </w:rPr>
        <w:t xml:space="preserve">: </w:t>
      </w:r>
      <w:r>
        <w:rPr>
          <w:color w:val="000000"/>
        </w:rPr>
        <w:tab/>
      </w:r>
      <w:r>
        <w:rPr>
          <w:color w:val="000000"/>
        </w:rPr>
        <w:t>any material that is published for use, with rights to access, copy, modify and publish, by any person for free, under a generally recognised open licence including Open Government Licence as set out at http://www.nationalarchives.gov.uk/doc/open-governmen</w:t>
      </w:r>
      <w:r>
        <w:rPr>
          <w:color w:val="000000"/>
        </w:rPr>
        <w:t>t-licence/version/3/ and the Open Standards Principles documented at https://www.gov.uk/government/publications/open-standards-principles/open-standards-principles, and includes the Open Source publication of Software;</w:t>
      </w:r>
    </w:p>
    <w:p w14:paraId="174412A9" w14:textId="77777777" w:rsidR="007960A8" w:rsidRDefault="00A26397">
      <w:pPr>
        <w:widowControl/>
        <w:pBdr>
          <w:top w:val="nil"/>
          <w:left w:val="nil"/>
          <w:bottom w:val="nil"/>
          <w:right w:val="nil"/>
          <w:between w:val="nil"/>
        </w:pBdr>
        <w:spacing w:line="360" w:lineRule="auto"/>
        <w:ind w:left="2160" w:hanging="2160"/>
        <w:jc w:val="both"/>
        <w:rPr>
          <w:color w:val="000000"/>
        </w:rPr>
      </w:pPr>
      <w:r>
        <w:rPr>
          <w:b/>
          <w:bCs/>
          <w:color w:val="000000"/>
        </w:rPr>
        <w:t>Open Licence Publication Material</w:t>
      </w:r>
      <w:r>
        <w:rPr>
          <w:color w:val="000000"/>
        </w:rPr>
        <w:t xml:space="preserve">: </w:t>
      </w:r>
      <w:r>
        <w:rPr>
          <w:color w:val="000000"/>
        </w:rPr>
        <w:tab/>
        <w:t>i</w:t>
      </w:r>
      <w:r>
        <w:rPr>
          <w:color w:val="000000"/>
        </w:rPr>
        <w:t xml:space="preserve">tems created pursuant to the Contract which the </w:t>
      </w:r>
      <w:r>
        <w:rPr>
          <w:i/>
          <w:iCs/>
          <w:color w:val="000000"/>
        </w:rPr>
        <w:t>Client</w:t>
      </w:r>
      <w:r>
        <w:rPr>
          <w:color w:val="000000"/>
        </w:rPr>
        <w:t xml:space="preserve"> may wish to publish as Open Licence which are supplied in a format suitable for publication under Open Licence;</w:t>
      </w:r>
    </w:p>
    <w:p w14:paraId="298C9E0F" w14:textId="77777777" w:rsidR="007960A8" w:rsidRDefault="007960A8">
      <w:pPr>
        <w:widowControl/>
        <w:pBdr>
          <w:top w:val="nil"/>
          <w:left w:val="nil"/>
          <w:bottom w:val="nil"/>
          <w:right w:val="nil"/>
          <w:between w:val="nil"/>
        </w:pBdr>
        <w:spacing w:line="360" w:lineRule="auto"/>
        <w:ind w:left="2160" w:hanging="2160"/>
        <w:jc w:val="both"/>
        <w:rPr>
          <w:color w:val="000000"/>
        </w:rPr>
      </w:pPr>
    </w:p>
    <w:p w14:paraId="129875ED" w14:textId="77777777" w:rsidR="007960A8" w:rsidRDefault="00A26397">
      <w:pPr>
        <w:widowControl/>
        <w:pBdr>
          <w:top w:val="nil"/>
          <w:left w:val="nil"/>
          <w:bottom w:val="nil"/>
          <w:right w:val="nil"/>
          <w:between w:val="nil"/>
        </w:pBdr>
        <w:spacing w:line="360" w:lineRule="auto"/>
        <w:ind w:left="2160" w:hanging="2160"/>
        <w:jc w:val="both"/>
        <w:rPr>
          <w:color w:val="000000"/>
        </w:rPr>
      </w:pPr>
      <w:r>
        <w:rPr>
          <w:b/>
          <w:bCs/>
          <w:color w:val="000000"/>
        </w:rPr>
        <w:t>Personal Data</w:t>
      </w:r>
      <w:r>
        <w:rPr>
          <w:color w:val="000000"/>
        </w:rPr>
        <w:t xml:space="preserve">: </w:t>
      </w:r>
      <w:r>
        <w:rPr>
          <w:color w:val="000000"/>
        </w:rPr>
        <w:tab/>
        <w:t>has the meaning given to it in the UK GDPR or the EU GDPR as the context</w:t>
      </w:r>
      <w:r>
        <w:rPr>
          <w:color w:val="000000"/>
        </w:rPr>
        <w:t xml:space="preserve"> requires;</w:t>
      </w:r>
    </w:p>
    <w:p w14:paraId="7DF0BBB8" w14:textId="77777777" w:rsidR="007960A8" w:rsidRDefault="007960A8">
      <w:pPr>
        <w:widowControl/>
        <w:pBdr>
          <w:top w:val="nil"/>
          <w:left w:val="nil"/>
          <w:bottom w:val="nil"/>
          <w:right w:val="nil"/>
          <w:between w:val="nil"/>
        </w:pBdr>
        <w:spacing w:line="360" w:lineRule="auto"/>
        <w:ind w:left="2160" w:hanging="2160"/>
        <w:jc w:val="both"/>
        <w:rPr>
          <w:color w:val="000000"/>
        </w:rPr>
      </w:pPr>
    </w:p>
    <w:p w14:paraId="175E6BA5" w14:textId="77777777" w:rsidR="007960A8" w:rsidRDefault="00A26397">
      <w:pPr>
        <w:widowControl/>
        <w:pBdr>
          <w:top w:val="nil"/>
          <w:left w:val="nil"/>
          <w:bottom w:val="nil"/>
          <w:right w:val="nil"/>
          <w:between w:val="nil"/>
        </w:pBdr>
        <w:spacing w:line="360" w:lineRule="auto"/>
        <w:ind w:left="2160" w:hanging="2160"/>
        <w:jc w:val="both"/>
        <w:rPr>
          <w:color w:val="000000"/>
        </w:rPr>
      </w:pPr>
      <w:r>
        <w:rPr>
          <w:b/>
          <w:bCs/>
          <w:color w:val="000000"/>
        </w:rPr>
        <w:t>Processing</w:t>
      </w:r>
      <w:r>
        <w:rPr>
          <w:color w:val="000000"/>
        </w:rPr>
        <w:t xml:space="preserve">: </w:t>
      </w:r>
      <w:r>
        <w:rPr>
          <w:color w:val="000000"/>
        </w:rPr>
        <w:tab/>
        <w:t>has the meaning given to it in the UK GDPR or the EU GDPR as the context requires, and “Process” shall be construed accordingly;</w:t>
      </w:r>
    </w:p>
    <w:p w14:paraId="1C545EB4" w14:textId="77777777" w:rsidR="007960A8" w:rsidRDefault="007960A8">
      <w:pPr>
        <w:widowControl/>
        <w:pBdr>
          <w:top w:val="nil"/>
          <w:left w:val="nil"/>
          <w:bottom w:val="nil"/>
          <w:right w:val="nil"/>
          <w:between w:val="nil"/>
        </w:pBdr>
        <w:spacing w:line="360" w:lineRule="auto"/>
        <w:ind w:left="2160" w:hanging="2160"/>
        <w:jc w:val="both"/>
        <w:rPr>
          <w:color w:val="000000"/>
        </w:rPr>
      </w:pPr>
    </w:p>
    <w:p w14:paraId="6BC1D6FC" w14:textId="77777777" w:rsidR="007960A8" w:rsidRDefault="00A26397">
      <w:pPr>
        <w:widowControl/>
        <w:pBdr>
          <w:top w:val="nil"/>
          <w:left w:val="nil"/>
          <w:bottom w:val="nil"/>
          <w:right w:val="nil"/>
          <w:between w:val="nil"/>
        </w:pBdr>
        <w:spacing w:line="360" w:lineRule="auto"/>
        <w:ind w:left="2160" w:hanging="2160"/>
        <w:jc w:val="both"/>
        <w:rPr>
          <w:color w:val="000000"/>
        </w:rPr>
      </w:pPr>
      <w:r>
        <w:rPr>
          <w:b/>
          <w:bCs/>
          <w:color w:val="000000"/>
        </w:rPr>
        <w:t>Public Sector Body</w:t>
      </w:r>
      <w:r>
        <w:rPr>
          <w:color w:val="000000"/>
        </w:rPr>
        <w:t xml:space="preserve">: </w:t>
      </w:r>
      <w:r>
        <w:rPr>
          <w:color w:val="000000"/>
        </w:rPr>
        <w:tab/>
        <w:t>a formally established organisation that is (at least in part) publicly funded t</w:t>
      </w:r>
      <w:r>
        <w:rPr>
          <w:color w:val="000000"/>
        </w:rPr>
        <w:t>o deliver a public or government service;</w:t>
      </w:r>
    </w:p>
    <w:p w14:paraId="06617936" w14:textId="77777777" w:rsidR="007960A8" w:rsidRDefault="007960A8">
      <w:pPr>
        <w:widowControl/>
        <w:pBdr>
          <w:top w:val="nil"/>
          <w:left w:val="nil"/>
          <w:bottom w:val="nil"/>
          <w:right w:val="nil"/>
          <w:between w:val="nil"/>
        </w:pBdr>
        <w:spacing w:line="360" w:lineRule="auto"/>
        <w:ind w:left="2160" w:hanging="2160"/>
        <w:jc w:val="both"/>
        <w:rPr>
          <w:color w:val="000000"/>
        </w:rPr>
      </w:pPr>
    </w:p>
    <w:p w14:paraId="6473C33D"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Relevant Authority</w:t>
      </w:r>
      <w:r>
        <w:rPr>
          <w:color w:val="000000"/>
        </w:rPr>
        <w:t xml:space="preserve">: the </w:t>
      </w:r>
      <w:r>
        <w:rPr>
          <w:i/>
          <w:iCs/>
          <w:color w:val="000000"/>
        </w:rPr>
        <w:t>Client</w:t>
      </w:r>
      <w:r>
        <w:rPr>
          <w:color w:val="000000"/>
        </w:rPr>
        <w:t>;</w:t>
      </w:r>
    </w:p>
    <w:p w14:paraId="4815E4F5" w14:textId="77777777" w:rsidR="007960A8" w:rsidRDefault="007960A8">
      <w:pPr>
        <w:widowControl/>
        <w:pBdr>
          <w:top w:val="nil"/>
          <w:left w:val="nil"/>
          <w:bottom w:val="nil"/>
          <w:right w:val="nil"/>
          <w:between w:val="nil"/>
        </w:pBdr>
        <w:spacing w:line="360" w:lineRule="auto"/>
        <w:jc w:val="both"/>
        <w:rPr>
          <w:color w:val="000000"/>
        </w:rPr>
      </w:pPr>
    </w:p>
    <w:p w14:paraId="0AFD7721"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Replacement Service Provider</w:t>
      </w:r>
      <w:r>
        <w:rPr>
          <w:color w:val="000000"/>
        </w:rPr>
        <w:t xml:space="preserve">: any third party provider of Replacement Services appointed by or at the direction of the </w:t>
      </w:r>
      <w:r>
        <w:rPr>
          <w:i/>
          <w:iCs/>
          <w:color w:val="000000"/>
        </w:rPr>
        <w:t>Client</w:t>
      </w:r>
      <w:r>
        <w:rPr>
          <w:color w:val="000000"/>
        </w:rPr>
        <w:t xml:space="preserve"> from time to time or where the </w:t>
      </w:r>
      <w:r>
        <w:rPr>
          <w:i/>
          <w:iCs/>
          <w:color w:val="000000"/>
        </w:rPr>
        <w:t>Client</w:t>
      </w:r>
      <w:r>
        <w:rPr>
          <w:color w:val="000000"/>
        </w:rPr>
        <w:t xml:space="preserve"> is providing Replacement Services for its own account, shall also include the </w:t>
      </w:r>
      <w:r>
        <w:rPr>
          <w:i/>
          <w:iCs/>
          <w:color w:val="000000"/>
        </w:rPr>
        <w:t>Client</w:t>
      </w:r>
      <w:r>
        <w:rPr>
          <w:color w:val="000000"/>
        </w:rPr>
        <w:t>;</w:t>
      </w:r>
    </w:p>
    <w:p w14:paraId="38CFE496" w14:textId="77777777" w:rsidR="007960A8" w:rsidRDefault="007960A8">
      <w:pPr>
        <w:widowControl/>
        <w:pBdr>
          <w:top w:val="nil"/>
          <w:left w:val="nil"/>
          <w:bottom w:val="nil"/>
          <w:right w:val="nil"/>
          <w:between w:val="nil"/>
        </w:pBdr>
        <w:spacing w:line="360" w:lineRule="auto"/>
        <w:jc w:val="both"/>
        <w:rPr>
          <w:color w:val="000000"/>
        </w:rPr>
      </w:pPr>
    </w:p>
    <w:p w14:paraId="1A811FCB"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Replacement Services</w:t>
      </w:r>
      <w:r>
        <w:rPr>
          <w:color w:val="000000"/>
        </w:rPr>
        <w:t xml:space="preserve">: any services which are substantially similar to any of the </w:t>
      </w:r>
      <w:r>
        <w:rPr>
          <w:i/>
          <w:iCs/>
          <w:color w:val="000000"/>
        </w:rPr>
        <w:t>services</w:t>
      </w:r>
      <w:r>
        <w:rPr>
          <w:color w:val="000000"/>
        </w:rPr>
        <w:t xml:space="preserve"> and which the </w:t>
      </w:r>
      <w:r>
        <w:rPr>
          <w:i/>
          <w:iCs/>
          <w:color w:val="000000"/>
        </w:rPr>
        <w:t>Client</w:t>
      </w:r>
      <w:r>
        <w:rPr>
          <w:color w:val="000000"/>
        </w:rPr>
        <w:t xml:space="preserve"> receive in substitution for any of the </w:t>
      </w:r>
      <w:r>
        <w:rPr>
          <w:i/>
          <w:iCs/>
          <w:color w:val="000000"/>
        </w:rPr>
        <w:t>services</w:t>
      </w:r>
      <w:r>
        <w:rPr>
          <w:color w:val="000000"/>
        </w:rPr>
        <w:t xml:space="preserve"> following the Contract Date, whether those goods are provided by the </w:t>
      </w:r>
      <w:r>
        <w:rPr>
          <w:i/>
          <w:iCs/>
          <w:color w:val="000000"/>
        </w:rPr>
        <w:t>Client</w:t>
      </w:r>
      <w:r>
        <w:rPr>
          <w:color w:val="000000"/>
        </w:rPr>
        <w:t xml:space="preserve"> internally and/or by any third party;</w:t>
      </w:r>
    </w:p>
    <w:p w14:paraId="66AD654B" w14:textId="77777777" w:rsidR="007960A8" w:rsidRDefault="007960A8">
      <w:pPr>
        <w:widowControl/>
        <w:pBdr>
          <w:top w:val="nil"/>
          <w:left w:val="nil"/>
          <w:bottom w:val="nil"/>
          <w:right w:val="nil"/>
          <w:between w:val="nil"/>
        </w:pBdr>
        <w:spacing w:line="360" w:lineRule="auto"/>
        <w:jc w:val="both"/>
        <w:rPr>
          <w:color w:val="000000"/>
        </w:rPr>
      </w:pPr>
    </w:p>
    <w:p w14:paraId="2513D114"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Se</w:t>
      </w:r>
      <w:r>
        <w:rPr>
          <w:b/>
          <w:bCs/>
          <w:color w:val="000000"/>
        </w:rPr>
        <w:t>rvice Provider Existing IPR</w:t>
      </w:r>
      <w:r>
        <w:rPr>
          <w:color w:val="000000"/>
        </w:rPr>
        <w:t xml:space="preserve">: a licence to be offered by the </w:t>
      </w:r>
      <w:r>
        <w:rPr>
          <w:i/>
          <w:iCs/>
          <w:color w:val="000000"/>
        </w:rPr>
        <w:t>Service Provider</w:t>
      </w:r>
      <w:r>
        <w:rPr>
          <w:color w:val="000000"/>
        </w:rPr>
        <w:t xml:space="preserve"> to the Service Provider Existing IPR as set out in this schedule;</w:t>
      </w:r>
    </w:p>
    <w:p w14:paraId="0448B626" w14:textId="77777777" w:rsidR="007960A8" w:rsidRDefault="007960A8">
      <w:pPr>
        <w:widowControl/>
        <w:pBdr>
          <w:top w:val="nil"/>
          <w:left w:val="nil"/>
          <w:bottom w:val="nil"/>
          <w:right w:val="nil"/>
          <w:between w:val="nil"/>
        </w:pBdr>
        <w:spacing w:line="360" w:lineRule="auto"/>
        <w:jc w:val="both"/>
        <w:rPr>
          <w:color w:val="000000"/>
        </w:rPr>
      </w:pPr>
    </w:p>
    <w:p w14:paraId="74808706"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Service Provider Existing IPR Licence</w:t>
      </w:r>
      <w:r>
        <w:rPr>
          <w:color w:val="000000"/>
        </w:rPr>
        <w:t xml:space="preserve">: any and all IPR that is owned or licensed to the </w:t>
      </w:r>
      <w:r>
        <w:rPr>
          <w:i/>
          <w:iCs/>
          <w:color w:val="000000"/>
        </w:rPr>
        <w:t>Service Provider</w:t>
      </w:r>
      <w:r>
        <w:rPr>
          <w:color w:val="000000"/>
        </w:rPr>
        <w:t xml:space="preserve"> and whi</w:t>
      </w:r>
      <w:r>
        <w:rPr>
          <w:color w:val="000000"/>
        </w:rPr>
        <w:t>ch are or have been developed independently of the Contract (whether prior to the Contract Date or otherwise);</w:t>
      </w:r>
    </w:p>
    <w:p w14:paraId="01C8EC5E" w14:textId="77777777" w:rsidR="007960A8" w:rsidRDefault="007960A8">
      <w:pPr>
        <w:widowControl/>
        <w:pBdr>
          <w:top w:val="nil"/>
          <w:left w:val="nil"/>
          <w:bottom w:val="nil"/>
          <w:right w:val="nil"/>
          <w:between w:val="nil"/>
        </w:pBdr>
        <w:spacing w:line="360" w:lineRule="auto"/>
        <w:jc w:val="both"/>
        <w:rPr>
          <w:color w:val="000000"/>
        </w:rPr>
      </w:pPr>
    </w:p>
    <w:p w14:paraId="142076F1"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Service Provider New and Existing IPR Licence</w:t>
      </w:r>
      <w:r>
        <w:rPr>
          <w:color w:val="000000"/>
        </w:rPr>
        <w:t xml:space="preserve">: a licence to be offered by the </w:t>
      </w:r>
      <w:r>
        <w:rPr>
          <w:i/>
          <w:iCs/>
          <w:color w:val="000000"/>
        </w:rPr>
        <w:t>Service Provider</w:t>
      </w:r>
      <w:r>
        <w:rPr>
          <w:color w:val="000000"/>
        </w:rPr>
        <w:t xml:space="preserve"> to the NEW IPR and Service Provider Existing IPR </w:t>
      </w:r>
      <w:r>
        <w:rPr>
          <w:color w:val="000000"/>
        </w:rPr>
        <w:t>as set out in this schedule;</w:t>
      </w:r>
    </w:p>
    <w:p w14:paraId="3C7FB626" w14:textId="77777777" w:rsidR="007960A8" w:rsidRDefault="007960A8">
      <w:pPr>
        <w:widowControl/>
        <w:pBdr>
          <w:top w:val="nil"/>
          <w:left w:val="nil"/>
          <w:bottom w:val="nil"/>
          <w:right w:val="nil"/>
          <w:between w:val="nil"/>
        </w:pBdr>
        <w:spacing w:line="360" w:lineRule="auto"/>
        <w:jc w:val="both"/>
        <w:rPr>
          <w:color w:val="000000"/>
        </w:rPr>
      </w:pPr>
    </w:p>
    <w:p w14:paraId="0A7B9BEF"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Third Party IPR</w:t>
      </w:r>
      <w:r>
        <w:rPr>
          <w:color w:val="000000"/>
        </w:rPr>
        <w:t xml:space="preserve">: Intellectual Property Rights owned by a third party which is or will be used by the </w:t>
      </w:r>
      <w:r>
        <w:rPr>
          <w:i/>
          <w:iCs/>
          <w:color w:val="000000"/>
        </w:rPr>
        <w:t>Service Provider</w:t>
      </w:r>
      <w:r>
        <w:rPr>
          <w:color w:val="000000"/>
        </w:rPr>
        <w:t xml:space="preserve"> for the purpose of providing the </w:t>
      </w:r>
      <w:r>
        <w:rPr>
          <w:i/>
          <w:iCs/>
          <w:color w:val="000000"/>
        </w:rPr>
        <w:t>services</w:t>
      </w:r>
      <w:r>
        <w:rPr>
          <w:color w:val="000000"/>
        </w:rPr>
        <w:t>;</w:t>
      </w:r>
    </w:p>
    <w:p w14:paraId="4319E848" w14:textId="77777777" w:rsidR="007960A8" w:rsidRDefault="007960A8">
      <w:pPr>
        <w:widowControl/>
        <w:pBdr>
          <w:top w:val="nil"/>
          <w:left w:val="nil"/>
          <w:bottom w:val="nil"/>
          <w:right w:val="nil"/>
          <w:between w:val="nil"/>
        </w:pBdr>
        <w:spacing w:line="360" w:lineRule="auto"/>
        <w:jc w:val="both"/>
        <w:rPr>
          <w:color w:val="000000"/>
        </w:rPr>
      </w:pPr>
    </w:p>
    <w:p w14:paraId="53F0DE6F"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Third Party IPR Licence</w:t>
      </w:r>
      <w:r>
        <w:rPr>
          <w:color w:val="000000"/>
        </w:rPr>
        <w:t xml:space="preserve">: a licence to be offered by the </w:t>
      </w:r>
      <w:r>
        <w:rPr>
          <w:i/>
          <w:iCs/>
          <w:color w:val="000000"/>
        </w:rPr>
        <w:t xml:space="preserve">Service </w:t>
      </w:r>
      <w:r>
        <w:rPr>
          <w:i/>
          <w:iCs/>
          <w:color w:val="000000"/>
        </w:rPr>
        <w:t>Provider</w:t>
      </w:r>
      <w:r>
        <w:rPr>
          <w:color w:val="000000"/>
        </w:rPr>
        <w:t xml:space="preserve"> to the Third Party IPR as set out in this Schedule;</w:t>
      </w:r>
    </w:p>
    <w:p w14:paraId="5A921EB7" w14:textId="77777777" w:rsidR="007960A8" w:rsidRDefault="007960A8">
      <w:pPr>
        <w:widowControl/>
        <w:pBdr>
          <w:top w:val="nil"/>
          <w:left w:val="nil"/>
          <w:bottom w:val="nil"/>
          <w:right w:val="nil"/>
          <w:between w:val="nil"/>
        </w:pBdr>
        <w:spacing w:line="360" w:lineRule="auto"/>
        <w:jc w:val="both"/>
        <w:rPr>
          <w:color w:val="000000"/>
        </w:rPr>
      </w:pPr>
    </w:p>
    <w:p w14:paraId="32B13CE1" w14:textId="77777777" w:rsidR="007960A8" w:rsidRDefault="00A26397">
      <w:pPr>
        <w:widowControl/>
        <w:pBdr>
          <w:top w:val="nil"/>
          <w:left w:val="nil"/>
          <w:bottom w:val="nil"/>
          <w:right w:val="nil"/>
          <w:between w:val="nil"/>
        </w:pBdr>
        <w:spacing w:line="360" w:lineRule="auto"/>
        <w:jc w:val="both"/>
        <w:rPr>
          <w:color w:val="000000"/>
        </w:rPr>
      </w:pPr>
      <w:r>
        <w:rPr>
          <w:b/>
          <w:bCs/>
          <w:color w:val="000000"/>
        </w:rPr>
        <w:t>UK GDPR</w:t>
      </w:r>
      <w:r>
        <w:rPr>
          <w:color w:val="000000"/>
        </w:rPr>
        <w:t>: the assimilated EU law version of the General Data Protection Regulation (Regulation (EU) 2016/679)</w:t>
      </w:r>
    </w:p>
    <w:p w14:paraId="54795AE1" w14:textId="77777777" w:rsidR="007960A8" w:rsidRDefault="007960A8">
      <w:pPr>
        <w:spacing w:after="240" w:line="276" w:lineRule="auto"/>
      </w:pPr>
    </w:p>
    <w:p w14:paraId="4EA04D18" w14:textId="77777777" w:rsidR="007960A8" w:rsidRDefault="00A26397">
      <w:pPr>
        <w:spacing w:after="240" w:line="276" w:lineRule="auto"/>
        <w:rPr>
          <w:sz w:val="36"/>
          <w:szCs w:val="36"/>
        </w:rPr>
      </w:pPr>
      <w:r>
        <w:br w:type="page"/>
      </w:r>
    </w:p>
    <w:p w14:paraId="76BA6603" w14:textId="77777777" w:rsidR="007960A8" w:rsidRDefault="00A26397">
      <w:pPr>
        <w:spacing w:after="240" w:line="276" w:lineRule="auto"/>
        <w:rPr>
          <w:sz w:val="36"/>
          <w:szCs w:val="36"/>
        </w:rPr>
      </w:pPr>
      <w:r>
        <w:rPr>
          <w:sz w:val="36"/>
          <w:szCs w:val="36"/>
        </w:rPr>
        <w:t>IPR Option A1</w:t>
      </w:r>
    </w:p>
    <w:p w14:paraId="67E86830" w14:textId="77777777" w:rsidR="007960A8" w:rsidRDefault="00A26397">
      <w:pPr>
        <w:keepNext/>
        <w:keepLines/>
        <w:widowControl/>
        <w:numPr>
          <w:ilvl w:val="0"/>
          <w:numId w:val="103"/>
        </w:numPr>
        <w:pBdr>
          <w:top w:val="nil"/>
          <w:left w:val="nil"/>
          <w:bottom w:val="nil"/>
          <w:right w:val="nil"/>
          <w:between w:val="nil"/>
        </w:pBdr>
        <w:spacing w:after="240"/>
        <w:jc w:val="both"/>
      </w:pPr>
      <w:r>
        <w:rPr>
          <w:b/>
          <w:bCs/>
          <w:color w:val="000000"/>
          <w:sz w:val="21"/>
          <w:szCs w:val="21"/>
        </w:rPr>
        <w:t>General Provisions and Ownership of IPR</w:t>
      </w:r>
    </w:p>
    <w:p w14:paraId="59F1F73E"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0" w:name="bookmark=id.nb25ndhlxgtq" w:colFirst="0" w:colLast="0"/>
      <w:bookmarkEnd w:id="100"/>
      <w:r>
        <w:rPr>
          <w:color w:val="000000"/>
        </w:rPr>
        <w:t xml:space="preserve">Any New IPR created under the Contract is owned by the </w:t>
      </w:r>
      <w:r>
        <w:rPr>
          <w:i/>
          <w:iCs/>
          <w:color w:val="000000"/>
        </w:rPr>
        <w:t>Client</w:t>
      </w:r>
      <w:r>
        <w:rPr>
          <w:color w:val="000000"/>
        </w:rPr>
        <w:t>.</w:t>
      </w:r>
    </w:p>
    <w:p w14:paraId="32A6DE64"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1" w:name="bookmark=id.hhn864ommpsg" w:colFirst="0" w:colLast="0"/>
      <w:bookmarkEnd w:id="101"/>
      <w:r>
        <w:rPr>
          <w:color w:val="000000"/>
        </w:rPr>
        <w:t>Each party keeps ownership of its own Existing IPR.</w:t>
      </w:r>
    </w:p>
    <w:p w14:paraId="46AE6623"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Where either party acquires, by operation of law, ownership of Intellectual Property Rights that is inconsistent with Paragraphs 1.1 and 1.2, it must assign in writing the Intellectual Property Rights concerned to the other party on the other party’s reque</w:t>
      </w:r>
      <w:r>
        <w:rPr>
          <w:color w:val="000000"/>
        </w:rPr>
        <w:t>st (whenever made).</w:t>
      </w:r>
    </w:p>
    <w:p w14:paraId="2B913551"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Neither party has the right to use the other party’s IPR, including any use of the other party’s names, logos or trademarks, except as expressly granted elsewhere under the Contract or otherwise agreed in writing.</w:t>
      </w:r>
    </w:p>
    <w:p w14:paraId="7CB72DC7"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Except as expressly gr</w:t>
      </w:r>
      <w:r>
        <w:rPr>
          <w:color w:val="000000"/>
        </w:rPr>
        <w:t>anted elsewhere under the Contract, neither party acquires any right, title or interest in or to the IPR owned by the other party or any third party.</w:t>
      </w:r>
    </w:p>
    <w:p w14:paraId="1A6424D4"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Unless otherwise agreed in writing, the </w:t>
      </w:r>
      <w:r>
        <w:rPr>
          <w:i/>
          <w:iCs/>
          <w:color w:val="000000"/>
        </w:rPr>
        <w:t>Service Provider</w:t>
      </w:r>
      <w:r>
        <w:rPr>
          <w:color w:val="000000"/>
        </w:rPr>
        <w:t xml:space="preserve"> and the </w:t>
      </w:r>
      <w:r>
        <w:rPr>
          <w:i/>
          <w:iCs/>
          <w:color w:val="000000"/>
        </w:rPr>
        <w:t>Client</w:t>
      </w:r>
      <w:r>
        <w:rPr>
          <w:color w:val="000000"/>
        </w:rPr>
        <w:t xml:space="preserve"> will record any New IPR in the tab</w:t>
      </w:r>
      <w:r>
        <w:rPr>
          <w:color w:val="000000"/>
        </w:rPr>
        <w:t xml:space="preserve">le at Annex 1 to this Schedule and keep this updated throughout the </w:t>
      </w:r>
      <w:r>
        <w:rPr>
          <w:i/>
          <w:iCs/>
          <w:color w:val="000000"/>
        </w:rPr>
        <w:t>service period</w:t>
      </w:r>
      <w:r>
        <w:rPr>
          <w:color w:val="000000"/>
        </w:rPr>
        <w:t>.</w:t>
      </w:r>
    </w:p>
    <w:p w14:paraId="0EE5A479"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If the </w:t>
      </w:r>
      <w:r>
        <w:rPr>
          <w:i/>
          <w:iCs/>
          <w:color w:val="000000"/>
        </w:rPr>
        <w:t>Service Provider</w:t>
      </w:r>
      <w:r>
        <w:rPr>
          <w:color w:val="000000"/>
        </w:rPr>
        <w:t xml:space="preserve"> becomes aware at any time, including after the </w:t>
      </w:r>
      <w:r>
        <w:rPr>
          <w:i/>
          <w:iCs/>
          <w:color w:val="000000"/>
        </w:rPr>
        <w:t>service period</w:t>
      </w:r>
      <w:r>
        <w:rPr>
          <w:color w:val="000000"/>
        </w:rPr>
        <w:t xml:space="preserve"> or date of termination, that, in respect of any of the  </w:t>
      </w:r>
      <w:r>
        <w:rPr>
          <w:i/>
          <w:iCs/>
          <w:color w:val="000000"/>
        </w:rPr>
        <w:t>services</w:t>
      </w:r>
      <w:r>
        <w:rPr>
          <w:color w:val="000000"/>
        </w:rPr>
        <w:t xml:space="preserve">, the </w:t>
      </w:r>
      <w:r>
        <w:rPr>
          <w:i/>
          <w:iCs/>
          <w:color w:val="000000"/>
        </w:rPr>
        <w:t>Client</w:t>
      </w:r>
      <w:r>
        <w:rPr>
          <w:color w:val="000000"/>
        </w:rPr>
        <w:t xml:space="preserve"> has not r</w:t>
      </w:r>
      <w:r>
        <w:rPr>
          <w:color w:val="000000"/>
        </w:rPr>
        <w:t xml:space="preserve">eceived the licences to Service Provider Existing IPRs or Third Party IPRs required by Paragraphs 2 and 4, the </w:t>
      </w:r>
      <w:r>
        <w:rPr>
          <w:i/>
          <w:iCs/>
          <w:color w:val="000000"/>
        </w:rPr>
        <w:t>Service Provider</w:t>
      </w:r>
      <w:r>
        <w:rPr>
          <w:color w:val="000000"/>
        </w:rPr>
        <w:t xml:space="preserve"> must, within 10 Working Days notify the </w:t>
      </w:r>
      <w:r>
        <w:rPr>
          <w:i/>
          <w:iCs/>
          <w:color w:val="000000"/>
        </w:rPr>
        <w:t>Client</w:t>
      </w:r>
      <w:r>
        <w:rPr>
          <w:color w:val="000000"/>
        </w:rPr>
        <w:t>:</w:t>
      </w:r>
    </w:p>
    <w:p w14:paraId="1AE36610"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specific Intellectual Property Rights the </w:t>
      </w:r>
      <w:r>
        <w:rPr>
          <w:i/>
          <w:iCs/>
          <w:color w:val="000000"/>
        </w:rPr>
        <w:t>Client</w:t>
      </w:r>
      <w:r>
        <w:rPr>
          <w:color w:val="000000"/>
        </w:rPr>
        <w:t xml:space="preserve"> has not received licences t</w:t>
      </w:r>
      <w:r>
        <w:rPr>
          <w:color w:val="000000"/>
        </w:rPr>
        <w:t>o; and</w:t>
      </w:r>
    </w:p>
    <w:p w14:paraId="20CF3ED1"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services</w:t>
      </w:r>
      <w:r>
        <w:rPr>
          <w:color w:val="000000"/>
        </w:rPr>
        <w:t xml:space="preserve"> affected.</w:t>
      </w:r>
    </w:p>
    <w:p w14:paraId="49A9AAF2"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For the avoidance of doubt except as provided for in Paragraphs 2.3.2.2(c)((i)) or 4.1.2.2 and 4.1.2.3, the expiry or termination of the Contract does not of itself terminate the licences granted to the </w:t>
      </w:r>
      <w:r>
        <w:rPr>
          <w:i/>
          <w:iCs/>
          <w:color w:val="000000"/>
        </w:rPr>
        <w:t>Client</w:t>
      </w:r>
      <w:r>
        <w:rPr>
          <w:color w:val="000000"/>
        </w:rPr>
        <w:t xml:space="preserve"> under Paragraphs 2 and 4.</w:t>
      </w:r>
    </w:p>
    <w:p w14:paraId="0D0FE9A6" w14:textId="77777777" w:rsidR="007960A8" w:rsidRDefault="00A26397">
      <w:pPr>
        <w:keepNext/>
        <w:keepLines/>
        <w:widowControl/>
        <w:numPr>
          <w:ilvl w:val="0"/>
          <w:numId w:val="103"/>
        </w:numPr>
        <w:pBdr>
          <w:top w:val="nil"/>
          <w:left w:val="nil"/>
          <w:bottom w:val="nil"/>
          <w:right w:val="nil"/>
          <w:between w:val="nil"/>
        </w:pBdr>
        <w:spacing w:after="240"/>
        <w:jc w:val="both"/>
        <w:rPr>
          <w:b/>
          <w:bCs/>
          <w:color w:val="000000"/>
        </w:rPr>
      </w:pPr>
      <w:bookmarkStart w:id="102" w:name="bookmark=id.2leroajfevbx" w:colFirst="0" w:colLast="0"/>
      <w:bookmarkEnd w:id="102"/>
      <w:r>
        <w:rPr>
          <w:b/>
          <w:bCs/>
          <w:color w:val="000000"/>
        </w:rPr>
        <w:t xml:space="preserve">Licences in respect </w:t>
      </w:r>
      <w:r>
        <w:rPr>
          <w:b/>
          <w:bCs/>
          <w:color w:val="000000"/>
        </w:rPr>
        <w:t>of Service Provider Existing IPR</w:t>
      </w:r>
    </w:p>
    <w:p w14:paraId="36832FB7"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3" w:name="bookmark=id.vrw91oow6e1u" w:colFirst="0" w:colLast="0"/>
      <w:bookmarkEnd w:id="103"/>
      <w:r>
        <w:rPr>
          <w:color w:val="000000"/>
        </w:rPr>
        <w:t xml:space="preserve">The </w:t>
      </w:r>
      <w:r>
        <w:rPr>
          <w:i/>
          <w:iCs/>
          <w:color w:val="000000"/>
        </w:rPr>
        <w:t>Service Provider</w:t>
      </w:r>
      <w:r>
        <w:rPr>
          <w:color w:val="000000"/>
        </w:rPr>
        <w:t xml:space="preserve"> grants the </w:t>
      </w:r>
      <w:r>
        <w:rPr>
          <w:i/>
          <w:iCs/>
          <w:color w:val="000000"/>
        </w:rPr>
        <w:t>Client</w:t>
      </w:r>
      <w:r>
        <w:rPr>
          <w:color w:val="000000"/>
        </w:rPr>
        <w:t xml:space="preserve"> a Service Provider Existing IPR Licence on the terms set out in Paragraph 2.3 in respect of the </w:t>
      </w:r>
      <w:r>
        <w:rPr>
          <w:i/>
          <w:iCs/>
          <w:color w:val="000000"/>
        </w:rPr>
        <w:t>services</w:t>
      </w:r>
      <w:r>
        <w:rPr>
          <w:color w:val="000000"/>
        </w:rPr>
        <w:t xml:space="preserve"> where:</w:t>
      </w:r>
    </w:p>
    <w:p w14:paraId="61CA51FA"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Service Provider Existing IPR is embedded in the </w:t>
      </w:r>
      <w:r>
        <w:rPr>
          <w:i/>
          <w:iCs/>
          <w:color w:val="000000"/>
        </w:rPr>
        <w:t>services</w:t>
      </w:r>
      <w:r>
        <w:rPr>
          <w:color w:val="000000"/>
        </w:rPr>
        <w:t>;</w:t>
      </w:r>
    </w:p>
    <w:p w14:paraId="29B7BD23"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Service Provider Existing IPR is necessary for the </w:t>
      </w:r>
      <w:r>
        <w:rPr>
          <w:i/>
          <w:iCs/>
          <w:color w:val="000000"/>
        </w:rPr>
        <w:t>Client</w:t>
      </w:r>
      <w:r>
        <w:rPr>
          <w:color w:val="000000"/>
        </w:rPr>
        <w:t xml:space="preserve"> to use the </w:t>
      </w:r>
      <w:r>
        <w:rPr>
          <w:i/>
          <w:iCs/>
          <w:color w:val="000000"/>
        </w:rPr>
        <w:t>service</w:t>
      </w:r>
      <w:r>
        <w:rPr>
          <w:i/>
          <w:iCs/>
          <w:color w:val="000000"/>
        </w:rPr>
        <w:t>s</w:t>
      </w:r>
      <w:r>
        <w:rPr>
          <w:color w:val="000000"/>
        </w:rPr>
        <w:t xml:space="preserve"> for its intended purpose; or</w:t>
      </w:r>
    </w:p>
    <w:p w14:paraId="08DFAEFA"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services</w:t>
      </w:r>
      <w:r>
        <w:rPr>
          <w:color w:val="000000"/>
        </w:rPr>
        <w:t xml:space="preserve"> are a customisation or adaptation of Service Provider Existing IPR.</w:t>
      </w:r>
    </w:p>
    <w:p w14:paraId="08485656"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The categories of Service Provider Existing IPR described in Paragraph 2.1 are mutually exclusive.</w:t>
      </w:r>
    </w:p>
    <w:p w14:paraId="5A24C67B"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4" w:name="bookmark=id.n4u523t6vjj4" w:colFirst="0" w:colLast="0"/>
      <w:bookmarkEnd w:id="104"/>
      <w:r>
        <w:rPr>
          <w:color w:val="000000"/>
        </w:rPr>
        <w:t>The Service Provider Existing IPR Licence gra</w:t>
      </w:r>
      <w:r>
        <w:rPr>
          <w:color w:val="000000"/>
        </w:rPr>
        <w:t xml:space="preserve">nted by the </w:t>
      </w:r>
      <w:r>
        <w:rPr>
          <w:i/>
          <w:iCs/>
          <w:color w:val="000000"/>
        </w:rPr>
        <w:t>Service Provider</w:t>
      </w:r>
      <w:r>
        <w:rPr>
          <w:color w:val="000000"/>
        </w:rPr>
        <w:t xml:space="preserve"> to the </w:t>
      </w:r>
      <w:r>
        <w:rPr>
          <w:i/>
          <w:iCs/>
          <w:color w:val="000000"/>
        </w:rPr>
        <w:t>Client</w:t>
      </w:r>
      <w:r>
        <w:rPr>
          <w:color w:val="000000"/>
        </w:rPr>
        <w:t xml:space="preserve"> is a non-exclusive, perpetual, royalty-free, irrevocable, transferable, sub-licensable, worldwide licence that:</w:t>
      </w:r>
    </w:p>
    <w:p w14:paraId="4FDF4116"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in the case of Service Provider Existing IPR embedded in the </w:t>
      </w:r>
      <w:r>
        <w:rPr>
          <w:i/>
          <w:iCs/>
          <w:color w:val="000000"/>
        </w:rPr>
        <w:t>services</w:t>
      </w:r>
      <w:r>
        <w:rPr>
          <w:color w:val="000000"/>
        </w:rPr>
        <w:t>:</w:t>
      </w:r>
    </w:p>
    <w:p w14:paraId="42D0D21E"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has no restriction on the identity of any transferee or sub-licensee;</w:t>
      </w:r>
    </w:p>
    <w:p w14:paraId="60199CAB"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allows the </w:t>
      </w:r>
      <w:r>
        <w:rPr>
          <w:i/>
          <w:iCs/>
          <w:color w:val="000000"/>
        </w:rPr>
        <w:t>Client</w:t>
      </w:r>
      <w:r>
        <w:rPr>
          <w:color w:val="000000"/>
        </w:rPr>
        <w:t xml:space="preserve"> and any transferee or sub-licensee to use, copy and adapt the Service Provider Existing IPR for any of the purposes set out in Paragraph 2.4; and</w:t>
      </w:r>
    </w:p>
    <w:p w14:paraId="519C28CF"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is subject to the rest</w:t>
      </w:r>
      <w:r>
        <w:rPr>
          <w:color w:val="000000"/>
        </w:rPr>
        <w:t xml:space="preserve">riction that no sub-licence granted to the Service Provider Existing IPR shall purport to provide the sub-licensee with any wider rights than those granted to the </w:t>
      </w:r>
      <w:r>
        <w:rPr>
          <w:i/>
          <w:iCs/>
          <w:color w:val="000000"/>
        </w:rPr>
        <w:t>Client</w:t>
      </w:r>
      <w:r>
        <w:rPr>
          <w:color w:val="000000"/>
        </w:rPr>
        <w:t xml:space="preserve"> under this Paragraph;</w:t>
      </w:r>
    </w:p>
    <w:p w14:paraId="6ED65B1F"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in the case of Service Provider Existing IPR that is necessary f</w:t>
      </w:r>
      <w:r>
        <w:rPr>
          <w:color w:val="000000"/>
        </w:rPr>
        <w:t xml:space="preserve">or the </w:t>
      </w:r>
      <w:r>
        <w:rPr>
          <w:i/>
          <w:iCs/>
          <w:color w:val="000000"/>
        </w:rPr>
        <w:t>Client</w:t>
      </w:r>
      <w:r>
        <w:rPr>
          <w:color w:val="000000"/>
        </w:rPr>
        <w:t xml:space="preserve"> to use the </w:t>
      </w:r>
      <w:r>
        <w:rPr>
          <w:i/>
          <w:iCs/>
          <w:color w:val="000000"/>
        </w:rPr>
        <w:t>services</w:t>
      </w:r>
      <w:r>
        <w:rPr>
          <w:color w:val="000000"/>
        </w:rPr>
        <w:t xml:space="preserve"> for its intended purpose or has been customised or adapted to provide the </w:t>
      </w:r>
      <w:r>
        <w:rPr>
          <w:i/>
          <w:iCs/>
          <w:color w:val="000000"/>
        </w:rPr>
        <w:t>services</w:t>
      </w:r>
      <w:r>
        <w:rPr>
          <w:color w:val="000000"/>
        </w:rPr>
        <w:t>:</w:t>
      </w:r>
    </w:p>
    <w:p w14:paraId="3072B0DE"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allows the </w:t>
      </w:r>
      <w:r>
        <w:rPr>
          <w:i/>
          <w:iCs/>
          <w:color w:val="000000"/>
        </w:rPr>
        <w:t>Client</w:t>
      </w:r>
      <w:r>
        <w:rPr>
          <w:color w:val="000000"/>
        </w:rPr>
        <w:t xml:space="preserve"> and any transferee or sublicensee to use and copy, but not adapt, disassemble or reverse engineer the relevant Service Provider Existing IPRs for any of the purposes set out in Paragraph 2.4; and</w:t>
      </w:r>
    </w:p>
    <w:p w14:paraId="3AF8112F"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is transferrable to only:</w:t>
      </w:r>
    </w:p>
    <w:p w14:paraId="59B81E6D"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a Crown Body;</w:t>
      </w:r>
    </w:p>
    <w:p w14:paraId="07741A16"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any body (including</w:t>
      </w:r>
      <w:r>
        <w:rPr>
          <w:color w:val="000000"/>
        </w:rPr>
        <w:t xml:space="preserve"> any private sector body) that performs or carries out any of the functions or activities that the </w:t>
      </w:r>
      <w:r>
        <w:rPr>
          <w:i/>
          <w:iCs/>
          <w:color w:val="000000"/>
        </w:rPr>
        <w:t>Client</w:t>
      </w:r>
      <w:r>
        <w:rPr>
          <w:color w:val="000000"/>
        </w:rPr>
        <w:t xml:space="preserve"> had previously performed or carried out; or</w:t>
      </w:r>
    </w:p>
    <w:p w14:paraId="0C197358"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 xml:space="preserve">a person or organisation that is not a direct competitor of the </w:t>
      </w:r>
      <w:r>
        <w:rPr>
          <w:i/>
          <w:iCs/>
          <w:color w:val="000000"/>
        </w:rPr>
        <w:t>Service Provider</w:t>
      </w:r>
      <w:r>
        <w:rPr>
          <w:color w:val="000000"/>
        </w:rPr>
        <w:t xml:space="preserve"> and that transferee eithe</w:t>
      </w:r>
      <w:r>
        <w:rPr>
          <w:color w:val="000000"/>
        </w:rPr>
        <w:t>r:</w:t>
      </w:r>
    </w:p>
    <w:p w14:paraId="476AB708" w14:textId="77777777" w:rsidR="007960A8" w:rsidRDefault="00A26397">
      <w:pPr>
        <w:widowControl/>
        <w:numPr>
          <w:ilvl w:val="4"/>
          <w:numId w:val="95"/>
        </w:numPr>
        <w:pBdr>
          <w:top w:val="nil"/>
          <w:left w:val="nil"/>
          <w:bottom w:val="nil"/>
          <w:right w:val="nil"/>
          <w:between w:val="nil"/>
        </w:pBdr>
        <w:spacing w:after="240"/>
        <w:ind w:left="4678"/>
        <w:jc w:val="both"/>
        <w:rPr>
          <w:color w:val="000000"/>
        </w:rPr>
      </w:pPr>
      <w:bookmarkStart w:id="105" w:name="bookmark=id.uyj0yaq3crpp" w:colFirst="0" w:colLast="0"/>
      <w:bookmarkEnd w:id="105"/>
      <w:r>
        <w:rPr>
          <w:color w:val="000000"/>
        </w:rPr>
        <w:t xml:space="preserve">enters into a direct arrangement with the </w:t>
      </w:r>
      <w:r>
        <w:rPr>
          <w:i/>
          <w:iCs/>
          <w:color w:val="000000"/>
        </w:rPr>
        <w:t>Service Provider</w:t>
      </w:r>
      <w:r>
        <w:rPr>
          <w:color w:val="000000"/>
        </w:rPr>
        <w:t xml:space="preserve"> in the form set out in Annex 2; or</w:t>
      </w:r>
    </w:p>
    <w:p w14:paraId="63FC935B" w14:textId="77777777" w:rsidR="007960A8" w:rsidRDefault="00A26397">
      <w:pPr>
        <w:widowControl/>
        <w:numPr>
          <w:ilvl w:val="4"/>
          <w:numId w:val="95"/>
        </w:numPr>
        <w:pBdr>
          <w:top w:val="nil"/>
          <w:left w:val="nil"/>
          <w:bottom w:val="nil"/>
          <w:right w:val="nil"/>
          <w:between w:val="nil"/>
        </w:pBdr>
        <w:spacing w:after="240"/>
        <w:ind w:left="4678"/>
        <w:jc w:val="both"/>
        <w:rPr>
          <w:color w:val="000000"/>
        </w:rPr>
      </w:pPr>
      <w:r>
        <w:rPr>
          <w:color w:val="000000"/>
        </w:rPr>
        <w:t xml:space="preserve">enters into a confidentiality arrangement with the </w:t>
      </w:r>
      <w:r>
        <w:rPr>
          <w:i/>
          <w:iCs/>
          <w:color w:val="000000"/>
        </w:rPr>
        <w:t>Client</w:t>
      </w:r>
      <w:r>
        <w:rPr>
          <w:color w:val="000000"/>
        </w:rPr>
        <w:t xml:space="preserve"> in terms agreed by both parties, acting reasonably; </w:t>
      </w:r>
    </w:p>
    <w:p w14:paraId="6BAE0803"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is sub-licensable to any Replacement Service Provider (including where the Replacement Service Provider is a competitor of the </w:t>
      </w:r>
      <w:r>
        <w:rPr>
          <w:i/>
          <w:iCs/>
          <w:color w:val="000000"/>
        </w:rPr>
        <w:t>Service Provider</w:t>
      </w:r>
      <w:r>
        <w:rPr>
          <w:color w:val="000000"/>
        </w:rPr>
        <w:t>) where the Replacement Service Provider either:</w:t>
      </w:r>
    </w:p>
    <w:p w14:paraId="0E7641E5"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enters int</w:t>
      </w:r>
      <w:r>
        <w:rPr>
          <w:color w:val="000000"/>
        </w:rPr>
        <w:t xml:space="preserve">o a direct arrangement with the </w:t>
      </w:r>
      <w:r>
        <w:rPr>
          <w:i/>
          <w:iCs/>
          <w:color w:val="000000"/>
        </w:rPr>
        <w:t>Service Provider</w:t>
      </w:r>
      <w:r>
        <w:rPr>
          <w:color w:val="000000"/>
        </w:rPr>
        <w:t xml:space="preserve"> in the form set out in Annex 2; or</w:t>
      </w:r>
    </w:p>
    <w:p w14:paraId="69CAA9C2"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 xml:space="preserve">enters into a confidentiality arrangement with the </w:t>
      </w:r>
      <w:r>
        <w:rPr>
          <w:i/>
          <w:iCs/>
          <w:color w:val="000000"/>
        </w:rPr>
        <w:t>Client</w:t>
      </w:r>
      <w:r>
        <w:rPr>
          <w:color w:val="000000"/>
        </w:rPr>
        <w:t xml:space="preserve"> in terms agreed by both parties, acting reasonably; and </w:t>
      </w:r>
    </w:p>
    <w:p w14:paraId="1EDF60D4"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is subject to the restriction that no sub-licence granted</w:t>
      </w:r>
      <w:r>
        <w:rPr>
          <w:color w:val="000000"/>
        </w:rPr>
        <w:t xml:space="preserve"> to the Service Provider Existing IPR shall purport to provide the sub-licensee with any wider rights than those granted to the </w:t>
      </w:r>
      <w:r>
        <w:rPr>
          <w:i/>
          <w:iCs/>
          <w:color w:val="000000"/>
        </w:rPr>
        <w:t>Client</w:t>
      </w:r>
      <w:r>
        <w:rPr>
          <w:color w:val="000000"/>
        </w:rPr>
        <w:t xml:space="preserve"> under this Paragraph.</w:t>
      </w:r>
    </w:p>
    <w:p w14:paraId="7A926753"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6" w:name="bookmark=id.j5etljsgmofa" w:colFirst="0" w:colLast="0"/>
      <w:bookmarkEnd w:id="106"/>
      <w:r>
        <w:rPr>
          <w:color w:val="000000"/>
        </w:rPr>
        <w:t>For the purposes of Paragraph 2.3, the relevant purposes are:</w:t>
      </w:r>
    </w:p>
    <w:p w14:paraId="5D92D1D6"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to allow the </w:t>
      </w:r>
      <w:r>
        <w:rPr>
          <w:i/>
          <w:iCs/>
          <w:color w:val="000000"/>
        </w:rPr>
        <w:t>Client</w:t>
      </w:r>
      <w:r>
        <w:rPr>
          <w:color w:val="000000"/>
        </w:rPr>
        <w:t xml:space="preserve"> or any End User to receive and use the </w:t>
      </w:r>
      <w:r>
        <w:rPr>
          <w:i/>
          <w:iCs/>
          <w:color w:val="000000"/>
        </w:rPr>
        <w:t>services</w:t>
      </w:r>
      <w:r>
        <w:rPr>
          <w:color w:val="000000"/>
        </w:rPr>
        <w:t>;</w:t>
      </w:r>
    </w:p>
    <w:p w14:paraId="6488F427"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to allow the </w:t>
      </w:r>
      <w:r>
        <w:rPr>
          <w:i/>
          <w:iCs/>
          <w:color w:val="000000"/>
        </w:rPr>
        <w:t>Client</w:t>
      </w:r>
      <w:r>
        <w:rPr>
          <w:color w:val="000000"/>
        </w:rPr>
        <w:t xml:space="preserve"> to commercially exploit (including by publication under Open Licence) the New IPR and New IPR Items; and</w:t>
      </w:r>
    </w:p>
    <w:p w14:paraId="750B6E35"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for any purpose relating to the exercise of the </w:t>
      </w:r>
      <w:r>
        <w:rPr>
          <w:i/>
          <w:iCs/>
          <w:color w:val="000000"/>
        </w:rPr>
        <w:t>Client’s</w:t>
      </w:r>
      <w:r>
        <w:rPr>
          <w:color w:val="000000"/>
        </w:rPr>
        <w:t xml:space="preserve"> (or, if the </w:t>
      </w:r>
      <w:r>
        <w:rPr>
          <w:i/>
          <w:iCs/>
          <w:color w:val="000000"/>
        </w:rPr>
        <w:t>Client</w:t>
      </w:r>
      <w:r>
        <w:rPr>
          <w:color w:val="000000"/>
        </w:rPr>
        <w:t xml:space="preserve"> is a Public Sector Body, any other Public Sector Body’s) business or function.</w:t>
      </w:r>
    </w:p>
    <w:p w14:paraId="528FD2A0" w14:textId="77777777" w:rsidR="007960A8" w:rsidRDefault="00A26397">
      <w:pPr>
        <w:keepNext/>
        <w:keepLines/>
        <w:widowControl/>
        <w:numPr>
          <w:ilvl w:val="0"/>
          <w:numId w:val="103"/>
        </w:numPr>
        <w:pBdr>
          <w:top w:val="nil"/>
          <w:left w:val="nil"/>
          <w:bottom w:val="nil"/>
          <w:right w:val="nil"/>
          <w:between w:val="nil"/>
        </w:pBdr>
        <w:spacing w:after="240"/>
        <w:jc w:val="both"/>
        <w:rPr>
          <w:b/>
          <w:bCs/>
          <w:color w:val="000000"/>
        </w:rPr>
      </w:pPr>
      <w:r>
        <w:rPr>
          <w:b/>
          <w:bCs/>
          <w:color w:val="000000"/>
        </w:rPr>
        <w:t>Licences granted by the Client</w:t>
      </w:r>
    </w:p>
    <w:p w14:paraId="72902933"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7" w:name="bookmark=id.qgvsv9ukivym" w:colFirst="0" w:colLast="0"/>
      <w:bookmarkEnd w:id="107"/>
      <w:r>
        <w:rPr>
          <w:color w:val="000000"/>
        </w:rPr>
        <w:t xml:space="preserve">The </w:t>
      </w:r>
      <w:r>
        <w:rPr>
          <w:i/>
          <w:iCs/>
          <w:color w:val="000000"/>
        </w:rPr>
        <w:t>Client</w:t>
      </w:r>
      <w:r>
        <w:rPr>
          <w:color w:val="000000"/>
        </w:rPr>
        <w:t xml:space="preserve"> grants the </w:t>
      </w:r>
      <w:r>
        <w:rPr>
          <w:i/>
          <w:iCs/>
          <w:color w:val="000000"/>
        </w:rPr>
        <w:t>Service Provider</w:t>
      </w:r>
      <w:r>
        <w:rPr>
          <w:color w:val="000000"/>
        </w:rPr>
        <w:t xml:space="preserve"> a licence to the New IPR and Client Existing IPR that:</w:t>
      </w:r>
    </w:p>
    <w:p w14:paraId="1F898B01"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is non-exclusive, royalty-free and non-transferable;</w:t>
      </w:r>
    </w:p>
    <w:p w14:paraId="7AA67A67" w14:textId="77777777" w:rsidR="007960A8" w:rsidRDefault="00A26397">
      <w:pPr>
        <w:widowControl/>
        <w:numPr>
          <w:ilvl w:val="2"/>
          <w:numId w:val="103"/>
        </w:numPr>
        <w:pBdr>
          <w:top w:val="nil"/>
          <w:left w:val="nil"/>
          <w:bottom w:val="nil"/>
          <w:right w:val="nil"/>
          <w:between w:val="nil"/>
        </w:pBdr>
        <w:spacing w:after="240"/>
        <w:jc w:val="both"/>
        <w:rPr>
          <w:color w:val="000000"/>
        </w:rPr>
      </w:pPr>
      <w:bookmarkStart w:id="108" w:name="bookmark=id.gacjh856r7y7" w:colFirst="0" w:colLast="0"/>
      <w:bookmarkEnd w:id="108"/>
      <w:r>
        <w:rPr>
          <w:color w:val="000000"/>
        </w:rPr>
        <w:t>is sub-licensable to any Sub-contractor where:</w:t>
      </w:r>
    </w:p>
    <w:p w14:paraId="5FB2C7D6"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the Sub-contractor enters into a confidentiality undertaking with the </w:t>
      </w:r>
      <w:r>
        <w:rPr>
          <w:i/>
          <w:iCs/>
          <w:color w:val="000000"/>
        </w:rPr>
        <w:t>Service Provider</w:t>
      </w:r>
      <w:r>
        <w:rPr>
          <w:color w:val="000000"/>
        </w:rPr>
        <w:t xml:space="preserve"> on terms agreed by both parties, acting reasonably; and</w:t>
      </w:r>
    </w:p>
    <w:p w14:paraId="68A957D9"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 the sub-licence does not purport to provide the sub-licensee with any wider rights than those granted to the </w:t>
      </w:r>
      <w:r>
        <w:rPr>
          <w:i/>
          <w:iCs/>
          <w:color w:val="000000"/>
        </w:rPr>
        <w:t>Ser</w:t>
      </w:r>
      <w:r>
        <w:rPr>
          <w:i/>
          <w:iCs/>
          <w:color w:val="000000"/>
        </w:rPr>
        <w:t>vice Provider</w:t>
      </w:r>
      <w:r>
        <w:rPr>
          <w:color w:val="000000"/>
        </w:rPr>
        <w:t xml:space="preserve"> under this Paragraph;</w:t>
      </w:r>
    </w:p>
    <w:p w14:paraId="439C0A61"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allows the </w:t>
      </w:r>
      <w:r>
        <w:rPr>
          <w:i/>
          <w:iCs/>
          <w:color w:val="000000"/>
        </w:rPr>
        <w:t>Service Provider</w:t>
      </w:r>
      <w:r>
        <w:rPr>
          <w:color w:val="000000"/>
        </w:rPr>
        <w:t xml:space="preserve"> and any sub-licensee to use, copy and adapt any Client Existing IPR and New IPR for the purpose of fulfilling its obligations under the Contract; and </w:t>
      </w:r>
    </w:p>
    <w:p w14:paraId="54471051"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terminates at the end of the </w:t>
      </w:r>
      <w:r>
        <w:rPr>
          <w:i/>
          <w:iCs/>
          <w:color w:val="000000"/>
        </w:rPr>
        <w:t>service peri</w:t>
      </w:r>
      <w:r>
        <w:rPr>
          <w:i/>
          <w:iCs/>
          <w:color w:val="000000"/>
        </w:rPr>
        <w:t>od</w:t>
      </w:r>
      <w:r>
        <w:rPr>
          <w:color w:val="000000"/>
        </w:rPr>
        <w:t>.</w:t>
      </w:r>
    </w:p>
    <w:p w14:paraId="4549CE8A"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09" w:name="bookmark=id.kadjtlarm18o" w:colFirst="0" w:colLast="0"/>
      <w:bookmarkEnd w:id="109"/>
      <w:r>
        <w:rPr>
          <w:color w:val="000000"/>
        </w:rPr>
        <w:t xml:space="preserve">When the licence granted under Paragraph 3.1 terminates, the </w:t>
      </w:r>
      <w:r>
        <w:rPr>
          <w:i/>
          <w:iCs/>
          <w:color w:val="000000"/>
        </w:rPr>
        <w:t>Service Provider</w:t>
      </w:r>
      <w:r>
        <w:rPr>
          <w:color w:val="000000"/>
        </w:rPr>
        <w:t xml:space="preserve"> must, and must ensure that each Sub-contractor granted a sub-licence under Paragraph 3.1.2:</w:t>
      </w:r>
    </w:p>
    <w:p w14:paraId="3B85592D"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immediately cease all use of the Client Existing IPR and New IPR (including the Go</w:t>
      </w:r>
      <w:r>
        <w:rPr>
          <w:color w:val="000000"/>
        </w:rPr>
        <w:t>vernment Data within which the Client Existing IPR or New IPR may subsist);</w:t>
      </w:r>
    </w:p>
    <w:p w14:paraId="05BAF369"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either:</w:t>
      </w:r>
    </w:p>
    <w:p w14:paraId="7018B15F"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at the discretion of the </w:t>
      </w:r>
      <w:r>
        <w:rPr>
          <w:i/>
          <w:iCs/>
          <w:color w:val="000000"/>
        </w:rPr>
        <w:t>Client</w:t>
      </w:r>
      <w:r>
        <w:rPr>
          <w:color w:val="000000"/>
        </w:rPr>
        <w:t xml:space="preserve">, return or destroy documents and other tangible materials that contain any of the Client Existing IPR, New IPR and the Government Data; or </w:t>
      </w:r>
    </w:p>
    <w:p w14:paraId="7E598C7C"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if the </w:t>
      </w:r>
      <w:r>
        <w:rPr>
          <w:i/>
          <w:iCs/>
          <w:color w:val="000000"/>
        </w:rPr>
        <w:t>Client</w:t>
      </w:r>
      <w:r>
        <w:rPr>
          <w:color w:val="000000"/>
        </w:rPr>
        <w:t xml:space="preserve"> has not made an election within six months of the termination of the licence, destroy the documents and other tangible materials that contain any of the Client Existing IPR, the New IPR and the Government Data (as the case may be); and</w:t>
      </w:r>
    </w:p>
    <w:p w14:paraId="4C6F5E5E"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ensure</w:t>
      </w:r>
      <w:r>
        <w:rPr>
          <w:color w:val="000000"/>
        </w:rPr>
        <w:t>, so far as reasonably practicable, that any Client Existing IPR, New IPR and Government Data held in electronic, digital or other machine-readable form ceases to be readily accessible from any computer, word processor, voicemail system or any other device</w:t>
      </w:r>
      <w:r>
        <w:rPr>
          <w:color w:val="000000"/>
        </w:rPr>
        <w:t xml:space="preserve"> of the </w:t>
      </w:r>
      <w:r>
        <w:rPr>
          <w:i/>
          <w:iCs/>
          <w:color w:val="000000"/>
        </w:rPr>
        <w:t>Service Provider</w:t>
      </w:r>
      <w:r>
        <w:rPr>
          <w:color w:val="000000"/>
        </w:rPr>
        <w:t>.</w:t>
      </w:r>
    </w:p>
    <w:p w14:paraId="67841696" w14:textId="77777777" w:rsidR="007960A8" w:rsidRDefault="00A26397">
      <w:pPr>
        <w:keepNext/>
        <w:keepLines/>
        <w:widowControl/>
        <w:numPr>
          <w:ilvl w:val="0"/>
          <w:numId w:val="103"/>
        </w:numPr>
        <w:pBdr>
          <w:top w:val="nil"/>
          <w:left w:val="nil"/>
          <w:bottom w:val="nil"/>
          <w:right w:val="nil"/>
          <w:between w:val="nil"/>
        </w:pBdr>
        <w:spacing w:after="240"/>
        <w:jc w:val="both"/>
        <w:rPr>
          <w:b/>
          <w:bCs/>
          <w:color w:val="000000"/>
        </w:rPr>
      </w:pPr>
      <w:bookmarkStart w:id="110" w:name="bookmark=id.2vznd9esdbr9" w:colFirst="0" w:colLast="0"/>
      <w:bookmarkEnd w:id="110"/>
      <w:r>
        <w:rPr>
          <w:b/>
          <w:bCs/>
          <w:color w:val="000000"/>
        </w:rPr>
        <w:t>Licences in respect of Third-party IPR</w:t>
      </w:r>
    </w:p>
    <w:p w14:paraId="51635B8C"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11" w:name="bookmark=id.n8surlyfs4h4" w:colFirst="0" w:colLast="0"/>
      <w:bookmarkEnd w:id="111"/>
      <w:r>
        <w:rPr>
          <w:color w:val="000000"/>
        </w:rPr>
        <w:t xml:space="preserve">The </w:t>
      </w:r>
      <w:r>
        <w:rPr>
          <w:i/>
          <w:iCs/>
          <w:color w:val="000000"/>
        </w:rPr>
        <w:t>Service Provider</w:t>
      </w:r>
      <w:r>
        <w:rPr>
          <w:color w:val="000000"/>
        </w:rPr>
        <w:t xml:space="preserve"> shall not use in the delivery of the </w:t>
      </w:r>
      <w:r>
        <w:rPr>
          <w:i/>
          <w:iCs/>
          <w:color w:val="000000"/>
        </w:rPr>
        <w:t>services</w:t>
      </w:r>
      <w:r>
        <w:rPr>
          <w:color w:val="000000"/>
        </w:rPr>
        <w:t xml:space="preserve"> any Third Party IPR unless:</w:t>
      </w:r>
    </w:p>
    <w:p w14:paraId="6BBBE8A4"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Approval is granted by the </w:t>
      </w:r>
      <w:r>
        <w:rPr>
          <w:i/>
          <w:iCs/>
          <w:color w:val="000000"/>
        </w:rPr>
        <w:t>Client</w:t>
      </w:r>
      <w:r>
        <w:rPr>
          <w:color w:val="000000"/>
        </w:rPr>
        <w:t>; and</w:t>
      </w:r>
    </w:p>
    <w:p w14:paraId="22D8D32A"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one of the following conditions is met:</w:t>
      </w:r>
    </w:p>
    <w:p w14:paraId="7329C833" w14:textId="77777777" w:rsidR="007960A8" w:rsidRDefault="00A26397">
      <w:pPr>
        <w:widowControl/>
        <w:numPr>
          <w:ilvl w:val="3"/>
          <w:numId w:val="103"/>
        </w:numPr>
        <w:pBdr>
          <w:top w:val="nil"/>
          <w:left w:val="nil"/>
          <w:bottom w:val="nil"/>
          <w:right w:val="nil"/>
          <w:between w:val="nil"/>
        </w:pBdr>
        <w:spacing w:after="240"/>
        <w:jc w:val="both"/>
        <w:rPr>
          <w:color w:val="000000"/>
        </w:rPr>
      </w:pPr>
      <w:bookmarkStart w:id="112" w:name="bookmark=id.9tana439jtfw" w:colFirst="0" w:colLast="0"/>
      <w:bookmarkEnd w:id="112"/>
      <w:r>
        <w:rPr>
          <w:color w:val="000000"/>
        </w:rPr>
        <w:t>the owner or an authorised licensor of the relevant Third Party IPR has granted a direct Third Party IPR Licence on the terms set out in Paragraph 4.2;</w:t>
      </w:r>
    </w:p>
    <w:p w14:paraId="24F2337B" w14:textId="77777777" w:rsidR="007960A8" w:rsidRDefault="00A26397">
      <w:pPr>
        <w:widowControl/>
        <w:numPr>
          <w:ilvl w:val="3"/>
          <w:numId w:val="103"/>
        </w:numPr>
        <w:pBdr>
          <w:top w:val="nil"/>
          <w:left w:val="nil"/>
          <w:bottom w:val="nil"/>
          <w:right w:val="nil"/>
          <w:between w:val="nil"/>
        </w:pBdr>
        <w:spacing w:after="240"/>
        <w:jc w:val="both"/>
        <w:rPr>
          <w:color w:val="000000"/>
        </w:rPr>
      </w:pPr>
      <w:bookmarkStart w:id="113" w:name="bookmark=id.q968u83vwe74" w:colFirst="0" w:colLast="0"/>
      <w:bookmarkEnd w:id="113"/>
      <w:r>
        <w:rPr>
          <w:color w:val="000000"/>
        </w:rPr>
        <w:t xml:space="preserve">if the </w:t>
      </w:r>
      <w:r>
        <w:rPr>
          <w:i/>
          <w:iCs/>
          <w:color w:val="000000"/>
        </w:rPr>
        <w:t>Service Provider</w:t>
      </w:r>
      <w:r>
        <w:rPr>
          <w:color w:val="000000"/>
        </w:rPr>
        <w:t xml:space="preserve"> cannot, after commercially reasonable endeavours, obtain for the </w:t>
      </w:r>
      <w:r>
        <w:rPr>
          <w:i/>
          <w:iCs/>
          <w:color w:val="000000"/>
        </w:rPr>
        <w:t>Client</w:t>
      </w:r>
      <w:r>
        <w:rPr>
          <w:color w:val="000000"/>
        </w:rPr>
        <w:t xml:space="preserve"> a Third </w:t>
      </w:r>
      <w:r>
        <w:rPr>
          <w:color w:val="000000"/>
        </w:rPr>
        <w:t>Party IPR licence as set out in Paragraph 4.1.2.1, all the following conditions are met:</w:t>
      </w:r>
    </w:p>
    <w:p w14:paraId="7AADBF56"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 Provider</w:t>
      </w:r>
      <w:r>
        <w:rPr>
          <w:color w:val="000000"/>
        </w:rPr>
        <w:t xml:space="preserve"> has notified the </w:t>
      </w:r>
      <w:r>
        <w:rPr>
          <w:i/>
          <w:iCs/>
          <w:color w:val="000000"/>
        </w:rPr>
        <w:t>Client</w:t>
      </w:r>
      <w:r>
        <w:rPr>
          <w:color w:val="000000"/>
        </w:rPr>
        <w:t xml:space="preserve"> in writing giving details of:</w:t>
      </w:r>
    </w:p>
    <w:p w14:paraId="76923548" w14:textId="77777777" w:rsidR="007960A8" w:rsidRDefault="00A26397">
      <w:pPr>
        <w:widowControl/>
        <w:numPr>
          <w:ilvl w:val="4"/>
          <w:numId w:val="105"/>
        </w:numPr>
        <w:pBdr>
          <w:top w:val="nil"/>
          <w:left w:val="nil"/>
          <w:bottom w:val="nil"/>
          <w:right w:val="nil"/>
          <w:between w:val="nil"/>
        </w:pBdr>
        <w:spacing w:after="240"/>
        <w:ind w:left="4678"/>
        <w:jc w:val="both"/>
        <w:rPr>
          <w:color w:val="000000"/>
        </w:rPr>
      </w:pPr>
      <w:r>
        <w:rPr>
          <w:color w:val="000000"/>
        </w:rPr>
        <w:t>what licence terms can be obtained from the relevant third party; and</w:t>
      </w:r>
    </w:p>
    <w:p w14:paraId="621312DA" w14:textId="77777777" w:rsidR="007960A8" w:rsidRDefault="00A26397">
      <w:pPr>
        <w:widowControl/>
        <w:numPr>
          <w:ilvl w:val="4"/>
          <w:numId w:val="95"/>
        </w:numPr>
        <w:pBdr>
          <w:top w:val="nil"/>
          <w:left w:val="nil"/>
          <w:bottom w:val="nil"/>
          <w:right w:val="nil"/>
          <w:between w:val="nil"/>
        </w:pBdr>
        <w:spacing w:after="240"/>
        <w:ind w:left="4678"/>
        <w:jc w:val="both"/>
        <w:rPr>
          <w:color w:val="000000"/>
        </w:rPr>
      </w:pPr>
      <w:r>
        <w:rPr>
          <w:color w:val="000000"/>
        </w:rPr>
        <w:t xml:space="preserve">whether there are providers which the </w:t>
      </w:r>
      <w:r>
        <w:rPr>
          <w:i/>
          <w:iCs/>
          <w:color w:val="000000"/>
        </w:rPr>
        <w:t>Service Provider</w:t>
      </w:r>
      <w:r>
        <w:rPr>
          <w:color w:val="000000"/>
        </w:rPr>
        <w:t xml:space="preserve"> could seek to use and the licence terms obtainable from those third parties; </w:t>
      </w:r>
    </w:p>
    <w:p w14:paraId="10C70D3D"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 xml:space="preserve">the </w:t>
      </w:r>
      <w:r>
        <w:rPr>
          <w:i/>
          <w:iCs/>
          <w:color w:val="000000"/>
        </w:rPr>
        <w:t>Client</w:t>
      </w:r>
      <w:r>
        <w:rPr>
          <w:color w:val="000000"/>
        </w:rPr>
        <w:t xml:space="preserve"> has agreed to accept the licence terms of one of those third parties; and</w:t>
      </w:r>
    </w:p>
    <w:p w14:paraId="3F53A10C"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the owner and authorised licensor of t</w:t>
      </w:r>
      <w:r>
        <w:rPr>
          <w:color w:val="000000"/>
        </w:rPr>
        <w:t xml:space="preserve">he Third Party IPR has granted a direct licence of the Third Party IPR to the </w:t>
      </w:r>
      <w:r>
        <w:rPr>
          <w:i/>
          <w:iCs/>
          <w:color w:val="000000"/>
        </w:rPr>
        <w:t>Client</w:t>
      </w:r>
      <w:r>
        <w:rPr>
          <w:color w:val="000000"/>
        </w:rPr>
        <w:t xml:space="preserve"> on those terms; or</w:t>
      </w:r>
    </w:p>
    <w:p w14:paraId="06561291" w14:textId="77777777" w:rsidR="007960A8" w:rsidRDefault="00A26397">
      <w:pPr>
        <w:widowControl/>
        <w:numPr>
          <w:ilvl w:val="3"/>
          <w:numId w:val="103"/>
        </w:numPr>
        <w:pBdr>
          <w:top w:val="nil"/>
          <w:left w:val="nil"/>
          <w:bottom w:val="nil"/>
          <w:right w:val="nil"/>
          <w:between w:val="nil"/>
        </w:pBdr>
        <w:spacing w:after="240"/>
        <w:jc w:val="both"/>
        <w:rPr>
          <w:color w:val="000000"/>
        </w:rPr>
      </w:pPr>
      <w:bookmarkStart w:id="114" w:name="bookmark=id.dr2z1s9w7ay1" w:colFirst="0" w:colLast="0"/>
      <w:bookmarkEnd w:id="114"/>
      <w:r>
        <w:rPr>
          <w:color w:val="000000"/>
        </w:rPr>
        <w:t xml:space="preserve">the </w:t>
      </w:r>
      <w:r>
        <w:rPr>
          <w:i/>
          <w:iCs/>
          <w:color w:val="000000"/>
        </w:rPr>
        <w:t>Client</w:t>
      </w:r>
      <w:r>
        <w:rPr>
          <w:color w:val="000000"/>
        </w:rPr>
        <w:t xml:space="preserve"> has provided authorisation to the use of the Third Party IPR in writing, with reference to the acts authorised and the specific IPR involved.</w:t>
      </w:r>
    </w:p>
    <w:p w14:paraId="2F1309E9"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15" w:name="bookmark=id.qmswk790gq4b" w:colFirst="0" w:colLast="0"/>
      <w:bookmarkEnd w:id="115"/>
      <w:r>
        <w:rPr>
          <w:color w:val="000000"/>
        </w:rPr>
        <w:t>The Third Party IPR licence referred to in Paragraph 4.1 is the licence set out in Paragraph 2.3 as if:</w:t>
      </w:r>
    </w:p>
    <w:p w14:paraId="08700331"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the term Third Party IPR were substituted for the term Service Provider Existing IPR; and</w:t>
      </w:r>
    </w:p>
    <w:p w14:paraId="4C373695"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 term third party were substituted for the term </w:t>
      </w:r>
      <w:r>
        <w:rPr>
          <w:i/>
          <w:iCs/>
          <w:color w:val="000000"/>
        </w:rPr>
        <w:t>Service Provider</w:t>
      </w:r>
      <w:r>
        <w:rPr>
          <w:color w:val="000000"/>
        </w:rPr>
        <w:t>,</w:t>
      </w:r>
    </w:p>
    <w:p w14:paraId="7D35CC6A" w14:textId="77777777" w:rsidR="007960A8" w:rsidRDefault="00A26397">
      <w:pPr>
        <w:widowControl/>
        <w:pBdr>
          <w:top w:val="nil"/>
          <w:left w:val="nil"/>
          <w:bottom w:val="nil"/>
          <w:right w:val="nil"/>
          <w:between w:val="nil"/>
        </w:pBdr>
        <w:spacing w:after="120" w:line="480" w:lineRule="auto"/>
        <w:ind w:left="720" w:firstLine="720"/>
        <w:jc w:val="both"/>
        <w:rPr>
          <w:color w:val="000000"/>
        </w:rPr>
      </w:pPr>
      <w:r>
        <w:rPr>
          <w:color w:val="000000"/>
        </w:rPr>
        <w:t>in each place they occur.</w:t>
      </w:r>
    </w:p>
    <w:p w14:paraId="13EFF9FE" w14:textId="77777777" w:rsidR="007960A8" w:rsidRDefault="00A26397">
      <w:pPr>
        <w:keepNext/>
        <w:keepLines/>
        <w:widowControl/>
        <w:numPr>
          <w:ilvl w:val="0"/>
          <w:numId w:val="103"/>
        </w:numPr>
        <w:pBdr>
          <w:top w:val="nil"/>
          <w:left w:val="nil"/>
          <w:bottom w:val="nil"/>
          <w:right w:val="nil"/>
          <w:between w:val="nil"/>
        </w:pBdr>
        <w:spacing w:after="240"/>
        <w:jc w:val="both"/>
        <w:rPr>
          <w:b/>
          <w:bCs/>
          <w:color w:val="000000"/>
        </w:rPr>
      </w:pPr>
      <w:r>
        <w:rPr>
          <w:b/>
          <w:bCs/>
          <w:color w:val="000000"/>
        </w:rPr>
        <w:t>Open Licence Publication</w:t>
      </w:r>
    </w:p>
    <w:p w14:paraId="785645EF" w14:textId="77777777" w:rsidR="007960A8" w:rsidRDefault="00A26397">
      <w:pPr>
        <w:widowControl/>
        <w:pBdr>
          <w:top w:val="nil"/>
          <w:left w:val="nil"/>
          <w:bottom w:val="nil"/>
          <w:right w:val="nil"/>
          <w:between w:val="nil"/>
        </w:pBdr>
        <w:spacing w:after="240"/>
        <w:ind w:left="720"/>
        <w:jc w:val="both"/>
        <w:rPr>
          <w:color w:val="000000"/>
        </w:rPr>
      </w:pPr>
      <w:r>
        <w:rPr>
          <w:color w:val="000000"/>
        </w:rPr>
        <w:t xml:space="preserve">[Guidance: This Paragraph should be included where the </w:t>
      </w:r>
      <w:r>
        <w:rPr>
          <w:i/>
          <w:iCs/>
          <w:color w:val="000000"/>
        </w:rPr>
        <w:t>Client</w:t>
      </w:r>
      <w:r>
        <w:rPr>
          <w:color w:val="000000"/>
        </w:rPr>
        <w:t xml:space="preserve"> intends to publish the New IPR as Open Licence under the Government’s standard Open Licence. This might be applicable where there is a public interest in collaborating with the private sector an</w:t>
      </w:r>
      <w:r>
        <w:rPr>
          <w:color w:val="000000"/>
        </w:rPr>
        <w:t xml:space="preserve">d making the New IPR freely available to other suppliers and wider users. This Paragraph will not be appropriate where the </w:t>
      </w:r>
      <w:r>
        <w:rPr>
          <w:i/>
          <w:iCs/>
          <w:color w:val="000000"/>
        </w:rPr>
        <w:t>Client</w:t>
      </w:r>
      <w:r>
        <w:rPr>
          <w:color w:val="000000"/>
        </w:rPr>
        <w:t xml:space="preserve"> is permitted to and intends to exploit the and New IPR itself on a commercial basis, as it will undermine such commercial expl</w:t>
      </w:r>
      <w:r>
        <w:rPr>
          <w:color w:val="000000"/>
        </w:rPr>
        <w:t>oitation.]</w:t>
      </w:r>
    </w:p>
    <w:p w14:paraId="20C5D8AA"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Subject to Paragraph 5.5, the </w:t>
      </w:r>
      <w:r>
        <w:rPr>
          <w:i/>
          <w:iCs/>
          <w:color w:val="000000"/>
        </w:rPr>
        <w:t>Service Provider</w:t>
      </w:r>
      <w:r>
        <w:rPr>
          <w:color w:val="000000"/>
        </w:rPr>
        <w:t xml:space="preserve"> agrees that the </w:t>
      </w:r>
      <w:r>
        <w:rPr>
          <w:i/>
          <w:iCs/>
          <w:color w:val="000000"/>
        </w:rPr>
        <w:t>Client</w:t>
      </w:r>
      <w:r>
        <w:rPr>
          <w:color w:val="000000"/>
        </w:rPr>
        <w:t xml:space="preserve"> may at its sole discretion publish under Open Licence all or part of the New IPR Items.</w:t>
      </w:r>
    </w:p>
    <w:p w14:paraId="6115A887"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 Provider</w:t>
      </w:r>
      <w:r>
        <w:rPr>
          <w:color w:val="000000"/>
        </w:rPr>
        <w:t xml:space="preserve"> warrants that:</w:t>
      </w:r>
    </w:p>
    <w:p w14:paraId="16EF3AC8"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the New IPR Items are suitable for release under Open Licence; and</w:t>
      </w:r>
    </w:p>
    <w:p w14:paraId="72AEC82B"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in developing the New IPR is has used reasonable endeavours to ensure that:</w:t>
      </w:r>
    </w:p>
    <w:p w14:paraId="36421EB2"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the publication by the </w:t>
      </w:r>
      <w:r>
        <w:rPr>
          <w:i/>
          <w:iCs/>
          <w:color w:val="000000"/>
        </w:rPr>
        <w:t>Client</w:t>
      </w:r>
      <w:r>
        <w:rPr>
          <w:color w:val="000000"/>
        </w:rPr>
        <w:t xml:space="preserve"> will not:</w:t>
      </w:r>
    </w:p>
    <w:p w14:paraId="21A05CEC"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allow a third party to use them in any way that could reasonably be fores</w:t>
      </w:r>
      <w:r>
        <w:rPr>
          <w:color w:val="000000"/>
        </w:rPr>
        <w:t>een to compromise the operation or security of the New IPRs;</w:t>
      </w:r>
    </w:p>
    <w:p w14:paraId="20197D70"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cause any harm or damage to any party using them; or</w:t>
      </w:r>
    </w:p>
    <w:p w14:paraId="0CEDF1E8" w14:textId="77777777" w:rsidR="007960A8" w:rsidRDefault="00A26397">
      <w:pPr>
        <w:widowControl/>
        <w:numPr>
          <w:ilvl w:val="4"/>
          <w:numId w:val="103"/>
        </w:numPr>
        <w:pBdr>
          <w:top w:val="nil"/>
          <w:left w:val="nil"/>
          <w:bottom w:val="nil"/>
          <w:right w:val="nil"/>
          <w:between w:val="nil"/>
        </w:pBdr>
        <w:spacing w:after="240"/>
        <w:jc w:val="both"/>
        <w:rPr>
          <w:color w:val="000000"/>
        </w:rPr>
      </w:pPr>
      <w:r>
        <w:rPr>
          <w:color w:val="000000"/>
        </w:rPr>
        <w:t>breach the rights of any third party; and</w:t>
      </w:r>
    </w:p>
    <w:p w14:paraId="1F65F7F2" w14:textId="77777777" w:rsidR="007960A8" w:rsidRDefault="00A26397">
      <w:pPr>
        <w:widowControl/>
        <w:numPr>
          <w:ilvl w:val="3"/>
          <w:numId w:val="103"/>
        </w:numPr>
        <w:pBdr>
          <w:top w:val="nil"/>
          <w:left w:val="nil"/>
          <w:bottom w:val="nil"/>
          <w:right w:val="nil"/>
          <w:between w:val="nil"/>
        </w:pBdr>
        <w:spacing w:after="240"/>
        <w:jc w:val="both"/>
        <w:rPr>
          <w:color w:val="000000"/>
        </w:rPr>
      </w:pPr>
      <w:r>
        <w:rPr>
          <w:color w:val="000000"/>
        </w:rPr>
        <w:t xml:space="preserve">they do not contain any material which would bring the </w:t>
      </w:r>
      <w:r>
        <w:rPr>
          <w:i/>
          <w:iCs/>
          <w:color w:val="000000"/>
        </w:rPr>
        <w:t>Client</w:t>
      </w:r>
      <w:r>
        <w:rPr>
          <w:color w:val="000000"/>
        </w:rPr>
        <w:t xml:space="preserve"> into disrepute if published.</w:t>
      </w:r>
    </w:p>
    <w:p w14:paraId="25E5CE44"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 Provider</w:t>
      </w:r>
      <w:r>
        <w:rPr>
          <w:color w:val="000000"/>
        </w:rPr>
        <w:t xml:space="preserve"> must not include in the New IPR provided for publication by Open Licence any Service Provider Existing IPRs unless the </w:t>
      </w:r>
      <w:r>
        <w:rPr>
          <w:i/>
          <w:iCs/>
          <w:color w:val="000000"/>
        </w:rPr>
        <w:t>Service Provider</w:t>
      </w:r>
      <w:r>
        <w:rPr>
          <w:color w:val="000000"/>
        </w:rPr>
        <w:t xml:space="preserve"> consents to:</w:t>
      </w:r>
    </w:p>
    <w:p w14:paraId="7C26C7E3"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their publication by the </w:t>
      </w:r>
      <w:r>
        <w:rPr>
          <w:i/>
          <w:iCs/>
          <w:color w:val="000000"/>
        </w:rPr>
        <w:t>Client</w:t>
      </w:r>
      <w:r>
        <w:rPr>
          <w:color w:val="000000"/>
        </w:rPr>
        <w:t xml:space="preserve"> under Open Licence; and</w:t>
      </w:r>
    </w:p>
    <w:p w14:paraId="76CF50B7"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their subsequent licence and treat</w:t>
      </w:r>
      <w:r>
        <w:rPr>
          <w:color w:val="000000"/>
        </w:rPr>
        <w:t xml:space="preserve">ment as Open Licence under the terms of the licence chosen by the </w:t>
      </w:r>
      <w:r>
        <w:rPr>
          <w:i/>
          <w:iCs/>
          <w:color w:val="000000"/>
        </w:rPr>
        <w:t>Client</w:t>
      </w:r>
      <w:r>
        <w:rPr>
          <w:color w:val="000000"/>
        </w:rPr>
        <w:t>.</w:t>
      </w:r>
    </w:p>
    <w:p w14:paraId="0A586310"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16" w:name="bookmark=id.oc1revqvfeiw" w:colFirst="0" w:colLast="0"/>
      <w:bookmarkEnd w:id="116"/>
      <w:r>
        <w:rPr>
          <w:color w:val="000000"/>
        </w:rPr>
        <w:t xml:space="preserve">The </w:t>
      </w:r>
      <w:r>
        <w:rPr>
          <w:i/>
          <w:iCs/>
          <w:color w:val="000000"/>
        </w:rPr>
        <w:t>Service Provider</w:t>
      </w:r>
      <w:r>
        <w:rPr>
          <w:color w:val="000000"/>
        </w:rPr>
        <w:t xml:space="preserve"> must supply any or all New IPR Items in a format (whether it is provided in any other format or not) suitable for publication under an Open Licence (the Open Lic</w:t>
      </w:r>
      <w:r>
        <w:rPr>
          <w:color w:val="000000"/>
        </w:rPr>
        <w:t xml:space="preserve">ence Publication Material) within thirty (30) Working Days of written request from the </w:t>
      </w:r>
      <w:r>
        <w:rPr>
          <w:i/>
          <w:iCs/>
          <w:color w:val="000000"/>
        </w:rPr>
        <w:t>Client</w:t>
      </w:r>
      <w:r>
        <w:rPr>
          <w:color w:val="000000"/>
        </w:rPr>
        <w:t xml:space="preserve"> (Client Open Licence Request).</w:t>
      </w:r>
    </w:p>
    <w:p w14:paraId="7BDD038C" w14:textId="77777777" w:rsidR="007960A8" w:rsidRDefault="00A26397">
      <w:pPr>
        <w:widowControl/>
        <w:numPr>
          <w:ilvl w:val="1"/>
          <w:numId w:val="103"/>
        </w:numPr>
        <w:pBdr>
          <w:top w:val="nil"/>
          <w:left w:val="nil"/>
          <w:bottom w:val="nil"/>
          <w:right w:val="nil"/>
          <w:between w:val="nil"/>
        </w:pBdr>
        <w:spacing w:after="240"/>
        <w:jc w:val="both"/>
        <w:rPr>
          <w:color w:val="000000"/>
        </w:rPr>
      </w:pPr>
      <w:bookmarkStart w:id="117" w:name="bookmark=id.s7vrk4slho0e" w:colFirst="0" w:colLast="0"/>
      <w:bookmarkEnd w:id="117"/>
      <w:r>
        <w:rPr>
          <w:color w:val="000000"/>
        </w:rPr>
        <w:t xml:space="preserve">The </w:t>
      </w:r>
      <w:r>
        <w:rPr>
          <w:i/>
          <w:iCs/>
          <w:color w:val="000000"/>
        </w:rPr>
        <w:t>Service Provider</w:t>
      </w:r>
      <w:r>
        <w:rPr>
          <w:color w:val="000000"/>
        </w:rPr>
        <w:t xml:space="preserve"> may within fifteen (15) Working Days of Client Open Licence Request under Paragraph 5.4 request in writing that the </w:t>
      </w:r>
      <w:r>
        <w:rPr>
          <w:i/>
          <w:iCs/>
          <w:color w:val="000000"/>
        </w:rPr>
        <w:t>Client</w:t>
      </w:r>
      <w:r>
        <w:rPr>
          <w:color w:val="000000"/>
        </w:rPr>
        <w:t xml:space="preserve"> excludes all or part of:</w:t>
      </w:r>
    </w:p>
    <w:p w14:paraId="68DE0E8A"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the New IPR Items; or</w:t>
      </w:r>
    </w:p>
    <w:p w14:paraId="29E0A790" w14:textId="77777777" w:rsidR="007960A8" w:rsidRDefault="00A26397">
      <w:pPr>
        <w:widowControl/>
        <w:numPr>
          <w:ilvl w:val="2"/>
          <w:numId w:val="103"/>
        </w:numPr>
        <w:pBdr>
          <w:top w:val="nil"/>
          <w:left w:val="nil"/>
          <w:bottom w:val="nil"/>
          <w:right w:val="nil"/>
          <w:between w:val="nil"/>
        </w:pBdr>
        <w:spacing w:after="240"/>
        <w:jc w:val="both"/>
        <w:rPr>
          <w:color w:val="000000"/>
        </w:rPr>
      </w:pPr>
      <w:r>
        <w:rPr>
          <w:color w:val="000000"/>
        </w:rPr>
        <w:t xml:space="preserve">Service Provider Existing IPR or Third Party IPR that would otherwise be included in </w:t>
      </w:r>
      <w:r>
        <w:rPr>
          <w:color w:val="000000"/>
        </w:rPr>
        <w:t xml:space="preserve">the Open Licence Publication Material supplied to the </w:t>
      </w:r>
      <w:r>
        <w:rPr>
          <w:i/>
          <w:iCs/>
          <w:color w:val="000000"/>
        </w:rPr>
        <w:t>Client</w:t>
      </w:r>
      <w:r>
        <w:rPr>
          <w:color w:val="000000"/>
        </w:rPr>
        <w:t xml:space="preserve"> pursuant to Paragraph 5.4,</w:t>
      </w:r>
    </w:p>
    <w:p w14:paraId="2A891A94" w14:textId="77777777" w:rsidR="007960A8" w:rsidRDefault="00A26397">
      <w:pPr>
        <w:widowControl/>
        <w:pBdr>
          <w:top w:val="nil"/>
          <w:left w:val="nil"/>
          <w:bottom w:val="nil"/>
          <w:right w:val="nil"/>
          <w:between w:val="nil"/>
        </w:pBdr>
        <w:spacing w:after="120" w:line="480" w:lineRule="auto"/>
        <w:ind w:left="720" w:firstLine="720"/>
        <w:jc w:val="both"/>
        <w:rPr>
          <w:color w:val="000000"/>
        </w:rPr>
      </w:pPr>
      <w:r>
        <w:rPr>
          <w:color w:val="000000"/>
        </w:rPr>
        <w:t>from Open Licence publication.</w:t>
      </w:r>
    </w:p>
    <w:p w14:paraId="68CD5C61"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The </w:t>
      </w:r>
      <w:r>
        <w:rPr>
          <w:i/>
          <w:iCs/>
          <w:color w:val="000000"/>
        </w:rPr>
        <w:t>Service Provider’s</w:t>
      </w:r>
      <w:r>
        <w:rPr>
          <w:color w:val="000000"/>
        </w:rPr>
        <w:t xml:space="preserve"> request under Paragraph 5.5 must include the </w:t>
      </w:r>
      <w:r>
        <w:rPr>
          <w:i/>
          <w:iCs/>
          <w:color w:val="000000"/>
        </w:rPr>
        <w:t>Service Provider’s</w:t>
      </w:r>
      <w:r>
        <w:rPr>
          <w:color w:val="000000"/>
        </w:rPr>
        <w:t xml:space="preserve"> assessment of the impact the </w:t>
      </w:r>
      <w:r>
        <w:rPr>
          <w:i/>
          <w:iCs/>
          <w:color w:val="000000"/>
        </w:rPr>
        <w:t>Client’s</w:t>
      </w:r>
      <w:r>
        <w:rPr>
          <w:color w:val="000000"/>
        </w:rPr>
        <w:t xml:space="preserve"> agreeing to </w:t>
      </w:r>
      <w:r>
        <w:rPr>
          <w:color w:val="000000"/>
        </w:rPr>
        <w:t>the request would have on its ability to publish other New IPR Items under an Open Licence.</w:t>
      </w:r>
    </w:p>
    <w:p w14:paraId="295DF36B"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Any decision to Approve any such request from the </w:t>
      </w:r>
      <w:r>
        <w:rPr>
          <w:i/>
          <w:iCs/>
          <w:color w:val="000000"/>
        </w:rPr>
        <w:t>Service Provider</w:t>
      </w:r>
      <w:r>
        <w:rPr>
          <w:color w:val="000000"/>
        </w:rPr>
        <w:t xml:space="preserve"> under Paragraph 5.5 shall be at the </w:t>
      </w:r>
      <w:r>
        <w:rPr>
          <w:i/>
          <w:iCs/>
          <w:color w:val="000000"/>
        </w:rPr>
        <w:t>Client’s</w:t>
      </w:r>
      <w:r>
        <w:rPr>
          <w:color w:val="000000"/>
        </w:rPr>
        <w:t xml:space="preserve"> sole discretion, not to be unreasonably withheld or delayed, or made subject to unreasonable conditions.</w:t>
      </w:r>
    </w:p>
    <w:p w14:paraId="14502538" w14:textId="77777777" w:rsidR="007960A8" w:rsidRDefault="00A26397">
      <w:pPr>
        <w:keepNext/>
        <w:keepLines/>
        <w:widowControl/>
        <w:numPr>
          <w:ilvl w:val="0"/>
          <w:numId w:val="103"/>
        </w:numPr>
        <w:pBdr>
          <w:top w:val="nil"/>
          <w:left w:val="nil"/>
          <w:bottom w:val="nil"/>
          <w:right w:val="nil"/>
          <w:between w:val="nil"/>
        </w:pBdr>
        <w:spacing w:after="240"/>
        <w:jc w:val="both"/>
        <w:rPr>
          <w:b/>
          <w:bCs/>
          <w:color w:val="000000"/>
        </w:rPr>
      </w:pPr>
      <w:r>
        <w:rPr>
          <w:b/>
          <w:bCs/>
          <w:color w:val="000000"/>
        </w:rPr>
        <w:t>Patents</w:t>
      </w:r>
    </w:p>
    <w:p w14:paraId="61B0848C" w14:textId="77777777" w:rsidR="007960A8" w:rsidRDefault="00A26397">
      <w:pPr>
        <w:widowControl/>
        <w:numPr>
          <w:ilvl w:val="1"/>
          <w:numId w:val="103"/>
        </w:numPr>
        <w:pBdr>
          <w:top w:val="nil"/>
          <w:left w:val="nil"/>
          <w:bottom w:val="nil"/>
          <w:right w:val="nil"/>
          <w:between w:val="nil"/>
        </w:pBdr>
        <w:spacing w:after="240"/>
        <w:jc w:val="both"/>
        <w:rPr>
          <w:color w:val="000000"/>
        </w:rPr>
      </w:pPr>
      <w:r>
        <w:rPr>
          <w:color w:val="000000"/>
        </w:rPr>
        <w:t xml:space="preserve">Where a patent owned by the </w:t>
      </w:r>
      <w:r>
        <w:rPr>
          <w:i/>
          <w:iCs/>
          <w:color w:val="000000"/>
        </w:rPr>
        <w:t>Service Provider</w:t>
      </w:r>
      <w:r>
        <w:rPr>
          <w:color w:val="000000"/>
        </w:rPr>
        <w:t xml:space="preserve"> is infringed by the use of the New IPR by the </w:t>
      </w:r>
      <w:r>
        <w:rPr>
          <w:i/>
          <w:iCs/>
          <w:color w:val="000000"/>
        </w:rPr>
        <w:t>Client</w:t>
      </w:r>
      <w:r>
        <w:rPr>
          <w:color w:val="000000"/>
        </w:rPr>
        <w:t xml:space="preserve"> or any Replacement Service Provider, the </w:t>
      </w:r>
      <w:r>
        <w:rPr>
          <w:i/>
          <w:iCs/>
          <w:color w:val="000000"/>
        </w:rPr>
        <w:t>Ser</w:t>
      </w:r>
      <w:r>
        <w:rPr>
          <w:i/>
          <w:iCs/>
          <w:color w:val="000000"/>
        </w:rPr>
        <w:t>vice Provider</w:t>
      </w:r>
      <w:r>
        <w:rPr>
          <w:color w:val="000000"/>
        </w:rPr>
        <w:t xml:space="preserve"> hereby grants to the </w:t>
      </w:r>
      <w:r>
        <w:rPr>
          <w:i/>
          <w:iCs/>
          <w:color w:val="000000"/>
        </w:rPr>
        <w:t>Client</w:t>
      </w:r>
      <w:r>
        <w:rPr>
          <w:color w:val="000000"/>
        </w:rPr>
        <w:t xml:space="preserve"> and the Replacement Service Provider a non-exclusive, irrevocable, royalty-free, worldwide patent licence to use the infringing methods, materials or software.</w:t>
      </w:r>
    </w:p>
    <w:p w14:paraId="4BD9D955"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7F736FFC" w14:textId="77777777" w:rsidR="007960A8" w:rsidRDefault="00A26397">
      <w:pPr>
        <w:spacing w:after="240" w:line="276" w:lineRule="auto"/>
        <w:rPr>
          <w:i/>
          <w:iCs/>
        </w:rPr>
      </w:pPr>
      <w:r>
        <w:rPr>
          <w:i/>
          <w:iCs/>
          <w:highlight w:val="yellow"/>
        </w:rPr>
        <w:t>[Guidance: For IPR Option A2: Client owns all New IPR with non-exclusive Service Provider rights, please include the following drafting:]</w:t>
      </w:r>
    </w:p>
    <w:p w14:paraId="0A9C1C26" w14:textId="77777777" w:rsidR="007960A8" w:rsidRDefault="00A26397">
      <w:pPr>
        <w:spacing w:after="240" w:line="276" w:lineRule="auto"/>
        <w:rPr>
          <w:sz w:val="28"/>
          <w:szCs w:val="28"/>
        </w:rPr>
      </w:pPr>
      <w:r>
        <w:rPr>
          <w:sz w:val="28"/>
          <w:szCs w:val="28"/>
        </w:rPr>
        <w:t>IPR Option A2</w:t>
      </w:r>
    </w:p>
    <w:p w14:paraId="21F08C30"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General Provisions and Ownership of IPR</w:t>
      </w:r>
    </w:p>
    <w:p w14:paraId="243ED1A0"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Any New IPR created under the Contract is owned by the </w:t>
      </w:r>
      <w:r>
        <w:rPr>
          <w:i/>
          <w:iCs/>
          <w:color w:val="000000"/>
          <w:sz w:val="21"/>
          <w:szCs w:val="21"/>
        </w:rPr>
        <w:t>Client</w:t>
      </w:r>
      <w:r>
        <w:rPr>
          <w:color w:val="000000"/>
          <w:sz w:val="21"/>
          <w:szCs w:val="21"/>
        </w:rPr>
        <w:t>.</w:t>
      </w:r>
    </w:p>
    <w:p w14:paraId="18FCA5D8"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Each party keeps ownership of its own Existing IPR.</w:t>
      </w:r>
    </w:p>
    <w:p w14:paraId="2F730438"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Paragraphs 1.1 and 1.2,</w:t>
      </w:r>
      <w:r>
        <w:rPr>
          <w:color w:val="000000"/>
          <w:sz w:val="21"/>
          <w:szCs w:val="21"/>
        </w:rPr>
        <w:t xml:space="preserve"> it must assign in writing the Intellectual Property Rights concerned to the other party on the other party’s request (whenever made).</w:t>
      </w:r>
    </w:p>
    <w:p w14:paraId="6A75AD63"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w:t>
      </w:r>
      <w:r>
        <w:rPr>
          <w:color w:val="000000"/>
          <w:sz w:val="21"/>
          <w:szCs w:val="21"/>
        </w:rPr>
        <w:t>ks, except as expressly granted elsewhere under the Contract or otherwise agreed in writing.</w:t>
      </w:r>
    </w:p>
    <w:p w14:paraId="3F898F06"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Except as expressly granted elsewhere under the Contract, neither party acquires any right, title or interest in or to the IPR owned by the other party or any thir</w:t>
      </w:r>
      <w:r>
        <w:rPr>
          <w:color w:val="000000"/>
          <w:sz w:val="21"/>
          <w:szCs w:val="21"/>
        </w:rPr>
        <w:t>d party.</w:t>
      </w:r>
    </w:p>
    <w:p w14:paraId="1B40ADC7"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New IPR in the table at Annex 1 to this Schedule and keep this updated throughout the Services Period.</w:t>
      </w:r>
    </w:p>
    <w:p w14:paraId="1B57618B"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w:t>
      </w:r>
      <w:r>
        <w:rPr>
          <w:color w:val="000000"/>
          <w:sz w:val="21"/>
          <w:szCs w:val="21"/>
        </w:rPr>
        <w:t xml:space="preserve">ding after the Services Period or date of termination, that, in respect of any </w:t>
      </w:r>
      <w:r>
        <w:rPr>
          <w:i/>
          <w:iCs/>
          <w:color w:val="000000"/>
          <w:sz w:val="21"/>
          <w:szCs w:val="21"/>
        </w:rPr>
        <w:t>services</w:t>
      </w:r>
      <w:r>
        <w:rPr>
          <w:color w:val="000000"/>
          <w:sz w:val="21"/>
          <w:szCs w:val="21"/>
        </w:rPr>
        <w:t xml:space="preserve">, the </w:t>
      </w:r>
      <w:r>
        <w:rPr>
          <w:i/>
          <w:iCs/>
          <w:color w:val="000000"/>
          <w:sz w:val="21"/>
          <w:szCs w:val="21"/>
        </w:rPr>
        <w:t>Client</w:t>
      </w:r>
      <w:r>
        <w:rPr>
          <w:color w:val="000000"/>
          <w:sz w:val="21"/>
          <w:szCs w:val="21"/>
        </w:rPr>
        <w:t xml:space="preserve"> has not received the licences to Service Provider Existing IPRs or Third Party IPRs required by Paragraphs 2 and 6, the </w:t>
      </w:r>
      <w:r>
        <w:rPr>
          <w:i/>
          <w:iCs/>
          <w:color w:val="000000"/>
          <w:sz w:val="21"/>
          <w:szCs w:val="21"/>
        </w:rPr>
        <w:t>Service Provider</w:t>
      </w:r>
      <w:r>
        <w:rPr>
          <w:color w:val="000000"/>
          <w:sz w:val="21"/>
          <w:szCs w:val="21"/>
        </w:rPr>
        <w:t xml:space="preserve"> must, within 10 Wor</w:t>
      </w:r>
      <w:r>
        <w:rPr>
          <w:color w:val="000000"/>
          <w:sz w:val="21"/>
          <w:szCs w:val="21"/>
        </w:rPr>
        <w:t xml:space="preserve">king Days notify the </w:t>
      </w:r>
      <w:r>
        <w:rPr>
          <w:i/>
          <w:iCs/>
          <w:color w:val="000000"/>
          <w:sz w:val="21"/>
          <w:szCs w:val="21"/>
        </w:rPr>
        <w:t>Client</w:t>
      </w:r>
      <w:r>
        <w:rPr>
          <w:color w:val="000000"/>
          <w:sz w:val="21"/>
          <w:szCs w:val="21"/>
        </w:rPr>
        <w:t>:</w:t>
      </w:r>
    </w:p>
    <w:p w14:paraId="0245D875"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specific Intellectual Property Rights the </w:t>
      </w:r>
      <w:r>
        <w:rPr>
          <w:i/>
          <w:iCs/>
          <w:color w:val="000000"/>
          <w:sz w:val="21"/>
          <w:szCs w:val="21"/>
        </w:rPr>
        <w:t>Client</w:t>
      </w:r>
      <w:r>
        <w:rPr>
          <w:color w:val="000000"/>
          <w:sz w:val="21"/>
          <w:szCs w:val="21"/>
        </w:rPr>
        <w:t xml:space="preserve"> has not received licences to; and</w:t>
      </w:r>
    </w:p>
    <w:p w14:paraId="4C8DB481"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735294F3" w14:textId="77777777" w:rsidR="007960A8" w:rsidRDefault="00A26397">
      <w:pPr>
        <w:widowControl/>
        <w:numPr>
          <w:ilvl w:val="1"/>
          <w:numId w:val="106"/>
        </w:numPr>
        <w:pBdr>
          <w:top w:val="nil"/>
          <w:left w:val="nil"/>
          <w:bottom w:val="nil"/>
          <w:right w:val="nil"/>
          <w:between w:val="nil"/>
        </w:pBdr>
        <w:spacing w:after="280"/>
        <w:jc w:val="both"/>
      </w:pPr>
      <w:r>
        <w:rPr>
          <w:color w:val="000000"/>
          <w:sz w:val="21"/>
          <w:szCs w:val="21"/>
        </w:rPr>
        <w:t>For the avoidance of doubt</w:t>
      </w:r>
    </w:p>
    <w:p w14:paraId="42292830" w14:textId="77777777" w:rsidR="007960A8" w:rsidRDefault="00A26397">
      <w:pPr>
        <w:widowControl/>
        <w:pBdr>
          <w:top w:val="nil"/>
          <w:left w:val="nil"/>
          <w:bottom w:val="nil"/>
          <w:right w:val="nil"/>
          <w:between w:val="nil"/>
        </w:pBdr>
        <w:spacing w:after="280"/>
        <w:ind w:left="1440"/>
        <w:jc w:val="both"/>
        <w:rPr>
          <w:color w:val="000000"/>
          <w:sz w:val="21"/>
          <w:szCs w:val="21"/>
        </w:rPr>
      </w:pPr>
      <w:r>
        <w:rPr>
          <w:color w:val="000000"/>
          <w:sz w:val="21"/>
          <w:szCs w:val="21"/>
        </w:rPr>
        <w:t xml:space="preserve">except as provided for in Paragraphs 2.3.2.2(c)(1) or 6.1.2.2 and 6.1.2.3, the expiry or termination of the Contract does not of itself terminate the licences granted to the </w:t>
      </w:r>
      <w:r>
        <w:rPr>
          <w:i/>
          <w:iCs/>
          <w:color w:val="000000"/>
          <w:sz w:val="21"/>
          <w:szCs w:val="21"/>
        </w:rPr>
        <w:t>Client</w:t>
      </w:r>
      <w:r>
        <w:rPr>
          <w:color w:val="000000"/>
          <w:sz w:val="21"/>
          <w:szCs w:val="21"/>
        </w:rPr>
        <w:t xml:space="preserve"> under Paragraphs 2 and 6.</w:t>
      </w:r>
    </w:p>
    <w:p w14:paraId="3FF7814B" w14:textId="77777777" w:rsidR="007960A8" w:rsidRDefault="007960A8">
      <w:pPr>
        <w:widowControl/>
        <w:pBdr>
          <w:top w:val="nil"/>
          <w:left w:val="nil"/>
          <w:bottom w:val="nil"/>
          <w:right w:val="nil"/>
          <w:between w:val="nil"/>
        </w:pBdr>
        <w:spacing w:after="280"/>
        <w:ind w:left="1440"/>
        <w:jc w:val="both"/>
        <w:rPr>
          <w:color w:val="000000"/>
          <w:sz w:val="21"/>
          <w:szCs w:val="21"/>
        </w:rPr>
      </w:pPr>
    </w:p>
    <w:p w14:paraId="1527FB82"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Licences in respect of Service Provider Existing</w:t>
      </w:r>
      <w:r>
        <w:rPr>
          <w:b/>
          <w:bCs/>
          <w:color w:val="000000"/>
          <w:sz w:val="21"/>
          <w:szCs w:val="21"/>
        </w:rPr>
        <w:t xml:space="preserve"> IPR</w:t>
      </w:r>
    </w:p>
    <w:p w14:paraId="39E854DD"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Existing IPR Licence on the terms set out in Paragraph 2.3 in respect of each </w:t>
      </w:r>
      <w:r>
        <w:rPr>
          <w:i/>
          <w:iCs/>
          <w:color w:val="000000"/>
          <w:sz w:val="21"/>
          <w:szCs w:val="21"/>
        </w:rPr>
        <w:t>service</w:t>
      </w:r>
      <w:r>
        <w:rPr>
          <w:color w:val="000000"/>
          <w:sz w:val="21"/>
          <w:szCs w:val="21"/>
        </w:rPr>
        <w:t xml:space="preserve"> where:</w:t>
      </w:r>
    </w:p>
    <w:p w14:paraId="210C6353"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Service Provider Existing IPR is embedded in the </w:t>
      </w:r>
      <w:r>
        <w:rPr>
          <w:i/>
          <w:iCs/>
          <w:color w:val="000000"/>
          <w:sz w:val="21"/>
          <w:szCs w:val="21"/>
        </w:rPr>
        <w:t>services</w:t>
      </w:r>
      <w:r>
        <w:rPr>
          <w:color w:val="000000"/>
          <w:sz w:val="21"/>
          <w:szCs w:val="21"/>
        </w:rPr>
        <w:t>;</w:t>
      </w:r>
    </w:p>
    <w:p w14:paraId="734B341A"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Service Provider Existing IPR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any of the purposes set out in Paragraph 2.4; or</w:t>
      </w:r>
    </w:p>
    <w:p w14:paraId="271AB831"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are a customisation or adaptation of Service </w:t>
      </w:r>
      <w:r>
        <w:rPr>
          <w:color w:val="000000"/>
          <w:sz w:val="21"/>
          <w:szCs w:val="21"/>
        </w:rPr>
        <w:t>Provider Existing IPR.</w:t>
      </w:r>
    </w:p>
    <w:p w14:paraId="4718F542"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The categories of Service Provider Existing IPR described in Paragraph 2.1 are mutually exclusive.</w:t>
      </w:r>
    </w:p>
    <w:p w14:paraId="2385CD6E"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Service Provider Existing IPR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 perpetual, royalty-free, i</w:t>
      </w:r>
      <w:r>
        <w:rPr>
          <w:color w:val="000000"/>
          <w:sz w:val="21"/>
          <w:szCs w:val="21"/>
        </w:rPr>
        <w:t>rrevocable, transferable, sub-licensable, worldwide licence that:</w:t>
      </w:r>
    </w:p>
    <w:p w14:paraId="5F26B061"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in the case of Service Provider Existing IPR embedded in a </w:t>
      </w:r>
      <w:r>
        <w:rPr>
          <w:i/>
          <w:iCs/>
          <w:color w:val="000000"/>
          <w:sz w:val="21"/>
          <w:szCs w:val="21"/>
        </w:rPr>
        <w:t>service</w:t>
      </w:r>
      <w:r>
        <w:rPr>
          <w:color w:val="000000"/>
          <w:sz w:val="21"/>
          <w:szCs w:val="21"/>
        </w:rPr>
        <w:t>:</w:t>
      </w:r>
    </w:p>
    <w:p w14:paraId="6A4954A6"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has no restriction on the identity of any transferee or sub-licensee;</w:t>
      </w:r>
    </w:p>
    <w:p w14:paraId="1A415539"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w:t>
      </w:r>
      <w:r>
        <w:rPr>
          <w:color w:val="000000"/>
          <w:sz w:val="21"/>
          <w:szCs w:val="21"/>
        </w:rPr>
        <w:t xml:space="preserve"> to use, copy and adapt the Service Provider Existing IPR for any of the purposes set out in Paragraph 2.4; and</w:t>
      </w:r>
    </w:p>
    <w:p w14:paraId="576F3B48"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is subject to the restriction that no sub-licence granted to the Service Provider Existing IPR shall purport to provide the sub-licensee with an</w:t>
      </w:r>
      <w:r>
        <w:rPr>
          <w:color w:val="000000"/>
          <w:sz w:val="21"/>
          <w:szCs w:val="21"/>
        </w:rPr>
        <w:t xml:space="preserve">y wider rights than those granted to the </w:t>
      </w:r>
      <w:r>
        <w:rPr>
          <w:i/>
          <w:iCs/>
          <w:color w:val="000000"/>
          <w:sz w:val="21"/>
          <w:szCs w:val="21"/>
        </w:rPr>
        <w:t>Client</w:t>
      </w:r>
      <w:r>
        <w:rPr>
          <w:color w:val="000000"/>
          <w:sz w:val="21"/>
          <w:szCs w:val="21"/>
        </w:rPr>
        <w:t xml:space="preserve"> under this Paragraph;</w:t>
      </w:r>
    </w:p>
    <w:p w14:paraId="61420F3F"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in the case of Service Provider Existing IPR that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its intended purpose or has been customised or adapted to provide the </w:t>
      </w:r>
      <w:r>
        <w:rPr>
          <w:i/>
          <w:iCs/>
          <w:color w:val="000000"/>
          <w:sz w:val="21"/>
          <w:szCs w:val="21"/>
        </w:rPr>
        <w:t>services</w:t>
      </w:r>
      <w:r>
        <w:rPr>
          <w:color w:val="000000"/>
          <w:sz w:val="21"/>
          <w:szCs w:val="21"/>
        </w:rPr>
        <w:t>:</w:t>
      </w:r>
    </w:p>
    <w:p w14:paraId="3E4FD8C6"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Service Provider Existing IPRs for any of the purposes set out in Paragraph 2.4; and</w:t>
      </w:r>
    </w:p>
    <w:p w14:paraId="183C0B8F"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is transferrable to only:</w:t>
      </w:r>
    </w:p>
    <w:p w14:paraId="52942871"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any body (including any private s</w:t>
      </w:r>
      <w:r>
        <w:rPr>
          <w:color w:val="000000"/>
          <w:sz w:val="21"/>
          <w:szCs w:val="21"/>
        </w:rPr>
        <w:t xml:space="preserve">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18E0596F"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71D3BDC1" w14:textId="77777777" w:rsidR="007960A8" w:rsidRDefault="00A26397">
      <w:pPr>
        <w:widowControl/>
        <w:numPr>
          <w:ilvl w:val="4"/>
          <w:numId w:val="107"/>
        </w:numPr>
        <w:pBdr>
          <w:top w:val="nil"/>
          <w:left w:val="nil"/>
          <w:bottom w:val="nil"/>
          <w:right w:val="nil"/>
          <w:between w:val="nil"/>
        </w:pBdr>
        <w:spacing w:after="240"/>
        <w:ind w:left="4678"/>
        <w:jc w:val="both"/>
      </w:pPr>
      <w:r>
        <w:rPr>
          <w:color w:val="000000"/>
          <w:sz w:val="21"/>
          <w:szCs w:val="21"/>
        </w:rPr>
        <w:t>enters into</w:t>
      </w:r>
      <w:r>
        <w:rPr>
          <w:color w:val="000000"/>
          <w:sz w:val="21"/>
          <w:szCs w:val="21"/>
        </w:rPr>
        <w:t xml:space="preserve"> a direct arrangement with the </w:t>
      </w:r>
      <w:r>
        <w:rPr>
          <w:i/>
          <w:iCs/>
          <w:color w:val="000000"/>
          <w:sz w:val="21"/>
          <w:szCs w:val="21"/>
        </w:rPr>
        <w:t>Service Provider</w:t>
      </w:r>
      <w:r>
        <w:rPr>
          <w:color w:val="000000"/>
          <w:sz w:val="21"/>
          <w:szCs w:val="21"/>
        </w:rPr>
        <w:t xml:space="preserve"> in the form set out in Annex 2; or</w:t>
      </w:r>
    </w:p>
    <w:p w14:paraId="63238B6C" w14:textId="77777777" w:rsidR="007960A8" w:rsidRDefault="00A26397">
      <w:pPr>
        <w:widowControl/>
        <w:numPr>
          <w:ilvl w:val="4"/>
          <w:numId w:val="10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both parties, acting reasonably;</w:t>
      </w:r>
    </w:p>
    <w:p w14:paraId="65A8A73E"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a competitor of the </w:t>
      </w:r>
      <w:r>
        <w:rPr>
          <w:i/>
          <w:iCs/>
          <w:color w:val="000000"/>
          <w:sz w:val="21"/>
          <w:szCs w:val="21"/>
        </w:rPr>
        <w:t>Service Provider</w:t>
      </w:r>
      <w:r>
        <w:rPr>
          <w:color w:val="000000"/>
          <w:sz w:val="21"/>
          <w:szCs w:val="21"/>
        </w:rPr>
        <w:t>) where the Replacement Service Provider either:</w:t>
      </w:r>
    </w:p>
    <w:p w14:paraId="1224DCC7"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w:t>
      </w:r>
      <w:r>
        <w:rPr>
          <w:color w:val="000000"/>
          <w:sz w:val="21"/>
          <w:szCs w:val="21"/>
        </w:rPr>
        <w:t>e form set out in Annex 2; or</w:t>
      </w:r>
    </w:p>
    <w:p w14:paraId="2B367D4F"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u w:val="single"/>
        </w:rPr>
        <w:t>Client</w:t>
      </w:r>
      <w:r>
        <w:rPr>
          <w:color w:val="000000"/>
          <w:sz w:val="21"/>
          <w:szCs w:val="21"/>
        </w:rPr>
        <w:t xml:space="preserve"> in terms agreed by both parties, acting reasonably; and</w:t>
      </w:r>
    </w:p>
    <w:p w14:paraId="64721052"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is subject to the restriction that no sub-licence granted to the Service Provider Existing IPR shall purport to </w:t>
      </w:r>
      <w:r>
        <w:rPr>
          <w:color w:val="000000"/>
          <w:sz w:val="21"/>
          <w:szCs w:val="21"/>
        </w:rPr>
        <w:t xml:space="preserve">provide the sub-licensee with any wider rights than those granted to the </w:t>
      </w:r>
      <w:r>
        <w:rPr>
          <w:i/>
          <w:iCs/>
          <w:color w:val="000000"/>
          <w:sz w:val="21"/>
          <w:szCs w:val="21"/>
        </w:rPr>
        <w:t>Client</w:t>
      </w:r>
      <w:r>
        <w:rPr>
          <w:color w:val="000000"/>
          <w:sz w:val="21"/>
          <w:szCs w:val="21"/>
        </w:rPr>
        <w:t xml:space="preserve"> under this Paragraph.</w:t>
      </w:r>
    </w:p>
    <w:p w14:paraId="06E904B7"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For the purposes of Paragraph 2.3, the relevant purposes are:</w:t>
      </w:r>
    </w:p>
    <w:p w14:paraId="34669BAD"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w:t>
      </w:r>
    </w:p>
    <w:p w14:paraId="5F6F025B"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to commercially exploit the New IPR and New IPR Items; and</w:t>
      </w:r>
    </w:p>
    <w:p w14:paraId="40BA33FA"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for any purpose relating to the exercise of the </w:t>
      </w:r>
      <w:r>
        <w:rPr>
          <w:i/>
          <w:iCs/>
          <w:color w:val="000000"/>
          <w:sz w:val="21"/>
          <w:szCs w:val="21"/>
        </w:rPr>
        <w:t>Client’s</w:t>
      </w:r>
      <w:r>
        <w:rPr>
          <w:color w:val="000000"/>
          <w:sz w:val="21"/>
          <w:szCs w:val="21"/>
        </w:rPr>
        <w:t xml:space="preserve"> (or, if the </w:t>
      </w:r>
      <w:r>
        <w:rPr>
          <w:i/>
          <w:iCs/>
          <w:color w:val="000000"/>
          <w:sz w:val="21"/>
          <w:szCs w:val="21"/>
        </w:rPr>
        <w:t>Client</w:t>
      </w:r>
      <w:r>
        <w:rPr>
          <w:color w:val="000000"/>
          <w:sz w:val="21"/>
          <w:szCs w:val="21"/>
        </w:rPr>
        <w:t xml:space="preserve"> is a Public Sector Body, any other Public Sector Body’s) business or function.</w:t>
      </w:r>
    </w:p>
    <w:p w14:paraId="4268CC45"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Licences granted by the Client</w:t>
      </w:r>
    </w:p>
    <w:p w14:paraId="497153B9"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grants the Service Provider a licence to the New IPR and Client Existing IPR that either:</w:t>
      </w:r>
    </w:p>
    <w:p w14:paraId="1BA5C630"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where terms are agreed by the </w:t>
      </w:r>
      <w:r>
        <w:rPr>
          <w:i/>
          <w:iCs/>
          <w:color w:val="000000"/>
          <w:sz w:val="21"/>
          <w:szCs w:val="21"/>
        </w:rPr>
        <w:t>Client</w:t>
      </w:r>
      <w:r>
        <w:rPr>
          <w:color w:val="000000"/>
          <w:sz w:val="21"/>
          <w:szCs w:val="21"/>
        </w:rPr>
        <w:t xml:space="preserve"> and </w:t>
      </w:r>
      <w:r>
        <w:rPr>
          <w:i/>
          <w:iCs/>
          <w:color w:val="000000"/>
          <w:sz w:val="21"/>
          <w:szCs w:val="21"/>
        </w:rPr>
        <w:t>Ser</w:t>
      </w:r>
      <w:r>
        <w:rPr>
          <w:i/>
          <w:iCs/>
          <w:color w:val="000000"/>
          <w:sz w:val="21"/>
          <w:szCs w:val="21"/>
        </w:rPr>
        <w:t>vice Provider</w:t>
      </w:r>
      <w:r>
        <w:rPr>
          <w:color w:val="000000"/>
          <w:sz w:val="21"/>
          <w:szCs w:val="21"/>
        </w:rPr>
        <w:t xml:space="preserve"> under Paragraph 4, is on those terms; or</w:t>
      </w:r>
    </w:p>
    <w:p w14:paraId="41B0DB15"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where terms are not agreed by the </w:t>
      </w:r>
      <w:r>
        <w:rPr>
          <w:i/>
          <w:iCs/>
          <w:color w:val="000000"/>
          <w:sz w:val="21"/>
          <w:szCs w:val="21"/>
        </w:rPr>
        <w:t>Client</w:t>
      </w:r>
      <w:r>
        <w:rPr>
          <w:color w:val="000000"/>
          <w:sz w:val="21"/>
          <w:szCs w:val="21"/>
        </w:rPr>
        <w:t xml:space="preserve"> and </w:t>
      </w:r>
      <w:r>
        <w:rPr>
          <w:i/>
          <w:iCs/>
          <w:color w:val="000000"/>
          <w:sz w:val="21"/>
          <w:szCs w:val="21"/>
        </w:rPr>
        <w:t>Service Provider</w:t>
      </w:r>
      <w:r>
        <w:rPr>
          <w:color w:val="000000"/>
          <w:sz w:val="21"/>
          <w:szCs w:val="21"/>
        </w:rPr>
        <w:t xml:space="preserve"> under Paragraph 4:</w:t>
      </w:r>
    </w:p>
    <w:p w14:paraId="38D17E95"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is non-exclusive, royalty-free and non-transferable;</w:t>
      </w:r>
    </w:p>
    <w:p w14:paraId="57F1FEAE"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is sub-licensable to any Sub-contractor where:</w:t>
      </w:r>
    </w:p>
    <w:p w14:paraId="79C45045"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by the parties, acting reasonably; and</w:t>
      </w:r>
    </w:p>
    <w:p w14:paraId="7B4858F4"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 the sub-licence does not purport to provide the sub-licensee with </w:t>
      </w:r>
      <w:r>
        <w:rPr>
          <w:color w:val="000000"/>
          <w:sz w:val="21"/>
          <w:szCs w:val="21"/>
        </w:rPr>
        <w:t xml:space="preserve">any wider rights than those granted to the </w:t>
      </w:r>
      <w:r>
        <w:rPr>
          <w:i/>
          <w:iCs/>
          <w:color w:val="000000"/>
          <w:sz w:val="21"/>
          <w:szCs w:val="21"/>
        </w:rPr>
        <w:t>Service Provider</w:t>
      </w:r>
      <w:r>
        <w:rPr>
          <w:color w:val="000000"/>
          <w:sz w:val="21"/>
          <w:szCs w:val="21"/>
        </w:rPr>
        <w:t xml:space="preserve"> under this Paragraph; and</w:t>
      </w:r>
    </w:p>
    <w:p w14:paraId="21898C71"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sub-licensee to use, copy and adapt any Client Existing IPR for the purpose of fulfilling its obligations under the Contract; and </w:t>
      </w:r>
    </w:p>
    <w:p w14:paraId="34DD9202"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ter</w:t>
      </w:r>
      <w:r>
        <w:rPr>
          <w:color w:val="000000"/>
          <w:sz w:val="21"/>
          <w:szCs w:val="21"/>
        </w:rPr>
        <w:t xml:space="preserve">minates at the end of the </w:t>
      </w:r>
      <w:r>
        <w:rPr>
          <w:i/>
          <w:iCs/>
          <w:color w:val="000000"/>
          <w:sz w:val="21"/>
          <w:szCs w:val="21"/>
        </w:rPr>
        <w:t>service period</w:t>
      </w:r>
      <w:r>
        <w:rPr>
          <w:color w:val="000000"/>
          <w:sz w:val="21"/>
          <w:szCs w:val="21"/>
        </w:rPr>
        <w:t>.</w:t>
      </w:r>
    </w:p>
    <w:p w14:paraId="33373117"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When the licence granted under Paragraph 3.1 terminates, the </w:t>
      </w:r>
      <w:r>
        <w:rPr>
          <w:i/>
          <w:iCs/>
          <w:color w:val="000000"/>
          <w:sz w:val="21"/>
          <w:szCs w:val="21"/>
        </w:rPr>
        <w:t>Service Provider</w:t>
      </w:r>
      <w:r>
        <w:rPr>
          <w:color w:val="000000"/>
          <w:sz w:val="21"/>
          <w:szCs w:val="21"/>
        </w:rPr>
        <w:t xml:space="preserve"> must, and must ensure that each Sub-contractor granted a sub-licence under Paragraph 3.1.2:</w:t>
      </w:r>
    </w:p>
    <w:p w14:paraId="67631B71"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immediately cease all use of the Client Existing IPR and New IPR (including the Government Data within which the Client Existing IPR or New IPR may subsist);</w:t>
      </w:r>
    </w:p>
    <w:p w14:paraId="6020A0F4"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either:</w:t>
      </w:r>
    </w:p>
    <w:p w14:paraId="5ECBA7DA"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at the discretion of the </w:t>
      </w:r>
      <w:r>
        <w:rPr>
          <w:i/>
          <w:iCs/>
          <w:color w:val="000000"/>
          <w:sz w:val="21"/>
          <w:szCs w:val="21"/>
        </w:rPr>
        <w:t>Client</w:t>
      </w:r>
      <w:r>
        <w:rPr>
          <w:color w:val="000000"/>
          <w:sz w:val="21"/>
          <w:szCs w:val="21"/>
        </w:rPr>
        <w:t xml:space="preserve">, return or destroy documents and other tangible materials that contain any of the Client Existing IPR, New IPR and the Government Data; or </w:t>
      </w:r>
    </w:p>
    <w:p w14:paraId="45F32FA9"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has not made an election within six months of the termination of the licence, destroy the documents a</w:t>
      </w:r>
      <w:r>
        <w:rPr>
          <w:color w:val="000000"/>
          <w:sz w:val="21"/>
          <w:szCs w:val="21"/>
        </w:rPr>
        <w:t>nd other tangible materials that contain any of the Client Existing IPR, the New IPR and the Government Data (as the case may be); and</w:t>
      </w:r>
    </w:p>
    <w:p w14:paraId="1D783B97"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ensure, so far as reasonably practicable, that any Client Existing IPR, New IPR and Government Data held in electronic, d</w:t>
      </w:r>
      <w:r>
        <w:rPr>
          <w:color w:val="000000"/>
          <w:sz w:val="21"/>
          <w:szCs w:val="21"/>
        </w:rPr>
        <w:t xml:space="preserve">igital or other machine-readable form ceases to be readily accessible from any computer, word processor, voicemail system or any other device of the </w:t>
      </w:r>
      <w:r>
        <w:rPr>
          <w:i/>
          <w:iCs/>
          <w:color w:val="000000"/>
          <w:sz w:val="21"/>
          <w:szCs w:val="21"/>
        </w:rPr>
        <w:t>Service Provider</w:t>
      </w:r>
      <w:r>
        <w:rPr>
          <w:color w:val="000000"/>
          <w:sz w:val="21"/>
          <w:szCs w:val="21"/>
        </w:rPr>
        <w:t>.</w:t>
      </w:r>
    </w:p>
    <w:p w14:paraId="2892D77D"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Client approval for Service Provider to exploit New IPR and Client Existing IPR</w:t>
      </w:r>
    </w:p>
    <w:p w14:paraId="2461A2C4"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Before using, copying or adapting any New IPR for any purpose other than fulfilling its obligations under the Contract, the </w:t>
      </w:r>
      <w:r>
        <w:rPr>
          <w:i/>
          <w:iCs/>
          <w:color w:val="000000"/>
          <w:sz w:val="21"/>
          <w:szCs w:val="21"/>
        </w:rPr>
        <w:t>Service Provider</w:t>
      </w:r>
      <w:r>
        <w:rPr>
          <w:color w:val="000000"/>
          <w:sz w:val="21"/>
          <w:szCs w:val="21"/>
        </w:rPr>
        <w:t xml:space="preserve"> must seek the approval of the </w:t>
      </w:r>
      <w:r>
        <w:rPr>
          <w:i/>
          <w:iCs/>
          <w:color w:val="000000"/>
          <w:sz w:val="21"/>
          <w:szCs w:val="21"/>
        </w:rPr>
        <w:t>Client</w:t>
      </w:r>
      <w:r>
        <w:rPr>
          <w:color w:val="000000"/>
          <w:sz w:val="21"/>
          <w:szCs w:val="21"/>
        </w:rPr>
        <w:t xml:space="preserve"> in accordance with the provisions of this Paragraph.</w:t>
      </w:r>
    </w:p>
    <w:p w14:paraId="50ADF033"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terminate </w:t>
      </w:r>
      <w:r>
        <w:rPr>
          <w:color w:val="000000"/>
          <w:sz w:val="21"/>
          <w:szCs w:val="21"/>
        </w:rPr>
        <w:t xml:space="preserve">any licence it grants under this Paragraph by notice in writing with immediate effect where the </w:t>
      </w:r>
      <w:r>
        <w:rPr>
          <w:i/>
          <w:iCs/>
          <w:color w:val="000000"/>
          <w:sz w:val="21"/>
          <w:szCs w:val="21"/>
        </w:rPr>
        <w:t>Service Provider</w:t>
      </w:r>
      <w:r>
        <w:rPr>
          <w:color w:val="000000"/>
          <w:sz w:val="21"/>
          <w:szCs w:val="21"/>
        </w:rPr>
        <w:t xml:space="preserve"> breaches any condition in that licence.</w:t>
      </w:r>
    </w:p>
    <w:p w14:paraId="3BE4BACE"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proposal setting out:</w:t>
      </w:r>
    </w:p>
    <w:p w14:paraId="50DF485A"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purpose for which it proposes to use the </w:t>
      </w:r>
      <w:r>
        <w:rPr>
          <w:color w:val="000000"/>
          <w:sz w:val="21"/>
          <w:szCs w:val="21"/>
        </w:rPr>
        <w:t>New IPR;</w:t>
      </w:r>
    </w:p>
    <w:p w14:paraId="20E78488"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New IPR;</w:t>
      </w:r>
    </w:p>
    <w:p w14:paraId="6CD41518"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any licence the </w:t>
      </w:r>
      <w:r>
        <w:rPr>
          <w:i/>
          <w:iCs/>
          <w:color w:val="000000"/>
          <w:sz w:val="21"/>
          <w:szCs w:val="21"/>
        </w:rPr>
        <w:t>Service Provider</w:t>
      </w:r>
      <w:r>
        <w:rPr>
          <w:color w:val="000000"/>
          <w:sz w:val="21"/>
          <w:szCs w:val="21"/>
        </w:rPr>
        <w:t xml:space="preserve"> requests in respect of Client Existing IPR; and</w:t>
      </w:r>
    </w:p>
    <w:p w14:paraId="1F3A22B2"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such further information as the </w:t>
      </w:r>
      <w:r>
        <w:rPr>
          <w:i/>
          <w:iCs/>
          <w:color w:val="000000"/>
          <w:sz w:val="21"/>
          <w:szCs w:val="21"/>
        </w:rPr>
        <w:t>Client</w:t>
      </w:r>
      <w:r>
        <w:rPr>
          <w:color w:val="000000"/>
          <w:sz w:val="21"/>
          <w:szCs w:val="21"/>
        </w:rPr>
        <w:t xml:space="preserve"> may reasonably require to properly</w:t>
      </w:r>
      <w:r>
        <w:rPr>
          <w:color w:val="000000"/>
          <w:sz w:val="21"/>
          <w:szCs w:val="21"/>
        </w:rPr>
        <w:t xml:space="preserve"> consider the proposal.</w:t>
      </w:r>
    </w:p>
    <w:p w14:paraId="1451CC93"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only refuse the </w:t>
      </w:r>
      <w:r>
        <w:rPr>
          <w:i/>
          <w:iCs/>
          <w:color w:val="000000"/>
          <w:sz w:val="21"/>
          <w:szCs w:val="21"/>
        </w:rPr>
        <w:t>Service Provider’s</w:t>
      </w:r>
      <w:r>
        <w:rPr>
          <w:color w:val="000000"/>
          <w:sz w:val="21"/>
          <w:szCs w:val="21"/>
        </w:rPr>
        <w:t xml:space="preserve"> proposal where it considers that if the </w:t>
      </w:r>
      <w:r>
        <w:rPr>
          <w:i/>
          <w:iCs/>
          <w:color w:val="000000"/>
          <w:sz w:val="21"/>
          <w:szCs w:val="21"/>
        </w:rPr>
        <w:t>Service Provider</w:t>
      </w:r>
      <w:r>
        <w:rPr>
          <w:color w:val="000000"/>
          <w:sz w:val="21"/>
          <w:szCs w:val="21"/>
        </w:rPr>
        <w:t xml:space="preserve"> were to implement the proposal it would harm:</w:t>
      </w:r>
    </w:p>
    <w:p w14:paraId="2121E8F0"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reputation; or</w:t>
      </w:r>
    </w:p>
    <w:p w14:paraId="2CF2083E"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interests.</w:t>
      </w:r>
    </w:p>
    <w:p w14:paraId="5C33102F"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w:t>
      </w:r>
    </w:p>
    <w:p w14:paraId="2E00B6DD"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approved or declined proposal; or</w:t>
      </w:r>
    </w:p>
    <w:p w14:paraId="6C740351"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required further information,</w:t>
      </w:r>
    </w:p>
    <w:p w14:paraId="39B01BC2"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within 20 Working Days of the later of:</w:t>
      </w:r>
    </w:p>
    <w:p w14:paraId="3425B985"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date the proposal was first provided to the </w:t>
      </w:r>
      <w:r>
        <w:rPr>
          <w:i/>
          <w:iCs/>
          <w:color w:val="000000"/>
          <w:sz w:val="21"/>
          <w:szCs w:val="21"/>
        </w:rPr>
        <w:t>Client</w:t>
      </w:r>
      <w:r>
        <w:rPr>
          <w:color w:val="000000"/>
          <w:sz w:val="21"/>
          <w:szCs w:val="21"/>
        </w:rPr>
        <w:t>; or</w:t>
      </w:r>
    </w:p>
    <w:p w14:paraId="264AE734"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date on which further information was provided to the </w:t>
      </w:r>
      <w:r>
        <w:rPr>
          <w:i/>
          <w:iCs/>
          <w:color w:val="000000"/>
          <w:sz w:val="21"/>
          <w:szCs w:val="21"/>
        </w:rPr>
        <w:t>Client</w:t>
      </w:r>
      <w:r>
        <w:rPr>
          <w:color w:val="000000"/>
          <w:sz w:val="21"/>
          <w:szCs w:val="21"/>
        </w:rPr>
        <w:t>,</w:t>
      </w:r>
    </w:p>
    <w:p w14:paraId="22947F19"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then the proposal is, for the purposes of the Contract, approved.</w:t>
      </w:r>
    </w:p>
    <w:p w14:paraId="35DCA751"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Provision of information on New IPR</w:t>
      </w:r>
    </w:p>
    <w:p w14:paraId="6D0BA1F8"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7251953C"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w:t>
      </w:r>
    </w:p>
    <w:p w14:paraId="3ED71F99"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Contract, with or in respect of the New IPR.</w:t>
      </w:r>
    </w:p>
    <w:p w14:paraId="5DE413B6"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w:t>
      </w:r>
      <w:r>
        <w:rPr>
          <w:i/>
          <w:iCs/>
          <w:color w:val="000000"/>
          <w:sz w:val="21"/>
          <w:szCs w:val="21"/>
        </w:rPr>
        <w:t>rvice Provider</w:t>
      </w:r>
      <w:r>
        <w:rPr>
          <w:color w:val="000000"/>
          <w:sz w:val="21"/>
          <w:szCs w:val="21"/>
        </w:rPr>
        <w:t xml:space="preserve"> must provide the information required by the </w:t>
      </w:r>
      <w:r>
        <w:rPr>
          <w:i/>
          <w:iCs/>
          <w:color w:val="000000"/>
          <w:sz w:val="21"/>
          <w:szCs w:val="21"/>
        </w:rPr>
        <w:t>Client</w:t>
      </w:r>
      <w:r>
        <w:rPr>
          <w:color w:val="000000"/>
          <w:sz w:val="21"/>
          <w:szCs w:val="21"/>
        </w:rPr>
        <w:t>:</w:t>
      </w:r>
    </w:p>
    <w:p w14:paraId="11D512DF"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within twenty (20) Working Days of the date of the requirement; and</w:t>
      </w:r>
    </w:p>
    <w:p w14:paraId="3641C21D"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13C0A8DB"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Licences in respect of Third-party IPR</w:t>
      </w:r>
    </w:p>
    <w:p w14:paraId="611A96A0"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use in the delivery of the </w:t>
      </w:r>
      <w:r>
        <w:rPr>
          <w:i/>
          <w:iCs/>
          <w:color w:val="000000"/>
          <w:sz w:val="21"/>
          <w:szCs w:val="21"/>
        </w:rPr>
        <w:t>services</w:t>
      </w:r>
      <w:r>
        <w:rPr>
          <w:color w:val="000000"/>
          <w:sz w:val="21"/>
          <w:szCs w:val="21"/>
        </w:rPr>
        <w:t xml:space="preserve"> any Third Party IPR unless:</w:t>
      </w:r>
    </w:p>
    <w:p w14:paraId="54115363"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Approval is granted by the </w:t>
      </w:r>
      <w:r>
        <w:rPr>
          <w:i/>
          <w:iCs/>
          <w:color w:val="000000"/>
          <w:sz w:val="21"/>
          <w:szCs w:val="21"/>
        </w:rPr>
        <w:t>Client</w:t>
      </w:r>
      <w:r>
        <w:rPr>
          <w:color w:val="000000"/>
          <w:sz w:val="21"/>
          <w:szCs w:val="21"/>
        </w:rPr>
        <w:t>; and</w:t>
      </w:r>
    </w:p>
    <w:p w14:paraId="37B8DFF2"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one of the following conditions is met:</w:t>
      </w:r>
    </w:p>
    <w:p w14:paraId="4A741EBB"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6.2;</w:t>
      </w:r>
    </w:p>
    <w:p w14:paraId="63CBC146"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endeavours, obtain for the </w:t>
      </w:r>
      <w:r>
        <w:rPr>
          <w:i/>
          <w:iCs/>
          <w:color w:val="000000"/>
          <w:sz w:val="21"/>
          <w:szCs w:val="21"/>
        </w:rPr>
        <w:t>Client</w:t>
      </w:r>
      <w:r>
        <w:rPr>
          <w:color w:val="000000"/>
          <w:sz w:val="21"/>
          <w:szCs w:val="21"/>
        </w:rPr>
        <w:t xml:space="preserve"> a Third </w:t>
      </w:r>
      <w:r>
        <w:rPr>
          <w:color w:val="000000"/>
          <w:sz w:val="21"/>
          <w:szCs w:val="21"/>
        </w:rPr>
        <w:t>Party IPR licence as set out in Paragraph 6.1.2.1, all the following conditions are met:</w:t>
      </w:r>
    </w:p>
    <w:p w14:paraId="1AC2965D"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the Service Provider has notified the </w:t>
      </w:r>
      <w:r>
        <w:rPr>
          <w:i/>
          <w:iCs/>
          <w:color w:val="000000"/>
          <w:sz w:val="21"/>
          <w:szCs w:val="21"/>
        </w:rPr>
        <w:t>Client</w:t>
      </w:r>
      <w:r>
        <w:rPr>
          <w:color w:val="000000"/>
          <w:sz w:val="21"/>
          <w:szCs w:val="21"/>
        </w:rPr>
        <w:t xml:space="preserve"> in writing giving details of:</w:t>
      </w:r>
    </w:p>
    <w:p w14:paraId="360F31E5" w14:textId="77777777" w:rsidR="007960A8" w:rsidRDefault="00A26397">
      <w:pPr>
        <w:widowControl/>
        <w:numPr>
          <w:ilvl w:val="4"/>
          <w:numId w:val="108"/>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7FF9FC4C" w14:textId="77777777" w:rsidR="007960A8" w:rsidRDefault="00A26397">
      <w:pPr>
        <w:widowControl/>
        <w:numPr>
          <w:ilvl w:val="4"/>
          <w:numId w:val="105"/>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3450F535"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agreed to accept the licence terms of one of those third parties; and</w:t>
      </w:r>
    </w:p>
    <w:p w14:paraId="20DBC700" w14:textId="77777777" w:rsidR="007960A8" w:rsidRDefault="00A26397">
      <w:pPr>
        <w:widowControl/>
        <w:numPr>
          <w:ilvl w:val="4"/>
          <w:numId w:val="106"/>
        </w:numPr>
        <w:pBdr>
          <w:top w:val="nil"/>
          <w:left w:val="nil"/>
          <w:bottom w:val="nil"/>
          <w:right w:val="nil"/>
          <w:between w:val="nil"/>
        </w:pBdr>
        <w:spacing w:after="240"/>
        <w:jc w:val="both"/>
      </w:pPr>
      <w:r>
        <w:rPr>
          <w:color w:val="000000"/>
          <w:sz w:val="21"/>
          <w:szCs w:val="21"/>
        </w:rPr>
        <w:t>the owner and authorised licensor of t</w:t>
      </w:r>
      <w:r>
        <w:rPr>
          <w:color w:val="000000"/>
          <w:sz w:val="21"/>
          <w:szCs w:val="21"/>
        </w:rPr>
        <w:t xml:space="preserve">he Third Party IPR has granted a direct licence of the Third Party IPR to the </w:t>
      </w:r>
      <w:r>
        <w:rPr>
          <w:i/>
          <w:iCs/>
          <w:color w:val="000000"/>
          <w:sz w:val="21"/>
          <w:szCs w:val="21"/>
        </w:rPr>
        <w:t>Client</w:t>
      </w:r>
      <w:r>
        <w:rPr>
          <w:color w:val="000000"/>
          <w:sz w:val="21"/>
          <w:szCs w:val="21"/>
        </w:rPr>
        <w:t xml:space="preserve"> on those terms; or</w:t>
      </w:r>
    </w:p>
    <w:p w14:paraId="2A6E0F30" w14:textId="77777777" w:rsidR="007960A8" w:rsidRDefault="00A26397">
      <w:pPr>
        <w:widowControl/>
        <w:numPr>
          <w:ilvl w:val="3"/>
          <w:numId w:val="106"/>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provided authorisation to the use of the Third Party IPR in writing, with reference to the acts authorised and the specific IPR involved.</w:t>
      </w:r>
    </w:p>
    <w:p w14:paraId="5B496327"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The Third Party IPR licence referred to in Paragraph 6.1 is the licence set out in Paragraph 2.3 as if:</w:t>
      </w:r>
    </w:p>
    <w:p w14:paraId="296DAA48"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the term Third Party IPR were substituted for the term Service Provider Existing IPR; and</w:t>
      </w:r>
    </w:p>
    <w:p w14:paraId="6F2A6133" w14:textId="77777777" w:rsidR="007960A8" w:rsidRDefault="00A26397">
      <w:pPr>
        <w:widowControl/>
        <w:numPr>
          <w:ilvl w:val="2"/>
          <w:numId w:val="106"/>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47DFC196"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color w:val="000000"/>
          <w:sz w:val="21"/>
          <w:szCs w:val="21"/>
        </w:rPr>
        <w:t>in each place they occur.</w:t>
      </w:r>
    </w:p>
    <w:p w14:paraId="6E126C3C" w14:textId="77777777" w:rsidR="007960A8" w:rsidRDefault="00A26397">
      <w:pPr>
        <w:keepNext/>
        <w:keepLines/>
        <w:widowControl/>
        <w:numPr>
          <w:ilvl w:val="0"/>
          <w:numId w:val="106"/>
        </w:numPr>
        <w:pBdr>
          <w:top w:val="nil"/>
          <w:left w:val="nil"/>
          <w:bottom w:val="nil"/>
          <w:right w:val="nil"/>
          <w:between w:val="nil"/>
        </w:pBdr>
        <w:spacing w:after="240"/>
        <w:jc w:val="both"/>
      </w:pPr>
      <w:r>
        <w:rPr>
          <w:b/>
          <w:bCs/>
          <w:color w:val="000000"/>
          <w:sz w:val="21"/>
          <w:szCs w:val="21"/>
        </w:rPr>
        <w:t>Patents</w:t>
      </w:r>
    </w:p>
    <w:p w14:paraId="53CF2458" w14:textId="77777777" w:rsidR="007960A8" w:rsidRDefault="00A26397">
      <w:pPr>
        <w:widowControl/>
        <w:numPr>
          <w:ilvl w:val="1"/>
          <w:numId w:val="106"/>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Service Provider a non-exclusive, irrevocable, royalty-free, worldwide patent licence to use the</w:t>
      </w:r>
      <w:r>
        <w:rPr>
          <w:color w:val="000000"/>
          <w:sz w:val="21"/>
          <w:szCs w:val="21"/>
        </w:rPr>
        <w:t xml:space="preserve"> infringing methods, materials or software.</w:t>
      </w:r>
    </w:p>
    <w:p w14:paraId="4CB22932"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69E34C36" w14:textId="77777777" w:rsidR="007960A8" w:rsidRDefault="00A26397">
      <w:pPr>
        <w:spacing w:after="240" w:line="276" w:lineRule="auto"/>
        <w:rPr>
          <w:sz w:val="28"/>
          <w:szCs w:val="28"/>
        </w:rPr>
      </w:pPr>
      <w:r>
        <w:rPr>
          <w:sz w:val="28"/>
          <w:szCs w:val="28"/>
        </w:rPr>
        <w:t>IPR Option A3</w:t>
      </w:r>
    </w:p>
    <w:p w14:paraId="4FEFA6C8" w14:textId="77777777" w:rsidR="007960A8" w:rsidRDefault="00A26397">
      <w:pPr>
        <w:spacing w:after="240" w:line="276" w:lineRule="auto"/>
        <w:rPr>
          <w:i/>
          <w:iCs/>
        </w:rPr>
      </w:pPr>
      <w:r>
        <w:rPr>
          <w:i/>
          <w:iCs/>
          <w:highlight w:val="yellow"/>
        </w:rPr>
        <w:t>[Guidance: For IPR Option A3: Service Provider ownership of all New IPR with Client rights for the current contract only, please include the following drafting:]</w:t>
      </w:r>
    </w:p>
    <w:p w14:paraId="37DE2777" w14:textId="77777777" w:rsidR="007960A8" w:rsidRDefault="00A26397">
      <w:pPr>
        <w:keepNext/>
        <w:keepLines/>
        <w:widowControl/>
        <w:numPr>
          <w:ilvl w:val="0"/>
          <w:numId w:val="109"/>
        </w:numPr>
        <w:pBdr>
          <w:top w:val="nil"/>
          <w:left w:val="nil"/>
          <w:bottom w:val="nil"/>
          <w:right w:val="nil"/>
          <w:between w:val="nil"/>
        </w:pBdr>
        <w:spacing w:after="240"/>
        <w:jc w:val="both"/>
      </w:pPr>
      <w:r>
        <w:rPr>
          <w:b/>
          <w:bCs/>
          <w:color w:val="000000"/>
          <w:sz w:val="21"/>
          <w:szCs w:val="21"/>
        </w:rPr>
        <w:t xml:space="preserve">General Provisions and </w:t>
      </w:r>
      <w:r>
        <w:rPr>
          <w:b/>
          <w:bCs/>
          <w:color w:val="000000"/>
          <w:sz w:val="21"/>
          <w:szCs w:val="21"/>
        </w:rPr>
        <w:t>Ownership of IPR</w:t>
      </w:r>
    </w:p>
    <w:p w14:paraId="609CCDC8" w14:textId="77777777" w:rsidR="007960A8" w:rsidRDefault="00A26397">
      <w:pPr>
        <w:widowControl/>
        <w:numPr>
          <w:ilvl w:val="1"/>
          <w:numId w:val="109"/>
        </w:numPr>
        <w:pBdr>
          <w:top w:val="nil"/>
          <w:left w:val="nil"/>
          <w:bottom w:val="nil"/>
          <w:right w:val="nil"/>
          <w:between w:val="nil"/>
        </w:pBdr>
        <w:spacing w:after="240"/>
        <w:jc w:val="both"/>
      </w:pPr>
      <w:bookmarkStart w:id="118" w:name="bookmark=id.idvdzic5gf6h" w:colFirst="0" w:colLast="0"/>
      <w:bookmarkEnd w:id="118"/>
      <w:r>
        <w:rPr>
          <w:color w:val="000000"/>
          <w:sz w:val="21"/>
          <w:szCs w:val="21"/>
        </w:rPr>
        <w:t xml:space="preserve">Any New IPR created under the Contract is owned by the </w:t>
      </w:r>
      <w:r>
        <w:rPr>
          <w:i/>
          <w:iCs/>
          <w:color w:val="000000"/>
          <w:sz w:val="21"/>
          <w:szCs w:val="21"/>
        </w:rPr>
        <w:t>Service Provider</w:t>
      </w:r>
      <w:r>
        <w:rPr>
          <w:color w:val="000000"/>
          <w:sz w:val="21"/>
          <w:szCs w:val="21"/>
        </w:rPr>
        <w:t>.</w:t>
      </w:r>
    </w:p>
    <w:p w14:paraId="7A8F4B6B" w14:textId="77777777" w:rsidR="007960A8" w:rsidRDefault="00A26397">
      <w:pPr>
        <w:widowControl/>
        <w:numPr>
          <w:ilvl w:val="1"/>
          <w:numId w:val="109"/>
        </w:numPr>
        <w:pBdr>
          <w:top w:val="nil"/>
          <w:left w:val="nil"/>
          <w:bottom w:val="nil"/>
          <w:right w:val="nil"/>
          <w:between w:val="nil"/>
        </w:pBdr>
        <w:spacing w:after="240"/>
        <w:jc w:val="both"/>
      </w:pPr>
      <w:bookmarkStart w:id="119" w:name="bookmark=id.avyol7qjnrbb" w:colFirst="0" w:colLast="0"/>
      <w:bookmarkEnd w:id="119"/>
      <w:r>
        <w:rPr>
          <w:color w:val="000000"/>
          <w:sz w:val="21"/>
          <w:szCs w:val="21"/>
        </w:rPr>
        <w:t>Each party keeps ownership of its own Existing IPR.</w:t>
      </w:r>
    </w:p>
    <w:p w14:paraId="664D38F0"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Paragraphs 1.1 and 1.2, it must assign in writing the Intellectual Property Rights concerned to the other party on the other party’s reque</w:t>
      </w:r>
      <w:r>
        <w:rPr>
          <w:color w:val="000000"/>
          <w:sz w:val="21"/>
          <w:szCs w:val="21"/>
        </w:rPr>
        <w:t>st (whenever made).</w:t>
      </w:r>
    </w:p>
    <w:p w14:paraId="3B8E2CC6"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trademarks, except as expressly granted elsewhere under the Contract or otherwise agreed in writing.</w:t>
      </w:r>
    </w:p>
    <w:p w14:paraId="58587CBF"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Except as expressly gr</w:t>
      </w:r>
      <w:r>
        <w:rPr>
          <w:color w:val="000000"/>
          <w:sz w:val="21"/>
          <w:szCs w:val="21"/>
        </w:rPr>
        <w:t>anted elsewhere under the Contract, neither party acquires any right, title or interest in or to the IPR owned by the other party or any third party.</w:t>
      </w:r>
    </w:p>
    <w:p w14:paraId="55B69CE7"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New IPR in the table at Annex 1 to this Schedule and keep this updated throughout the </w:t>
      </w:r>
      <w:r>
        <w:rPr>
          <w:i/>
          <w:iCs/>
          <w:color w:val="000000"/>
          <w:sz w:val="21"/>
          <w:szCs w:val="21"/>
        </w:rPr>
        <w:t>service period</w:t>
      </w:r>
      <w:r>
        <w:rPr>
          <w:color w:val="000000"/>
          <w:sz w:val="21"/>
          <w:szCs w:val="21"/>
        </w:rPr>
        <w:t>.</w:t>
      </w:r>
    </w:p>
    <w:p w14:paraId="59AE2AE0"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including after the </w:t>
      </w:r>
      <w:r>
        <w:rPr>
          <w:i/>
          <w:iCs/>
          <w:color w:val="000000"/>
          <w:sz w:val="21"/>
          <w:szCs w:val="21"/>
        </w:rPr>
        <w:t>service period</w:t>
      </w:r>
      <w:r>
        <w:rPr>
          <w:color w:val="000000"/>
          <w:sz w:val="21"/>
          <w:szCs w:val="21"/>
        </w:rPr>
        <w:t xml:space="preserve">, that, in respect of any </w:t>
      </w:r>
      <w:r>
        <w:rPr>
          <w:i/>
          <w:iCs/>
          <w:color w:val="000000"/>
          <w:sz w:val="21"/>
          <w:szCs w:val="21"/>
        </w:rPr>
        <w:t>service</w:t>
      </w:r>
      <w:r>
        <w:rPr>
          <w:color w:val="000000"/>
          <w:sz w:val="21"/>
          <w:szCs w:val="21"/>
        </w:rPr>
        <w:t xml:space="preserve">, the </w:t>
      </w:r>
      <w:r>
        <w:rPr>
          <w:i/>
          <w:iCs/>
          <w:color w:val="000000"/>
          <w:sz w:val="21"/>
          <w:szCs w:val="21"/>
        </w:rPr>
        <w:t>Client</w:t>
      </w:r>
      <w:r>
        <w:rPr>
          <w:color w:val="000000"/>
          <w:sz w:val="21"/>
          <w:szCs w:val="21"/>
        </w:rPr>
        <w:t xml:space="preserve"> has no</w:t>
      </w:r>
      <w:r>
        <w:rPr>
          <w:color w:val="000000"/>
          <w:sz w:val="21"/>
          <w:szCs w:val="21"/>
        </w:rPr>
        <w:t xml:space="preserve">t received the licences to Service Provider Existing IPRs or Third Party IPRs required by Paragraphs 2 and 6, the </w:t>
      </w:r>
      <w:r>
        <w:rPr>
          <w:i/>
          <w:iCs/>
          <w:color w:val="000000"/>
          <w:sz w:val="21"/>
          <w:szCs w:val="21"/>
        </w:rPr>
        <w:t>Service Provider</w:t>
      </w:r>
      <w:r>
        <w:rPr>
          <w:color w:val="000000"/>
          <w:sz w:val="21"/>
          <w:szCs w:val="21"/>
        </w:rPr>
        <w:t xml:space="preserve"> must, within 10 Working Days notify the </w:t>
      </w:r>
      <w:r>
        <w:rPr>
          <w:i/>
          <w:iCs/>
          <w:color w:val="000000"/>
          <w:sz w:val="21"/>
          <w:szCs w:val="21"/>
        </w:rPr>
        <w:t>Client</w:t>
      </w:r>
      <w:r>
        <w:rPr>
          <w:color w:val="000000"/>
          <w:sz w:val="21"/>
          <w:szCs w:val="21"/>
        </w:rPr>
        <w:t>:</w:t>
      </w:r>
    </w:p>
    <w:p w14:paraId="09AFAEDE"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specific Intellectual Property Rights the </w:t>
      </w:r>
      <w:r>
        <w:rPr>
          <w:i/>
          <w:iCs/>
          <w:color w:val="000000"/>
          <w:sz w:val="21"/>
          <w:szCs w:val="21"/>
        </w:rPr>
        <w:t>Client</w:t>
      </w:r>
      <w:r>
        <w:rPr>
          <w:color w:val="000000"/>
          <w:sz w:val="21"/>
          <w:szCs w:val="21"/>
        </w:rPr>
        <w:t xml:space="preserve"> has not received licence</w:t>
      </w:r>
      <w:r>
        <w:rPr>
          <w:color w:val="000000"/>
          <w:sz w:val="21"/>
          <w:szCs w:val="21"/>
        </w:rPr>
        <w:t>s to; and</w:t>
      </w:r>
    </w:p>
    <w:p w14:paraId="33D425CF"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w:t>
      </w:r>
      <w:r>
        <w:rPr>
          <w:color w:val="000000"/>
          <w:sz w:val="21"/>
          <w:szCs w:val="21"/>
        </w:rPr>
        <w:t xml:space="preserve"> affected.</w:t>
      </w:r>
    </w:p>
    <w:p w14:paraId="6CBB41A6"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For the avoidance of doubt:</w:t>
      </w:r>
    </w:p>
    <w:p w14:paraId="66D27A22" w14:textId="77777777" w:rsidR="007960A8" w:rsidRDefault="00A26397">
      <w:pPr>
        <w:widowControl/>
        <w:pBdr>
          <w:top w:val="nil"/>
          <w:left w:val="nil"/>
          <w:bottom w:val="nil"/>
          <w:right w:val="nil"/>
          <w:between w:val="nil"/>
        </w:pBdr>
        <w:spacing w:after="120"/>
        <w:ind w:left="720"/>
        <w:jc w:val="both"/>
        <w:rPr>
          <w:color w:val="000000"/>
          <w:sz w:val="21"/>
          <w:szCs w:val="21"/>
        </w:rPr>
      </w:pPr>
      <w:r>
        <w:rPr>
          <w:color w:val="000000"/>
          <w:sz w:val="21"/>
          <w:szCs w:val="21"/>
        </w:rPr>
        <w:t xml:space="preserve">except as provided for in Paragraphs 2.2.2.2(c)(1) or 6.1.2.2 and 6.1.2.3, the expiry or termination of the Contract does not of itself terminate the licences granted to the </w:t>
      </w:r>
      <w:r>
        <w:rPr>
          <w:i/>
          <w:iCs/>
          <w:color w:val="000000"/>
          <w:sz w:val="21"/>
          <w:szCs w:val="21"/>
        </w:rPr>
        <w:t>Client</w:t>
      </w:r>
      <w:r>
        <w:rPr>
          <w:color w:val="000000"/>
          <w:sz w:val="21"/>
          <w:szCs w:val="21"/>
        </w:rPr>
        <w:t xml:space="preserve"> under Paragraphs 2 and 6.</w:t>
      </w:r>
    </w:p>
    <w:p w14:paraId="33A45BDE" w14:textId="77777777" w:rsidR="007960A8" w:rsidRDefault="00A26397">
      <w:pPr>
        <w:keepNext/>
        <w:keepLines/>
        <w:widowControl/>
        <w:numPr>
          <w:ilvl w:val="0"/>
          <w:numId w:val="109"/>
        </w:numPr>
        <w:pBdr>
          <w:top w:val="nil"/>
          <w:left w:val="nil"/>
          <w:bottom w:val="nil"/>
          <w:right w:val="nil"/>
          <w:between w:val="nil"/>
        </w:pBdr>
        <w:spacing w:after="240"/>
        <w:jc w:val="both"/>
      </w:pPr>
      <w:bookmarkStart w:id="120" w:name="bookmark=id.lpd0yoxq9vdb" w:colFirst="0" w:colLast="0"/>
      <w:bookmarkEnd w:id="120"/>
      <w:r>
        <w:rPr>
          <w:b/>
          <w:bCs/>
          <w:color w:val="000000"/>
          <w:sz w:val="21"/>
          <w:szCs w:val="21"/>
        </w:rPr>
        <w:t>Licences in respect of New IPR and Service Provid</w:t>
      </w:r>
      <w:r>
        <w:rPr>
          <w:b/>
          <w:bCs/>
          <w:color w:val="000000"/>
          <w:sz w:val="21"/>
          <w:szCs w:val="21"/>
        </w:rPr>
        <w:t>er Existing IPR</w:t>
      </w:r>
    </w:p>
    <w:p w14:paraId="4365349B"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New and Existing IPR Licence on the terms set out in Paragraph 2.2.</w:t>
      </w:r>
    </w:p>
    <w:p w14:paraId="1C9FF9CC"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Service Provider New and Existing IPR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w:t>
      </w:r>
      <w:r>
        <w:rPr>
          <w:color w:val="000000"/>
          <w:sz w:val="21"/>
          <w:szCs w:val="21"/>
        </w:rPr>
        <w:t>, perpetual, royalty-free, irrevocable, transferable, sub-licensable, worldwide licence that:</w:t>
      </w:r>
    </w:p>
    <w:p w14:paraId="403ED8A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in the case of New IPR and Service Provider Existing IPR embedded in a </w:t>
      </w:r>
      <w:r>
        <w:rPr>
          <w:i/>
          <w:iCs/>
          <w:color w:val="000000"/>
          <w:sz w:val="21"/>
          <w:szCs w:val="21"/>
        </w:rPr>
        <w:t>service</w:t>
      </w:r>
      <w:r>
        <w:rPr>
          <w:color w:val="000000"/>
          <w:sz w:val="21"/>
          <w:szCs w:val="21"/>
        </w:rPr>
        <w:t>:</w:t>
      </w:r>
    </w:p>
    <w:p w14:paraId="46098A4E"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or any sublicensee to use, copy and adapt, the New IPR and Service Provider Existing IPR; and</w:t>
      </w:r>
    </w:p>
    <w:p w14:paraId="770BA8CD"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has no restriction on the identity of any transferee or sublicensee;</w:t>
      </w:r>
    </w:p>
    <w:p w14:paraId="1557B1D8"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in the case of New IPR and Service Provider Existing IPR is necessary for th</w:t>
      </w:r>
      <w:r>
        <w:rPr>
          <w:color w:val="000000"/>
          <w:sz w:val="21"/>
          <w:szCs w:val="21"/>
        </w:rPr>
        <w:t xml:space="preserve">e </w:t>
      </w:r>
      <w:r>
        <w:rPr>
          <w:i/>
          <w:iCs/>
          <w:color w:val="000000"/>
          <w:sz w:val="21"/>
          <w:szCs w:val="21"/>
        </w:rPr>
        <w:t>Client</w:t>
      </w:r>
      <w:r>
        <w:rPr>
          <w:color w:val="000000"/>
          <w:sz w:val="21"/>
          <w:szCs w:val="21"/>
        </w:rPr>
        <w:t xml:space="preserve"> or any End User to use the </w:t>
      </w:r>
      <w:r>
        <w:rPr>
          <w:i/>
          <w:iCs/>
          <w:color w:val="000000"/>
          <w:sz w:val="21"/>
          <w:szCs w:val="21"/>
        </w:rPr>
        <w:t>services</w:t>
      </w:r>
      <w:r>
        <w:rPr>
          <w:color w:val="000000"/>
          <w:sz w:val="21"/>
          <w:szCs w:val="21"/>
        </w:rPr>
        <w:t xml:space="preserve"> and:</w:t>
      </w:r>
    </w:p>
    <w:p w14:paraId="604E5833"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or any sublicensee to use and copy but not disassemble or reverse engineer adapt the relevant New IPR and Service Provider Existing IPR;</w:t>
      </w:r>
    </w:p>
    <w:p w14:paraId="389A873A"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is transferrable to only:</w:t>
      </w:r>
    </w:p>
    <w:p w14:paraId="1B4288B9"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any body </w:t>
      </w:r>
      <w:r>
        <w:rPr>
          <w:color w:val="000000"/>
          <w:sz w:val="21"/>
          <w:szCs w:val="21"/>
        </w:rPr>
        <w:t xml:space="preserve">(including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6283F413"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w:t>
      </w:r>
      <w:r>
        <w:rPr>
          <w:color w:val="000000"/>
          <w:sz w:val="21"/>
          <w:szCs w:val="21"/>
        </w:rPr>
        <w:t>eree either:</w:t>
      </w:r>
    </w:p>
    <w:p w14:paraId="7B37790E" w14:textId="77777777" w:rsidR="007960A8" w:rsidRDefault="00A26397">
      <w:pPr>
        <w:widowControl/>
        <w:numPr>
          <w:ilvl w:val="5"/>
          <w:numId w:val="94"/>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1A2C0D77" w14:textId="77777777" w:rsidR="007960A8" w:rsidRDefault="00A26397">
      <w:pPr>
        <w:widowControl/>
        <w:numPr>
          <w:ilvl w:val="5"/>
          <w:numId w:val="94"/>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270D5FFB"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a competitor of the </w:t>
      </w:r>
      <w:r>
        <w:rPr>
          <w:i/>
          <w:iCs/>
          <w:color w:val="000000"/>
          <w:sz w:val="21"/>
          <w:szCs w:val="21"/>
        </w:rPr>
        <w:t>Service Provider</w:t>
      </w:r>
      <w:r>
        <w:rPr>
          <w:color w:val="000000"/>
          <w:sz w:val="21"/>
          <w:szCs w:val="21"/>
        </w:rPr>
        <w:t>), where the Replacement Service Provider:</w:t>
      </w:r>
    </w:p>
    <w:p w14:paraId="4727DA2E"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enters into a</w:t>
      </w:r>
      <w:r>
        <w:rPr>
          <w:color w:val="000000"/>
          <w:sz w:val="21"/>
          <w:szCs w:val="21"/>
        </w:rPr>
        <w:t xml:space="preserve"> direct arrangement with the </w:t>
      </w:r>
      <w:r>
        <w:rPr>
          <w:i/>
          <w:iCs/>
          <w:color w:val="000000"/>
          <w:sz w:val="21"/>
          <w:szCs w:val="21"/>
        </w:rPr>
        <w:t>Service Provider</w:t>
      </w:r>
      <w:r>
        <w:rPr>
          <w:color w:val="000000"/>
          <w:sz w:val="21"/>
          <w:szCs w:val="21"/>
        </w:rPr>
        <w:t xml:space="preserve"> in the form set out in Annex 2; or</w:t>
      </w:r>
    </w:p>
    <w:p w14:paraId="5EE9E0D0"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w:t>
      </w:r>
    </w:p>
    <w:p w14:paraId="4D627E0D"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in the case of New IPR that is used to provide the </w:t>
      </w:r>
      <w:r>
        <w:rPr>
          <w:i/>
          <w:iCs/>
          <w:color w:val="000000"/>
          <w:sz w:val="21"/>
          <w:szCs w:val="21"/>
        </w:rPr>
        <w:t>services</w:t>
      </w:r>
      <w:r>
        <w:rPr>
          <w:color w:val="000000"/>
          <w:sz w:val="21"/>
          <w:szCs w:val="21"/>
        </w:rPr>
        <w:t>:</w:t>
      </w:r>
    </w:p>
    <w:p w14:paraId="568AA78A"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and any sublicensee to use and copy, but not adapt, disassemble or reverse engineer the relevant New IPR and Service Provide Existing IPRs to the extent necessar</w:t>
      </w:r>
      <w:r>
        <w:rPr>
          <w:color w:val="000000"/>
          <w:sz w:val="21"/>
          <w:szCs w:val="21"/>
        </w:rPr>
        <w:t xml:space="preserve">y for the </w:t>
      </w:r>
      <w:r>
        <w:rPr>
          <w:i/>
          <w:iCs/>
          <w:color w:val="000000"/>
          <w:sz w:val="21"/>
          <w:szCs w:val="21"/>
        </w:rPr>
        <w:t>Client</w:t>
      </w:r>
      <w:r>
        <w:rPr>
          <w:color w:val="000000"/>
          <w:sz w:val="21"/>
          <w:szCs w:val="21"/>
        </w:rPr>
        <w:t xml:space="preserve">, transferee or sublicensee to receive or use the </w:t>
      </w:r>
      <w:r>
        <w:rPr>
          <w:i/>
          <w:iCs/>
          <w:color w:val="000000"/>
          <w:sz w:val="21"/>
          <w:szCs w:val="21"/>
        </w:rPr>
        <w:t>services</w:t>
      </w:r>
      <w:r>
        <w:rPr>
          <w:color w:val="000000"/>
          <w:sz w:val="21"/>
          <w:szCs w:val="21"/>
        </w:rPr>
        <w:t>;</w:t>
      </w:r>
    </w:p>
    <w:p w14:paraId="204A4BC6"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has no restriction on the identity of any transferee or sublicensee; and</w:t>
      </w:r>
    </w:p>
    <w:p w14:paraId="5D49C15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in the case of Service Provider Existing IPR where the </w:t>
      </w:r>
      <w:r>
        <w:rPr>
          <w:i/>
          <w:iCs/>
          <w:color w:val="000000"/>
          <w:sz w:val="21"/>
          <w:szCs w:val="21"/>
        </w:rPr>
        <w:t>services</w:t>
      </w:r>
      <w:r>
        <w:rPr>
          <w:color w:val="000000"/>
          <w:sz w:val="21"/>
          <w:szCs w:val="21"/>
        </w:rPr>
        <w:t xml:space="preserve"> are a customisation or adaptation of Servic</w:t>
      </w:r>
      <w:r>
        <w:rPr>
          <w:color w:val="000000"/>
          <w:sz w:val="21"/>
          <w:szCs w:val="21"/>
        </w:rPr>
        <w:t>e Provider Existing IPR:</w:t>
      </w:r>
    </w:p>
    <w:p w14:paraId="718A512F"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any transferee and any sublicensee to use, copy, but not adapt, disassemble or reverse engineer the relevant Service Provider Existing IPRs to the extent necessary for the </w:t>
      </w:r>
      <w:r>
        <w:rPr>
          <w:i/>
          <w:iCs/>
          <w:color w:val="000000"/>
          <w:sz w:val="21"/>
          <w:szCs w:val="21"/>
        </w:rPr>
        <w:t>Client</w:t>
      </w:r>
      <w:r>
        <w:rPr>
          <w:color w:val="000000"/>
          <w:sz w:val="21"/>
          <w:szCs w:val="21"/>
        </w:rPr>
        <w:t xml:space="preserve">, transferee or sublicensee to receive or use the </w:t>
      </w:r>
      <w:r>
        <w:rPr>
          <w:i/>
          <w:iCs/>
          <w:color w:val="000000"/>
          <w:sz w:val="21"/>
          <w:szCs w:val="21"/>
        </w:rPr>
        <w:t>services</w:t>
      </w:r>
      <w:r>
        <w:rPr>
          <w:color w:val="000000"/>
          <w:sz w:val="21"/>
          <w:szCs w:val="21"/>
        </w:rPr>
        <w:t xml:space="preserve">; </w:t>
      </w:r>
    </w:p>
    <w:p w14:paraId="62597594"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is transferrable to only:</w:t>
      </w:r>
    </w:p>
    <w:p w14:paraId="1D009233"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39F5636D"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15F42F95" w14:textId="77777777" w:rsidR="007960A8" w:rsidRDefault="00A26397">
      <w:pPr>
        <w:widowControl/>
        <w:numPr>
          <w:ilvl w:val="5"/>
          <w:numId w:val="110"/>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53D21895" w14:textId="77777777" w:rsidR="007960A8" w:rsidRDefault="00A26397">
      <w:pPr>
        <w:widowControl/>
        <w:numPr>
          <w:ilvl w:val="5"/>
          <w:numId w:val="94"/>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 and</w:t>
      </w:r>
    </w:p>
    <w:p w14:paraId="3E05E179"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is sub-licensable to the Replacement Service Provider (including where the Replacement Service Provider is a competitor of the Service</w:t>
      </w:r>
      <w:r>
        <w:rPr>
          <w:i/>
          <w:iCs/>
          <w:color w:val="000000"/>
          <w:sz w:val="21"/>
          <w:szCs w:val="21"/>
        </w:rPr>
        <w:t xml:space="preserve"> Provider</w:t>
      </w:r>
      <w:r>
        <w:rPr>
          <w:color w:val="000000"/>
          <w:sz w:val="21"/>
          <w:szCs w:val="21"/>
        </w:rPr>
        <w:t>), where the Replacement Service Provider:</w:t>
      </w:r>
    </w:p>
    <w:p w14:paraId="02A7B487"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 xml:space="preserve">Service Provider </w:t>
      </w:r>
      <w:r>
        <w:rPr>
          <w:color w:val="000000"/>
          <w:sz w:val="21"/>
          <w:szCs w:val="21"/>
        </w:rPr>
        <w:t>in the form set out in Annex 2; or</w:t>
      </w:r>
    </w:p>
    <w:p w14:paraId="76C56326"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0D79AD49"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The Service Provider New and Existing IPR Licence provided for under Paragraph 2.2 is subject to the restriction that no transfer or sublicence of the Service Provider New IPR and Service Provider Ex</w:t>
      </w:r>
      <w:r>
        <w:rPr>
          <w:color w:val="000000"/>
          <w:sz w:val="21"/>
          <w:szCs w:val="21"/>
        </w:rPr>
        <w:t>isting IPR shall purport to grant to the transferee or sub-licensee (as applicable) any wider rights than those granted to the Client under this Paragraph.</w:t>
      </w:r>
    </w:p>
    <w:p w14:paraId="0FF9731C"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Where the legal status of the </w:t>
      </w:r>
      <w:r>
        <w:rPr>
          <w:i/>
          <w:iCs/>
          <w:color w:val="000000"/>
          <w:sz w:val="21"/>
          <w:szCs w:val="21"/>
        </w:rPr>
        <w:t>Client</w:t>
      </w:r>
      <w:r>
        <w:rPr>
          <w:color w:val="000000"/>
          <w:sz w:val="21"/>
          <w:szCs w:val="21"/>
        </w:rPr>
        <w:t xml:space="preserve"> changes:</w:t>
      </w:r>
    </w:p>
    <w:p w14:paraId="6FC1A561"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the Service Provider New and Existing IPR Licence is u</w:t>
      </w:r>
      <w:r>
        <w:rPr>
          <w:color w:val="000000"/>
          <w:sz w:val="21"/>
          <w:szCs w:val="21"/>
        </w:rPr>
        <w:t>naffected; and</w:t>
      </w:r>
    </w:p>
    <w:p w14:paraId="72F25A85"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any successor body of the </w:t>
      </w:r>
      <w:r>
        <w:rPr>
          <w:i/>
          <w:iCs/>
          <w:color w:val="000000"/>
          <w:sz w:val="21"/>
          <w:szCs w:val="21"/>
        </w:rPr>
        <w:t>Client</w:t>
      </w:r>
      <w:r>
        <w:rPr>
          <w:color w:val="000000"/>
          <w:sz w:val="21"/>
          <w:szCs w:val="21"/>
        </w:rPr>
        <w:t xml:space="preserve"> shall have the benefit of the Service Provider New and Existing IPR Licence.</w:t>
      </w:r>
    </w:p>
    <w:p w14:paraId="568789E4"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The termination or expiry of the Contract does not terminate the Service Provider New and Existing IPR Licence.</w:t>
      </w:r>
    </w:p>
    <w:p w14:paraId="28C1C71F" w14:textId="77777777" w:rsidR="007960A8" w:rsidRDefault="00A26397">
      <w:pPr>
        <w:keepNext/>
        <w:keepLines/>
        <w:widowControl/>
        <w:numPr>
          <w:ilvl w:val="0"/>
          <w:numId w:val="109"/>
        </w:numPr>
        <w:pBdr>
          <w:top w:val="nil"/>
          <w:left w:val="nil"/>
          <w:bottom w:val="nil"/>
          <w:right w:val="nil"/>
          <w:between w:val="nil"/>
        </w:pBdr>
        <w:spacing w:after="240"/>
        <w:jc w:val="both"/>
      </w:pPr>
      <w:r>
        <w:rPr>
          <w:b/>
          <w:bCs/>
          <w:color w:val="000000"/>
          <w:sz w:val="21"/>
          <w:szCs w:val="21"/>
        </w:rPr>
        <w:t>Client approval for Service Provider to exploit Client Existing IPR</w:t>
      </w:r>
    </w:p>
    <w:p w14:paraId="2D00BB31"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Before using, copying or adapting any Client Existing IPR for any purpose other than fulfilling its obligations under the Contract, the </w:t>
      </w:r>
      <w:r>
        <w:rPr>
          <w:i/>
          <w:iCs/>
          <w:color w:val="000000"/>
          <w:sz w:val="21"/>
          <w:szCs w:val="21"/>
        </w:rPr>
        <w:t>Service Provider</w:t>
      </w:r>
      <w:r>
        <w:rPr>
          <w:color w:val="000000"/>
          <w:sz w:val="21"/>
          <w:szCs w:val="21"/>
        </w:rPr>
        <w:t xml:space="preserve"> must seek the approval of the </w:t>
      </w:r>
      <w:r>
        <w:rPr>
          <w:i/>
          <w:iCs/>
          <w:color w:val="000000"/>
          <w:sz w:val="21"/>
          <w:szCs w:val="21"/>
        </w:rPr>
        <w:t>Clien</w:t>
      </w:r>
      <w:r>
        <w:rPr>
          <w:i/>
          <w:iCs/>
          <w:color w:val="000000"/>
          <w:sz w:val="21"/>
          <w:szCs w:val="21"/>
        </w:rPr>
        <w:t>t</w:t>
      </w:r>
      <w:r>
        <w:rPr>
          <w:color w:val="000000"/>
          <w:sz w:val="21"/>
          <w:szCs w:val="21"/>
        </w:rPr>
        <w:t xml:space="preserve"> in accordance with the provisions of this Paragraph.</w:t>
      </w:r>
    </w:p>
    <w:p w14:paraId="101A12DB"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may terminate any licence it grants under this Paragraph by notice in writing with immediate effect where the </w:t>
      </w:r>
      <w:r>
        <w:rPr>
          <w:i/>
          <w:iCs/>
          <w:color w:val="000000"/>
          <w:sz w:val="21"/>
          <w:szCs w:val="21"/>
        </w:rPr>
        <w:t>Service Provider</w:t>
      </w:r>
      <w:r>
        <w:rPr>
          <w:color w:val="000000"/>
          <w:sz w:val="21"/>
          <w:szCs w:val="21"/>
        </w:rPr>
        <w:t xml:space="preserve"> breaches any condition in the licence.</w:t>
      </w:r>
    </w:p>
    <w:p w14:paraId="53521D0C"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proposal setting out:</w:t>
      </w:r>
    </w:p>
    <w:p w14:paraId="103125C3"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the purpose for which it propos</w:t>
      </w:r>
      <w:r>
        <w:rPr>
          <w:color w:val="000000"/>
          <w:sz w:val="21"/>
          <w:szCs w:val="21"/>
        </w:rPr>
        <w:t>es to use the Client Existing IPR;</w:t>
      </w:r>
    </w:p>
    <w:p w14:paraId="4882597E"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Client Existing IPR;</w:t>
      </w:r>
    </w:p>
    <w:p w14:paraId="4BB024B1"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any licence the </w:t>
      </w:r>
      <w:r>
        <w:rPr>
          <w:i/>
          <w:iCs/>
          <w:color w:val="000000"/>
          <w:sz w:val="21"/>
          <w:szCs w:val="21"/>
        </w:rPr>
        <w:t>Service Provider</w:t>
      </w:r>
      <w:r>
        <w:rPr>
          <w:color w:val="000000"/>
          <w:sz w:val="21"/>
          <w:szCs w:val="21"/>
        </w:rPr>
        <w:t xml:space="preserve"> requests in respect of Client Existing IPR; and</w:t>
      </w:r>
    </w:p>
    <w:p w14:paraId="3F7C860C"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such further information as the </w:t>
      </w:r>
      <w:r>
        <w:rPr>
          <w:i/>
          <w:iCs/>
          <w:color w:val="000000"/>
          <w:sz w:val="21"/>
          <w:szCs w:val="21"/>
        </w:rPr>
        <w:t>Cli</w:t>
      </w:r>
      <w:r>
        <w:rPr>
          <w:i/>
          <w:iCs/>
          <w:color w:val="000000"/>
          <w:sz w:val="21"/>
          <w:szCs w:val="21"/>
        </w:rPr>
        <w:t>ent</w:t>
      </w:r>
      <w:r>
        <w:rPr>
          <w:color w:val="000000"/>
          <w:sz w:val="21"/>
          <w:szCs w:val="21"/>
        </w:rPr>
        <w:t xml:space="preserve"> may reasonably require to properly consider the proposal.</w:t>
      </w:r>
    </w:p>
    <w:p w14:paraId="272F5BD8"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only refuse the </w:t>
      </w:r>
      <w:r>
        <w:rPr>
          <w:i/>
          <w:iCs/>
          <w:color w:val="000000"/>
          <w:sz w:val="21"/>
          <w:szCs w:val="21"/>
        </w:rPr>
        <w:t>Service Provider’s</w:t>
      </w:r>
      <w:r>
        <w:rPr>
          <w:color w:val="000000"/>
          <w:sz w:val="21"/>
          <w:szCs w:val="21"/>
        </w:rPr>
        <w:t xml:space="preserve"> proposal where it considers that if the </w:t>
      </w:r>
      <w:r>
        <w:rPr>
          <w:i/>
          <w:iCs/>
          <w:color w:val="000000"/>
          <w:sz w:val="21"/>
          <w:szCs w:val="21"/>
        </w:rPr>
        <w:t>Service Provider</w:t>
      </w:r>
      <w:r>
        <w:rPr>
          <w:color w:val="000000"/>
          <w:sz w:val="21"/>
          <w:szCs w:val="21"/>
        </w:rPr>
        <w:t xml:space="preserve"> were to implement the proposal it would harm:</w:t>
      </w:r>
    </w:p>
    <w:p w14:paraId="5EE32D0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reputation; or</w:t>
      </w:r>
    </w:p>
    <w:p w14:paraId="4C4280C4"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interests.</w:t>
      </w:r>
    </w:p>
    <w:p w14:paraId="2E52AD48" w14:textId="77777777" w:rsidR="007960A8" w:rsidRDefault="00A26397">
      <w:pPr>
        <w:spacing w:after="240" w:line="276" w:lineRule="auto"/>
      </w:pPr>
      <w:r>
        <w:t>3.5.</w:t>
      </w:r>
      <w:r>
        <w:tab/>
        <w:t xml:space="preserve">Where the </w:t>
      </w:r>
      <w:r>
        <w:rPr>
          <w:i/>
          <w:iCs/>
        </w:rPr>
        <w:t>Client</w:t>
      </w:r>
      <w:r>
        <w:t xml:space="preserve"> has not:</w:t>
      </w:r>
    </w:p>
    <w:p w14:paraId="34CE60F9"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approved or declined the proposal; or</w:t>
      </w:r>
    </w:p>
    <w:p w14:paraId="6C6B04AD"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required further information,</w:t>
      </w:r>
    </w:p>
    <w:p w14:paraId="609F40FB"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within 20 Working Days of the later of:</w:t>
      </w:r>
    </w:p>
    <w:p w14:paraId="588CB8D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date the proposal was first provided to the </w:t>
      </w:r>
      <w:r>
        <w:rPr>
          <w:i/>
          <w:iCs/>
          <w:color w:val="000000"/>
          <w:sz w:val="21"/>
          <w:szCs w:val="21"/>
        </w:rPr>
        <w:t>Client</w:t>
      </w:r>
      <w:r>
        <w:rPr>
          <w:color w:val="000000"/>
          <w:sz w:val="21"/>
          <w:szCs w:val="21"/>
        </w:rPr>
        <w:t>; or</w:t>
      </w:r>
    </w:p>
    <w:p w14:paraId="299B2FC0"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date on which further information </w:t>
      </w:r>
      <w:r>
        <w:rPr>
          <w:color w:val="000000"/>
          <w:sz w:val="21"/>
          <w:szCs w:val="21"/>
        </w:rPr>
        <w:t xml:space="preserve">was provided to the </w:t>
      </w:r>
      <w:r>
        <w:rPr>
          <w:i/>
          <w:iCs/>
          <w:color w:val="000000"/>
          <w:sz w:val="21"/>
          <w:szCs w:val="21"/>
        </w:rPr>
        <w:t>Client</w:t>
      </w:r>
      <w:r>
        <w:rPr>
          <w:color w:val="000000"/>
          <w:sz w:val="21"/>
          <w:szCs w:val="21"/>
        </w:rPr>
        <w:t>,</w:t>
      </w:r>
    </w:p>
    <w:p w14:paraId="41839BF6"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then the proposal is, for the purposes of the Contract, approved.</w:t>
      </w:r>
    </w:p>
    <w:p w14:paraId="71030395" w14:textId="77777777" w:rsidR="007960A8" w:rsidRDefault="00A26397">
      <w:pPr>
        <w:keepNext/>
        <w:keepLines/>
        <w:widowControl/>
        <w:numPr>
          <w:ilvl w:val="0"/>
          <w:numId w:val="109"/>
        </w:numPr>
        <w:pBdr>
          <w:top w:val="nil"/>
          <w:left w:val="nil"/>
          <w:bottom w:val="nil"/>
          <w:right w:val="nil"/>
          <w:between w:val="nil"/>
        </w:pBdr>
        <w:spacing w:after="240"/>
        <w:jc w:val="both"/>
      </w:pPr>
      <w:r>
        <w:rPr>
          <w:b/>
          <w:bCs/>
          <w:color w:val="000000"/>
          <w:sz w:val="21"/>
          <w:szCs w:val="21"/>
        </w:rPr>
        <w:t>Licences granted by the Client</w:t>
      </w:r>
    </w:p>
    <w:p w14:paraId="1BAD5574"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Subject to Paragraph 3, the </w:t>
      </w:r>
      <w:r>
        <w:rPr>
          <w:i/>
          <w:iCs/>
          <w:color w:val="000000"/>
          <w:sz w:val="21"/>
          <w:szCs w:val="21"/>
        </w:rPr>
        <w:t>Client</w:t>
      </w:r>
      <w:r>
        <w:rPr>
          <w:color w:val="000000"/>
          <w:sz w:val="21"/>
          <w:szCs w:val="21"/>
        </w:rPr>
        <w:t xml:space="preserve"> grants the </w:t>
      </w:r>
      <w:r>
        <w:rPr>
          <w:i/>
          <w:iCs/>
          <w:color w:val="000000"/>
          <w:sz w:val="21"/>
          <w:szCs w:val="21"/>
        </w:rPr>
        <w:t>Service Provider</w:t>
      </w:r>
      <w:r>
        <w:rPr>
          <w:color w:val="000000"/>
          <w:sz w:val="21"/>
          <w:szCs w:val="21"/>
        </w:rPr>
        <w:t xml:space="preserve"> a licence to the Client Existing IPR that is perpetual, non-exclusive, royalty-free and non-transferable;</w:t>
      </w:r>
    </w:p>
    <w:p w14:paraId="63B41363"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is sub-licensable to any Sub-contractor where:</w:t>
      </w:r>
    </w:p>
    <w:p w14:paraId="0E58AB6A"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w:t>
      </w:r>
      <w:r>
        <w:rPr>
          <w:color w:val="000000"/>
          <w:sz w:val="21"/>
          <w:szCs w:val="21"/>
        </w:rPr>
        <w:t xml:space="preserve"> by the parties, acting reasonably; and</w:t>
      </w:r>
    </w:p>
    <w:p w14:paraId="7AB4AAF1"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the sub-licence does not purport to provide the sub-licensee with any wider rights than those granted to the </w:t>
      </w:r>
      <w:r>
        <w:rPr>
          <w:i/>
          <w:iCs/>
          <w:color w:val="000000"/>
          <w:sz w:val="21"/>
          <w:szCs w:val="21"/>
        </w:rPr>
        <w:t>Service Provider</w:t>
      </w:r>
      <w:r>
        <w:rPr>
          <w:color w:val="000000"/>
          <w:sz w:val="21"/>
          <w:szCs w:val="21"/>
        </w:rPr>
        <w:t xml:space="preserve"> under this Paragraph; and</w:t>
      </w:r>
    </w:p>
    <w:p w14:paraId="000ECA8D"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sub-licensee to use, copy and adapt any Client Existing IPR for the </w:t>
      </w:r>
      <w:r>
        <w:rPr>
          <w:color w:val="000000"/>
          <w:sz w:val="21"/>
          <w:szCs w:val="21"/>
        </w:rPr>
        <w:t>purpose of:</w:t>
      </w:r>
    </w:p>
    <w:p w14:paraId="527D4562"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fulfilling its obligations under the Contract; and</w:t>
      </w:r>
    </w:p>
    <w:p w14:paraId="2ADBA95B"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commercially exploit the New IPR.</w:t>
      </w:r>
    </w:p>
    <w:p w14:paraId="47FCC6A0" w14:textId="77777777" w:rsidR="007960A8" w:rsidRDefault="00A26397">
      <w:pPr>
        <w:keepNext/>
        <w:keepLines/>
        <w:widowControl/>
        <w:numPr>
          <w:ilvl w:val="0"/>
          <w:numId w:val="109"/>
        </w:numPr>
        <w:pBdr>
          <w:top w:val="nil"/>
          <w:left w:val="nil"/>
          <w:bottom w:val="nil"/>
          <w:right w:val="nil"/>
          <w:between w:val="nil"/>
        </w:pBdr>
        <w:spacing w:after="240"/>
        <w:jc w:val="both"/>
      </w:pPr>
      <w:r>
        <w:rPr>
          <w:b/>
          <w:bCs/>
          <w:color w:val="000000"/>
          <w:sz w:val="21"/>
          <w:szCs w:val="21"/>
        </w:rPr>
        <w:t>Provision of information on New IPR</w:t>
      </w:r>
    </w:p>
    <w:p w14:paraId="475CB54D"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4AA4284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w:t>
      </w:r>
    </w:p>
    <w:p w14:paraId="16A94B4A"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Contract, with or in respect of the New IPR.</w:t>
      </w:r>
    </w:p>
    <w:p w14:paraId="77BA0B27"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w:t>
      </w:r>
      <w:r>
        <w:rPr>
          <w:color w:val="000000"/>
          <w:sz w:val="21"/>
          <w:szCs w:val="21"/>
        </w:rPr>
        <w:t xml:space="preserve">the information required by the </w:t>
      </w:r>
      <w:r>
        <w:rPr>
          <w:i/>
          <w:iCs/>
          <w:color w:val="000000"/>
          <w:sz w:val="21"/>
          <w:szCs w:val="21"/>
        </w:rPr>
        <w:t>Client</w:t>
      </w:r>
      <w:r>
        <w:rPr>
          <w:color w:val="000000"/>
          <w:sz w:val="21"/>
          <w:szCs w:val="21"/>
        </w:rPr>
        <w:t>:</w:t>
      </w:r>
    </w:p>
    <w:p w14:paraId="374ADCFE"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within twenty (20) working days of the date of the requirement; and</w:t>
      </w:r>
    </w:p>
    <w:p w14:paraId="4E0CBFA2"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5A208F01" w14:textId="77777777" w:rsidR="007960A8" w:rsidRDefault="00A26397">
      <w:pPr>
        <w:keepNext/>
        <w:keepLines/>
        <w:widowControl/>
        <w:numPr>
          <w:ilvl w:val="0"/>
          <w:numId w:val="109"/>
        </w:numPr>
        <w:pBdr>
          <w:top w:val="nil"/>
          <w:left w:val="nil"/>
          <w:bottom w:val="nil"/>
          <w:right w:val="nil"/>
          <w:between w:val="nil"/>
        </w:pBdr>
        <w:spacing w:after="240"/>
        <w:jc w:val="both"/>
      </w:pPr>
      <w:bookmarkStart w:id="121" w:name="bookmark=id.iwak6mdvd6jv" w:colFirst="0" w:colLast="0"/>
      <w:bookmarkEnd w:id="121"/>
      <w:r>
        <w:rPr>
          <w:b/>
          <w:bCs/>
          <w:color w:val="000000"/>
          <w:sz w:val="21"/>
          <w:szCs w:val="21"/>
        </w:rPr>
        <w:t>Licences in respect of Third-party IPR</w:t>
      </w:r>
    </w:p>
    <w:p w14:paraId="2E1AFB72"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use in the delivery of the </w:t>
      </w:r>
      <w:r>
        <w:rPr>
          <w:i/>
          <w:iCs/>
          <w:color w:val="000000"/>
          <w:sz w:val="21"/>
          <w:szCs w:val="21"/>
        </w:rPr>
        <w:t>services</w:t>
      </w:r>
      <w:r>
        <w:rPr>
          <w:color w:val="000000"/>
          <w:sz w:val="21"/>
          <w:szCs w:val="21"/>
        </w:rPr>
        <w:t xml:space="preserve"> any Third Party IPR unless:</w:t>
      </w:r>
    </w:p>
    <w:p w14:paraId="5C2D1556"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Approval is granted by the </w:t>
      </w:r>
      <w:r>
        <w:rPr>
          <w:i/>
          <w:iCs/>
          <w:color w:val="000000"/>
          <w:sz w:val="21"/>
          <w:szCs w:val="21"/>
        </w:rPr>
        <w:t>Client</w:t>
      </w:r>
      <w:r>
        <w:rPr>
          <w:color w:val="000000"/>
          <w:sz w:val="21"/>
          <w:szCs w:val="21"/>
        </w:rPr>
        <w:t>; and</w:t>
      </w:r>
    </w:p>
    <w:p w14:paraId="489864AD"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one of the following conditions is met:</w:t>
      </w:r>
    </w:p>
    <w:p w14:paraId="195B11EC"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2.2;</w:t>
      </w:r>
    </w:p>
    <w:p w14:paraId="55CB52BD"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endeavours, obtain for the </w:t>
      </w:r>
      <w:r>
        <w:rPr>
          <w:i/>
          <w:iCs/>
          <w:color w:val="000000"/>
          <w:sz w:val="21"/>
          <w:szCs w:val="21"/>
        </w:rPr>
        <w:t>Client</w:t>
      </w:r>
      <w:r>
        <w:rPr>
          <w:color w:val="000000"/>
          <w:sz w:val="21"/>
          <w:szCs w:val="21"/>
        </w:rPr>
        <w:t xml:space="preserve"> a Third </w:t>
      </w:r>
      <w:r>
        <w:rPr>
          <w:color w:val="000000"/>
          <w:sz w:val="21"/>
          <w:szCs w:val="21"/>
        </w:rPr>
        <w:t>Party IPR Licence as set out in Paragraph 6.1.2.1, all the following conditions are met:</w:t>
      </w:r>
    </w:p>
    <w:p w14:paraId="74320BDA"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3EFD9950" w14:textId="77777777" w:rsidR="007960A8" w:rsidRDefault="00A26397">
      <w:pPr>
        <w:widowControl/>
        <w:numPr>
          <w:ilvl w:val="5"/>
          <w:numId w:val="111"/>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21EF7A4A" w14:textId="77777777" w:rsidR="007960A8" w:rsidRDefault="00A26397">
      <w:pPr>
        <w:widowControl/>
        <w:numPr>
          <w:ilvl w:val="5"/>
          <w:numId w:val="94"/>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7B3335C2"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agreed to accept the licence terms of one of those third parties; and</w:t>
      </w:r>
    </w:p>
    <w:p w14:paraId="76A23B40" w14:textId="77777777" w:rsidR="007960A8" w:rsidRDefault="00A26397">
      <w:pPr>
        <w:widowControl/>
        <w:numPr>
          <w:ilvl w:val="4"/>
          <w:numId w:val="109"/>
        </w:numPr>
        <w:pBdr>
          <w:top w:val="nil"/>
          <w:left w:val="nil"/>
          <w:bottom w:val="nil"/>
          <w:right w:val="nil"/>
          <w:between w:val="nil"/>
        </w:pBdr>
        <w:spacing w:after="240"/>
        <w:jc w:val="both"/>
      </w:pPr>
      <w:r>
        <w:rPr>
          <w:color w:val="000000"/>
          <w:sz w:val="21"/>
          <w:szCs w:val="21"/>
        </w:rPr>
        <w:t>the owner and authorised licensor of t</w:t>
      </w:r>
      <w:r>
        <w:rPr>
          <w:color w:val="000000"/>
          <w:sz w:val="21"/>
          <w:szCs w:val="21"/>
        </w:rPr>
        <w:t xml:space="preserve">he Third Party IPR has granted a direct licence of the Third Party IPR to the </w:t>
      </w:r>
      <w:r>
        <w:rPr>
          <w:i/>
          <w:iCs/>
          <w:color w:val="000000"/>
          <w:sz w:val="21"/>
          <w:szCs w:val="21"/>
        </w:rPr>
        <w:t>Client</w:t>
      </w:r>
      <w:r>
        <w:rPr>
          <w:color w:val="000000"/>
          <w:sz w:val="21"/>
          <w:szCs w:val="21"/>
        </w:rPr>
        <w:t xml:space="preserve"> on those terms; or</w:t>
      </w:r>
    </w:p>
    <w:p w14:paraId="48C7F61E" w14:textId="77777777" w:rsidR="007960A8" w:rsidRDefault="00A26397">
      <w:pPr>
        <w:widowControl/>
        <w:numPr>
          <w:ilvl w:val="3"/>
          <w:numId w:val="109"/>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provided authorisation to the use of the Third Party IPR in writing, with reference to the acts authorised and the specific IPR involved.</w:t>
      </w:r>
    </w:p>
    <w:p w14:paraId="3A39BE15"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The Third Party IPR licence referred to in Paragraph 6.1 is the licence set out in Paragraph 2.2 as if:</w:t>
      </w:r>
    </w:p>
    <w:p w14:paraId="543DF5A8"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the term Third Party IPR were substituted for the term New IPR or Service Provider Existing IPR; and</w:t>
      </w:r>
    </w:p>
    <w:p w14:paraId="6806198D" w14:textId="77777777" w:rsidR="007960A8" w:rsidRDefault="00A26397">
      <w:pPr>
        <w:widowControl/>
        <w:numPr>
          <w:ilvl w:val="2"/>
          <w:numId w:val="109"/>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4D0F292A"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in each place they occur.</w:t>
      </w:r>
    </w:p>
    <w:p w14:paraId="59AAFC29" w14:textId="77777777" w:rsidR="007960A8" w:rsidRDefault="00A26397">
      <w:pPr>
        <w:keepNext/>
        <w:keepLines/>
        <w:widowControl/>
        <w:numPr>
          <w:ilvl w:val="0"/>
          <w:numId w:val="109"/>
        </w:numPr>
        <w:pBdr>
          <w:top w:val="nil"/>
          <w:left w:val="nil"/>
          <w:bottom w:val="nil"/>
          <w:right w:val="nil"/>
          <w:between w:val="nil"/>
        </w:pBdr>
        <w:spacing w:after="240"/>
        <w:jc w:val="both"/>
      </w:pPr>
      <w:r>
        <w:rPr>
          <w:b/>
          <w:bCs/>
          <w:color w:val="000000"/>
          <w:sz w:val="21"/>
          <w:szCs w:val="21"/>
        </w:rPr>
        <w:t>Patents</w:t>
      </w:r>
    </w:p>
    <w:p w14:paraId="0F988AD0" w14:textId="77777777" w:rsidR="007960A8" w:rsidRDefault="00A26397">
      <w:pPr>
        <w:widowControl/>
        <w:numPr>
          <w:ilvl w:val="1"/>
          <w:numId w:val="109"/>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Service Provider a non-exclusive, irrevocable, royal</w:t>
      </w:r>
      <w:r>
        <w:rPr>
          <w:color w:val="000000"/>
          <w:sz w:val="21"/>
          <w:szCs w:val="21"/>
        </w:rPr>
        <w:t>ty-free, worldwide patent licence to use the infringing methods, materials or software.</w:t>
      </w:r>
    </w:p>
    <w:p w14:paraId="6A11FFD6"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4F90B060" w14:textId="77777777" w:rsidR="007960A8" w:rsidRDefault="00A26397">
      <w:pPr>
        <w:spacing w:after="240" w:line="276" w:lineRule="auto"/>
        <w:rPr>
          <w:i/>
          <w:iCs/>
        </w:rPr>
      </w:pPr>
      <w:r>
        <w:rPr>
          <w:i/>
          <w:iCs/>
          <w:highlight w:val="yellow"/>
        </w:rPr>
        <w:t>[Guidance: For IPR Option A4: Service Provider ownership of all IPR with Client rights for the current contract and broader public sector functions, please</w:t>
      </w:r>
      <w:r>
        <w:rPr>
          <w:i/>
          <w:iCs/>
          <w:highlight w:val="yellow"/>
        </w:rPr>
        <w:t xml:space="preserve"> include the following drafting:]</w:t>
      </w:r>
    </w:p>
    <w:p w14:paraId="7CCB2179" w14:textId="77777777" w:rsidR="007960A8" w:rsidRDefault="00A26397">
      <w:pPr>
        <w:spacing w:after="240" w:line="276" w:lineRule="auto"/>
        <w:rPr>
          <w:sz w:val="28"/>
          <w:szCs w:val="28"/>
        </w:rPr>
      </w:pPr>
      <w:r>
        <w:rPr>
          <w:sz w:val="28"/>
          <w:szCs w:val="28"/>
        </w:rPr>
        <w:t>IPR Option A4</w:t>
      </w:r>
    </w:p>
    <w:p w14:paraId="17D00D8E"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General Provisions and Ownership of IPR</w:t>
      </w:r>
    </w:p>
    <w:p w14:paraId="23A4B7F6"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Any New IPR created under the Contract is owned by the </w:t>
      </w:r>
      <w:r>
        <w:rPr>
          <w:i/>
          <w:iCs/>
          <w:color w:val="000000"/>
          <w:sz w:val="21"/>
          <w:szCs w:val="21"/>
        </w:rPr>
        <w:t>Service Provider</w:t>
      </w:r>
      <w:r>
        <w:rPr>
          <w:color w:val="000000"/>
          <w:sz w:val="21"/>
          <w:szCs w:val="21"/>
        </w:rPr>
        <w:t>.</w:t>
      </w:r>
    </w:p>
    <w:p w14:paraId="013214C3"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Each party keeps ownership of its own Existing IPR.</w:t>
      </w:r>
    </w:p>
    <w:p w14:paraId="79533FBF"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Paragraphs 1.1 and 1.2, it must assign in writing the Intellectual Property Rights con</w:t>
      </w:r>
      <w:r>
        <w:rPr>
          <w:color w:val="000000"/>
          <w:sz w:val="21"/>
          <w:szCs w:val="21"/>
        </w:rPr>
        <w:t>cerned to the other party on the other party’s request (whenever made).</w:t>
      </w:r>
    </w:p>
    <w:p w14:paraId="09C18A76"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trademarks, except as expressly granted elsewhere under the Contract or</w:t>
      </w:r>
      <w:r>
        <w:rPr>
          <w:color w:val="000000"/>
          <w:sz w:val="21"/>
          <w:szCs w:val="21"/>
        </w:rPr>
        <w:t xml:space="preserve"> otherwise agreed in writing.</w:t>
      </w:r>
    </w:p>
    <w:p w14:paraId="60E98A7C"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Except as expressly granted elsewhere under the Contract, neither party acquires any right, title or interest in or to the IPR owned by the other party or any third party.</w:t>
      </w:r>
    </w:p>
    <w:p w14:paraId="7A72AB08"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w:t>
      </w:r>
      <w:r>
        <w:rPr>
          <w:i/>
          <w:iCs/>
          <w:color w:val="000000"/>
          <w:sz w:val="21"/>
          <w:szCs w:val="21"/>
        </w:rPr>
        <w:t>er</w:t>
      </w:r>
      <w:r>
        <w:rPr>
          <w:color w:val="000000"/>
          <w:sz w:val="21"/>
          <w:szCs w:val="21"/>
        </w:rPr>
        <w:t xml:space="preserve"> and the </w:t>
      </w:r>
      <w:r>
        <w:rPr>
          <w:i/>
          <w:iCs/>
          <w:color w:val="000000"/>
          <w:sz w:val="21"/>
          <w:szCs w:val="21"/>
        </w:rPr>
        <w:t>Client</w:t>
      </w:r>
      <w:r>
        <w:rPr>
          <w:color w:val="000000"/>
          <w:sz w:val="21"/>
          <w:szCs w:val="21"/>
        </w:rPr>
        <w:t xml:space="preserve"> will record any New IPR in the table at Annex 1 to this Schedule and keep this updated throughout the </w:t>
      </w:r>
      <w:r>
        <w:rPr>
          <w:i/>
          <w:iCs/>
          <w:color w:val="000000"/>
          <w:sz w:val="21"/>
          <w:szCs w:val="21"/>
        </w:rPr>
        <w:t>service period</w:t>
      </w:r>
      <w:r>
        <w:rPr>
          <w:color w:val="000000"/>
          <w:sz w:val="21"/>
          <w:szCs w:val="21"/>
        </w:rPr>
        <w:t>.</w:t>
      </w:r>
    </w:p>
    <w:p w14:paraId="1C185901"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including after the Services Period, that, in respect of any Service, the </w:t>
      </w:r>
      <w:r>
        <w:rPr>
          <w:i/>
          <w:iCs/>
          <w:color w:val="000000"/>
          <w:sz w:val="21"/>
          <w:szCs w:val="21"/>
        </w:rPr>
        <w:t>Client</w:t>
      </w:r>
      <w:r>
        <w:rPr>
          <w:color w:val="000000"/>
          <w:sz w:val="21"/>
          <w:szCs w:val="21"/>
        </w:rPr>
        <w:t xml:space="preserve"> has not received the licences to Service Provider Existing IPRs or Third Party IPRs required by Paragraphs 2 and 6, the </w:t>
      </w:r>
      <w:r>
        <w:rPr>
          <w:i/>
          <w:iCs/>
          <w:color w:val="000000"/>
          <w:sz w:val="21"/>
          <w:szCs w:val="21"/>
        </w:rPr>
        <w:t>Service Provider</w:t>
      </w:r>
      <w:r>
        <w:rPr>
          <w:color w:val="000000"/>
          <w:sz w:val="21"/>
          <w:szCs w:val="21"/>
        </w:rPr>
        <w:t xml:space="preserve"> must, with</w:t>
      </w:r>
      <w:r>
        <w:rPr>
          <w:color w:val="000000"/>
          <w:sz w:val="21"/>
          <w:szCs w:val="21"/>
        </w:rPr>
        <w:t xml:space="preserve">in 10 Working Days notify the </w:t>
      </w:r>
      <w:r>
        <w:rPr>
          <w:i/>
          <w:iCs/>
          <w:color w:val="000000"/>
          <w:sz w:val="21"/>
          <w:szCs w:val="21"/>
        </w:rPr>
        <w:t>Client</w:t>
      </w:r>
      <w:r>
        <w:rPr>
          <w:color w:val="000000"/>
          <w:sz w:val="21"/>
          <w:szCs w:val="21"/>
        </w:rPr>
        <w:t>:</w:t>
      </w:r>
    </w:p>
    <w:p w14:paraId="6D1B4205"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specific Intellectual Property Rights the </w:t>
      </w:r>
      <w:r>
        <w:rPr>
          <w:i/>
          <w:iCs/>
          <w:color w:val="000000"/>
          <w:sz w:val="21"/>
          <w:szCs w:val="21"/>
        </w:rPr>
        <w:t>Client</w:t>
      </w:r>
      <w:r>
        <w:rPr>
          <w:color w:val="000000"/>
          <w:sz w:val="21"/>
          <w:szCs w:val="21"/>
        </w:rPr>
        <w:t xml:space="preserve"> has not received licences to; and</w:t>
      </w:r>
    </w:p>
    <w:p w14:paraId="49C09EAB"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7D93F2D7"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For the avoidance of doubt:</w:t>
      </w:r>
    </w:p>
    <w:p w14:paraId="2FD81173" w14:textId="77777777" w:rsidR="007960A8" w:rsidRDefault="00A26397">
      <w:pPr>
        <w:widowControl/>
        <w:pBdr>
          <w:top w:val="nil"/>
          <w:left w:val="nil"/>
          <w:bottom w:val="nil"/>
          <w:right w:val="nil"/>
          <w:between w:val="nil"/>
        </w:pBdr>
        <w:spacing w:after="240" w:line="360" w:lineRule="auto"/>
        <w:ind w:left="1440"/>
        <w:jc w:val="both"/>
        <w:rPr>
          <w:color w:val="000000"/>
          <w:sz w:val="21"/>
          <w:szCs w:val="21"/>
        </w:rPr>
      </w:pPr>
      <w:r>
        <w:rPr>
          <w:color w:val="000000"/>
          <w:sz w:val="21"/>
          <w:szCs w:val="21"/>
        </w:rPr>
        <w:t xml:space="preserve">except as provided for in Paragraphs 2.2.2.2(c)(1) or 6.1.2.2 and 6.1.2.3, the expiry or termination of the Contract does not of itself terminate the licences granted to the </w:t>
      </w:r>
      <w:r>
        <w:rPr>
          <w:i/>
          <w:iCs/>
          <w:color w:val="000000"/>
          <w:sz w:val="21"/>
          <w:szCs w:val="21"/>
        </w:rPr>
        <w:t>Client</w:t>
      </w:r>
      <w:r>
        <w:rPr>
          <w:color w:val="000000"/>
          <w:sz w:val="21"/>
          <w:szCs w:val="21"/>
        </w:rPr>
        <w:t xml:space="preserve"> under Paragraphs 2 and 6.</w:t>
      </w:r>
    </w:p>
    <w:p w14:paraId="0F223F9F"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Licences in respect of New IPR and Service Provid</w:t>
      </w:r>
      <w:r>
        <w:rPr>
          <w:b/>
          <w:bCs/>
          <w:color w:val="000000"/>
          <w:sz w:val="21"/>
          <w:szCs w:val="21"/>
        </w:rPr>
        <w:t>er Existing IPR</w:t>
      </w:r>
    </w:p>
    <w:p w14:paraId="2FEF7E3F"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New and Existing IPR Licence on the terms set out in Paragraph 2.2.</w:t>
      </w:r>
    </w:p>
    <w:p w14:paraId="11CAF54E"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Service Provider New and Existing IPR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w:t>
      </w:r>
      <w:r>
        <w:rPr>
          <w:color w:val="000000"/>
          <w:sz w:val="21"/>
          <w:szCs w:val="21"/>
        </w:rPr>
        <w:t>, perpetual, royalty-free, irrevocable, transferable, sub-licensable, worldwide licence that:</w:t>
      </w:r>
    </w:p>
    <w:p w14:paraId="32317094"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in the case of New IPR and Service Provider Existing IPR embedded in a </w:t>
      </w:r>
      <w:r>
        <w:rPr>
          <w:i/>
          <w:iCs/>
          <w:color w:val="000000"/>
          <w:sz w:val="21"/>
          <w:szCs w:val="21"/>
        </w:rPr>
        <w:t>service</w:t>
      </w:r>
      <w:r>
        <w:rPr>
          <w:color w:val="000000"/>
          <w:sz w:val="21"/>
          <w:szCs w:val="21"/>
        </w:rPr>
        <w:t>:</w:t>
      </w:r>
    </w:p>
    <w:p w14:paraId="2DB89CEE"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or any sublicensee to use, copy and adapt the New IPR and Service Provider Existing IPR;</w:t>
      </w:r>
    </w:p>
    <w:p w14:paraId="1E693506"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has no restriction on the identity of any transferee or sublicensee;</w:t>
      </w:r>
    </w:p>
    <w:p w14:paraId="4523E37F"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in the case of New IPR and Service Provider Existing IPR is necessary for the </w:t>
      </w:r>
      <w:r>
        <w:rPr>
          <w:i/>
          <w:iCs/>
          <w:color w:val="000000"/>
          <w:sz w:val="21"/>
          <w:szCs w:val="21"/>
        </w:rPr>
        <w:t>Client</w:t>
      </w:r>
      <w:r>
        <w:rPr>
          <w:color w:val="000000"/>
          <w:sz w:val="21"/>
          <w:szCs w:val="21"/>
        </w:rPr>
        <w:t xml:space="preserve"> or any End User to use the </w:t>
      </w:r>
      <w:r>
        <w:rPr>
          <w:i/>
          <w:iCs/>
          <w:color w:val="000000"/>
          <w:sz w:val="21"/>
          <w:szCs w:val="21"/>
        </w:rPr>
        <w:t>services</w:t>
      </w:r>
      <w:r>
        <w:rPr>
          <w:color w:val="000000"/>
          <w:sz w:val="21"/>
          <w:szCs w:val="21"/>
        </w:rPr>
        <w:t xml:space="preserve"> and:</w:t>
      </w:r>
    </w:p>
    <w:p w14:paraId="0CDB6172"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or any sublicensee to use, copy but not adapt, disassemble or reverse engineer the New IPR and S</w:t>
      </w:r>
      <w:r>
        <w:rPr>
          <w:color w:val="000000"/>
          <w:sz w:val="21"/>
          <w:szCs w:val="21"/>
        </w:rPr>
        <w:t>ervice Provider Existing IPR;</w:t>
      </w:r>
    </w:p>
    <w:p w14:paraId="573611E1"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is transferrable to only:</w:t>
      </w:r>
    </w:p>
    <w:p w14:paraId="5058B8CF"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76B6AF64"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a person or organisation that i</w:t>
      </w:r>
      <w:r>
        <w:rPr>
          <w:color w:val="000000"/>
          <w:sz w:val="21"/>
          <w:szCs w:val="21"/>
        </w:rPr>
        <w:t xml:space="preserve">s not a direct competitor of the </w:t>
      </w:r>
      <w:r>
        <w:rPr>
          <w:i/>
          <w:iCs/>
          <w:color w:val="000000"/>
          <w:sz w:val="21"/>
          <w:szCs w:val="21"/>
        </w:rPr>
        <w:t>Service Provider</w:t>
      </w:r>
      <w:r>
        <w:rPr>
          <w:color w:val="000000"/>
          <w:sz w:val="21"/>
          <w:szCs w:val="21"/>
        </w:rPr>
        <w:t xml:space="preserve"> and that transferee either:</w:t>
      </w:r>
    </w:p>
    <w:p w14:paraId="5973997F" w14:textId="77777777" w:rsidR="007960A8" w:rsidRDefault="00A26397">
      <w:pPr>
        <w:widowControl/>
        <w:numPr>
          <w:ilvl w:val="4"/>
          <w:numId w:val="116"/>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42D474E1"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w:t>
      </w:r>
    </w:p>
    <w:p w14:paraId="6B94AA1C"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a competitor of the </w:t>
      </w:r>
      <w:r>
        <w:rPr>
          <w:i/>
          <w:iCs/>
          <w:color w:val="000000"/>
          <w:sz w:val="21"/>
          <w:szCs w:val="21"/>
        </w:rPr>
        <w:t>Service Provider</w:t>
      </w:r>
      <w:r>
        <w:rPr>
          <w:color w:val="000000"/>
          <w:sz w:val="21"/>
          <w:szCs w:val="21"/>
        </w:rPr>
        <w:t>), w</w:t>
      </w:r>
      <w:r>
        <w:rPr>
          <w:color w:val="000000"/>
          <w:sz w:val="21"/>
          <w:szCs w:val="21"/>
        </w:rPr>
        <w:t>here the Replacement Service Provider:</w:t>
      </w:r>
    </w:p>
    <w:p w14:paraId="414EF439"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0CFC18E2"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3E535857"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in the case of New IPR that is used to provide the </w:t>
      </w:r>
      <w:r>
        <w:rPr>
          <w:i/>
          <w:iCs/>
          <w:color w:val="000000"/>
          <w:sz w:val="21"/>
          <w:szCs w:val="21"/>
        </w:rPr>
        <w:t>services</w:t>
      </w:r>
      <w:r>
        <w:rPr>
          <w:color w:val="000000"/>
          <w:sz w:val="21"/>
          <w:szCs w:val="21"/>
        </w:rPr>
        <w:t>:</w:t>
      </w:r>
    </w:p>
    <w:p w14:paraId="1E70CAF6"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and any sublicensee to use and copy, but not adapt, disassemble or reverse engineer the relevant New IPR</w:t>
      </w:r>
      <w:r>
        <w:rPr>
          <w:color w:val="000000"/>
          <w:sz w:val="21"/>
          <w:szCs w:val="21"/>
        </w:rPr>
        <w:t xml:space="preserve"> and Service Provider Existing IPRs to the extent necessary for the </w:t>
      </w:r>
      <w:r>
        <w:rPr>
          <w:i/>
          <w:iCs/>
          <w:color w:val="000000"/>
          <w:sz w:val="21"/>
          <w:szCs w:val="21"/>
        </w:rPr>
        <w:t>Client</w:t>
      </w:r>
      <w:r>
        <w:rPr>
          <w:color w:val="000000"/>
          <w:sz w:val="21"/>
          <w:szCs w:val="21"/>
        </w:rPr>
        <w:t xml:space="preserve">, transferee or sublicensee to receive or use the </w:t>
      </w:r>
      <w:r>
        <w:rPr>
          <w:i/>
          <w:iCs/>
          <w:color w:val="000000"/>
          <w:sz w:val="21"/>
          <w:szCs w:val="21"/>
        </w:rPr>
        <w:t>services</w:t>
      </w:r>
      <w:r>
        <w:rPr>
          <w:color w:val="000000"/>
          <w:sz w:val="21"/>
          <w:szCs w:val="21"/>
        </w:rPr>
        <w:t>; and</w:t>
      </w:r>
    </w:p>
    <w:p w14:paraId="68271289"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has no restriction on the identity of any transferee or sublicensee; and</w:t>
      </w:r>
    </w:p>
    <w:p w14:paraId="3DFF0370"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in the case of Service Provider Existing IPR </w:t>
      </w:r>
      <w:r>
        <w:rPr>
          <w:color w:val="000000"/>
          <w:sz w:val="21"/>
          <w:szCs w:val="21"/>
        </w:rPr>
        <w:t xml:space="preserve">where the </w:t>
      </w:r>
      <w:r>
        <w:rPr>
          <w:i/>
          <w:iCs/>
          <w:color w:val="000000"/>
          <w:sz w:val="21"/>
          <w:szCs w:val="21"/>
        </w:rPr>
        <w:t>services</w:t>
      </w:r>
      <w:r>
        <w:rPr>
          <w:color w:val="000000"/>
          <w:sz w:val="21"/>
          <w:szCs w:val="21"/>
        </w:rPr>
        <w:t xml:space="preserve"> are a customisation or adaptation of Service Provider Existing IPR:</w:t>
      </w:r>
    </w:p>
    <w:p w14:paraId="7B33A837"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any transferee and any sublicensee to use, copy, but not adapt, disassemble or reverse engineer the relevant Service Provider Existing IPRs to the ext</w:t>
      </w:r>
      <w:r>
        <w:rPr>
          <w:color w:val="000000"/>
          <w:sz w:val="21"/>
          <w:szCs w:val="21"/>
        </w:rPr>
        <w:t xml:space="preserve">ent necessary for the </w:t>
      </w:r>
      <w:r>
        <w:rPr>
          <w:i/>
          <w:iCs/>
          <w:color w:val="000000"/>
          <w:sz w:val="21"/>
          <w:szCs w:val="21"/>
        </w:rPr>
        <w:t>Client</w:t>
      </w:r>
      <w:r>
        <w:rPr>
          <w:color w:val="000000"/>
          <w:sz w:val="21"/>
          <w:szCs w:val="21"/>
        </w:rPr>
        <w:t xml:space="preserve">, transferee or sublicensee to receive or use the </w:t>
      </w:r>
      <w:r>
        <w:rPr>
          <w:i/>
          <w:iCs/>
          <w:color w:val="000000"/>
          <w:sz w:val="21"/>
          <w:szCs w:val="21"/>
        </w:rPr>
        <w:t>services</w:t>
      </w:r>
      <w:r>
        <w:rPr>
          <w:color w:val="000000"/>
          <w:sz w:val="21"/>
          <w:szCs w:val="21"/>
        </w:rPr>
        <w:t xml:space="preserve">; </w:t>
      </w:r>
    </w:p>
    <w:p w14:paraId="07C93F98"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is transferrable to only:</w:t>
      </w:r>
    </w:p>
    <w:p w14:paraId="4E995633"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6B8CD444"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14B82A91" w14:textId="77777777" w:rsidR="007960A8" w:rsidRDefault="00A26397">
      <w:pPr>
        <w:widowControl/>
        <w:numPr>
          <w:ilvl w:val="4"/>
          <w:numId w:val="113"/>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7845CBDF"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 and</w:t>
      </w:r>
    </w:p>
    <w:p w14:paraId="28AB29FE"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w:t>
      </w:r>
      <w:r>
        <w:rPr>
          <w:color w:val="000000"/>
          <w:sz w:val="21"/>
          <w:szCs w:val="21"/>
        </w:rPr>
        <w:t xml:space="preserve">a competitor of the </w:t>
      </w:r>
      <w:r>
        <w:rPr>
          <w:i/>
          <w:iCs/>
          <w:color w:val="000000"/>
          <w:sz w:val="21"/>
          <w:szCs w:val="21"/>
        </w:rPr>
        <w:t>Service Provider</w:t>
      </w:r>
      <w:r>
        <w:rPr>
          <w:color w:val="000000"/>
          <w:sz w:val="21"/>
          <w:szCs w:val="21"/>
        </w:rPr>
        <w:t>), where the Replacement Service Provider:</w:t>
      </w:r>
    </w:p>
    <w:p w14:paraId="4976B20A"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69990F62"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w:t>
      </w:r>
    </w:p>
    <w:p w14:paraId="2FF01611"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Service Provider New and Existing IPR Licence provided for under Paragraph 2.2 is subject to the restriction that no transfer or sublicence of </w:t>
      </w:r>
      <w:r>
        <w:rPr>
          <w:color w:val="000000"/>
          <w:sz w:val="21"/>
          <w:szCs w:val="21"/>
        </w:rPr>
        <w:t xml:space="preserve">the Service Provider New and Existing IPR shall purport to grant to the transferee or sub-licensee (as applicable) any wider rights than those granted to the </w:t>
      </w:r>
      <w:r>
        <w:rPr>
          <w:i/>
          <w:iCs/>
          <w:color w:val="000000"/>
          <w:sz w:val="21"/>
          <w:szCs w:val="21"/>
        </w:rPr>
        <w:t>Client</w:t>
      </w:r>
      <w:r>
        <w:rPr>
          <w:color w:val="000000"/>
          <w:sz w:val="21"/>
          <w:szCs w:val="21"/>
        </w:rPr>
        <w:t xml:space="preserve"> under this Paragraph.</w:t>
      </w:r>
    </w:p>
    <w:p w14:paraId="288B607F"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Where the legal status of the </w:t>
      </w:r>
      <w:r>
        <w:rPr>
          <w:i/>
          <w:iCs/>
          <w:color w:val="000000"/>
          <w:sz w:val="21"/>
          <w:szCs w:val="21"/>
        </w:rPr>
        <w:t>Client</w:t>
      </w:r>
      <w:r>
        <w:rPr>
          <w:color w:val="000000"/>
          <w:sz w:val="21"/>
          <w:szCs w:val="21"/>
        </w:rPr>
        <w:t xml:space="preserve"> changes:</w:t>
      </w:r>
    </w:p>
    <w:p w14:paraId="0601A535"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the Service Provider Ne</w:t>
      </w:r>
      <w:r>
        <w:rPr>
          <w:color w:val="000000"/>
          <w:sz w:val="21"/>
          <w:szCs w:val="21"/>
        </w:rPr>
        <w:t>w and Existing IPR Licence is unaffected; and</w:t>
      </w:r>
    </w:p>
    <w:p w14:paraId="082B9728"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any successor body of the </w:t>
      </w:r>
      <w:r>
        <w:rPr>
          <w:i/>
          <w:iCs/>
          <w:color w:val="000000"/>
          <w:sz w:val="21"/>
          <w:szCs w:val="21"/>
        </w:rPr>
        <w:t>Client</w:t>
      </w:r>
      <w:r>
        <w:rPr>
          <w:color w:val="000000"/>
          <w:sz w:val="21"/>
          <w:szCs w:val="21"/>
        </w:rPr>
        <w:t xml:space="preserve"> shall have the benefit of the Service Provider New and Existing IPR Licence.</w:t>
      </w:r>
    </w:p>
    <w:p w14:paraId="0B529627"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The expiry or earlier termination of the Contract does not terminate any Service Provider New and Ex</w:t>
      </w:r>
      <w:r>
        <w:rPr>
          <w:color w:val="000000"/>
          <w:sz w:val="21"/>
          <w:szCs w:val="21"/>
        </w:rPr>
        <w:t>isting IPR Licence.</w:t>
      </w:r>
    </w:p>
    <w:p w14:paraId="7A57079E"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Client approval for Service Provide to exploit Client Existing IPR</w:t>
      </w:r>
    </w:p>
    <w:p w14:paraId="77CC341A"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Before using, copying or adapting any Client Existing IPR for any purpose other than fulfilling its obligations under the Contract, the </w:t>
      </w:r>
      <w:r>
        <w:rPr>
          <w:i/>
          <w:iCs/>
          <w:color w:val="000000"/>
          <w:sz w:val="21"/>
          <w:szCs w:val="21"/>
        </w:rPr>
        <w:t>Service Provider</w:t>
      </w:r>
      <w:r>
        <w:rPr>
          <w:color w:val="000000"/>
          <w:sz w:val="21"/>
          <w:szCs w:val="21"/>
        </w:rPr>
        <w:t xml:space="preserve"> must seek the approval of the </w:t>
      </w:r>
      <w:r>
        <w:rPr>
          <w:i/>
          <w:iCs/>
          <w:color w:val="000000"/>
          <w:sz w:val="21"/>
          <w:szCs w:val="21"/>
        </w:rPr>
        <w:t>Client</w:t>
      </w:r>
      <w:r>
        <w:rPr>
          <w:color w:val="000000"/>
          <w:sz w:val="21"/>
          <w:szCs w:val="21"/>
        </w:rPr>
        <w:t xml:space="preserve"> in accordance with the provisions of this Paragraph.</w:t>
      </w:r>
    </w:p>
    <w:p w14:paraId="6FF7C573"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w:t>
      </w:r>
      <w:r>
        <w:rPr>
          <w:color w:val="000000"/>
          <w:sz w:val="21"/>
          <w:szCs w:val="21"/>
        </w:rPr>
        <w:t xml:space="preserve">y terminate any licence it grants under this Paragraph by notice in writing with immediate effect where the </w:t>
      </w:r>
      <w:r>
        <w:rPr>
          <w:i/>
          <w:iCs/>
          <w:color w:val="000000"/>
          <w:sz w:val="21"/>
          <w:szCs w:val="21"/>
        </w:rPr>
        <w:t>Service Provider</w:t>
      </w:r>
      <w:r>
        <w:rPr>
          <w:color w:val="000000"/>
          <w:sz w:val="21"/>
          <w:szCs w:val="21"/>
        </w:rPr>
        <w:t xml:space="preserve"> breaches any condition in the licence.</w:t>
      </w:r>
    </w:p>
    <w:p w14:paraId="0F5EBE4C"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proposal setting out:</w:t>
      </w:r>
    </w:p>
    <w:p w14:paraId="40B72447"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the purpose for which it proposes to use the Client Existing IPR;</w:t>
      </w:r>
    </w:p>
    <w:p w14:paraId="4CF79A40"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Client Existing IPR;</w:t>
      </w:r>
    </w:p>
    <w:p w14:paraId="51E556A6"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any licence the </w:t>
      </w:r>
      <w:r>
        <w:rPr>
          <w:i/>
          <w:iCs/>
          <w:color w:val="000000"/>
          <w:sz w:val="21"/>
          <w:szCs w:val="21"/>
        </w:rPr>
        <w:t>Service Provider</w:t>
      </w:r>
      <w:r>
        <w:rPr>
          <w:color w:val="000000"/>
          <w:sz w:val="21"/>
          <w:szCs w:val="21"/>
        </w:rPr>
        <w:t xml:space="preserve"> requests in re</w:t>
      </w:r>
      <w:r>
        <w:rPr>
          <w:color w:val="000000"/>
          <w:sz w:val="21"/>
          <w:szCs w:val="21"/>
        </w:rPr>
        <w:t>spect of Client Existing IPR; and</w:t>
      </w:r>
    </w:p>
    <w:p w14:paraId="663A107E"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such further information as the </w:t>
      </w:r>
      <w:r>
        <w:rPr>
          <w:i/>
          <w:iCs/>
          <w:color w:val="000000"/>
          <w:sz w:val="21"/>
          <w:szCs w:val="21"/>
        </w:rPr>
        <w:t>Client</w:t>
      </w:r>
      <w:r>
        <w:rPr>
          <w:color w:val="000000"/>
          <w:sz w:val="21"/>
          <w:szCs w:val="21"/>
        </w:rPr>
        <w:t xml:space="preserve"> may reasonably require to properly consider the proposal.</w:t>
      </w:r>
    </w:p>
    <w:p w14:paraId="5C97AB15"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only refuse the </w:t>
      </w:r>
      <w:r>
        <w:rPr>
          <w:i/>
          <w:iCs/>
          <w:color w:val="000000"/>
          <w:sz w:val="21"/>
          <w:szCs w:val="21"/>
        </w:rPr>
        <w:t>Service Provider’s</w:t>
      </w:r>
      <w:r>
        <w:rPr>
          <w:color w:val="000000"/>
          <w:sz w:val="21"/>
          <w:szCs w:val="21"/>
        </w:rPr>
        <w:t xml:space="preserve"> proposal where it considers that if the </w:t>
      </w:r>
      <w:r>
        <w:rPr>
          <w:i/>
          <w:iCs/>
          <w:color w:val="000000"/>
          <w:sz w:val="21"/>
          <w:szCs w:val="21"/>
        </w:rPr>
        <w:t>Service Provider</w:t>
      </w:r>
      <w:r>
        <w:rPr>
          <w:color w:val="000000"/>
          <w:sz w:val="21"/>
          <w:szCs w:val="21"/>
        </w:rPr>
        <w:t xml:space="preserve"> were to implement </w:t>
      </w:r>
      <w:r>
        <w:rPr>
          <w:color w:val="000000"/>
          <w:sz w:val="21"/>
          <w:szCs w:val="21"/>
        </w:rPr>
        <w:t>the proposal it would harm:</w:t>
      </w:r>
    </w:p>
    <w:p w14:paraId="418B2164"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reputation; or</w:t>
      </w:r>
    </w:p>
    <w:p w14:paraId="118CCE3A"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interests.</w:t>
      </w:r>
    </w:p>
    <w:p w14:paraId="61D032D4"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w:t>
      </w:r>
    </w:p>
    <w:p w14:paraId="0B3ACBDB"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approved or declined the proposal; or</w:t>
      </w:r>
    </w:p>
    <w:p w14:paraId="69AB460E"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required further information,</w:t>
      </w:r>
    </w:p>
    <w:p w14:paraId="6AAB7B73"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within twenty (20) working days of the later of:</w:t>
      </w:r>
    </w:p>
    <w:p w14:paraId="4FABC7FD"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date the proposal was first provided to the </w:t>
      </w:r>
      <w:r>
        <w:rPr>
          <w:i/>
          <w:iCs/>
          <w:color w:val="000000"/>
          <w:sz w:val="21"/>
          <w:szCs w:val="21"/>
        </w:rPr>
        <w:t>Client</w:t>
      </w:r>
      <w:r>
        <w:rPr>
          <w:color w:val="000000"/>
          <w:sz w:val="21"/>
          <w:szCs w:val="21"/>
        </w:rPr>
        <w:t>; or</w:t>
      </w:r>
    </w:p>
    <w:p w14:paraId="0C240D41"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date on which further information was provided to the </w:t>
      </w:r>
      <w:r>
        <w:rPr>
          <w:i/>
          <w:iCs/>
          <w:color w:val="000000"/>
          <w:sz w:val="21"/>
          <w:szCs w:val="21"/>
        </w:rPr>
        <w:t>Client</w:t>
      </w:r>
      <w:r>
        <w:rPr>
          <w:color w:val="000000"/>
          <w:sz w:val="21"/>
          <w:szCs w:val="21"/>
        </w:rPr>
        <w:t>,</w:t>
      </w:r>
    </w:p>
    <w:p w14:paraId="5E1D3002"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then the proposal is, for the purposes of the Contract, approved.</w:t>
      </w:r>
    </w:p>
    <w:p w14:paraId="20C79BD0"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Licences granted by the Client</w:t>
      </w:r>
    </w:p>
    <w:p w14:paraId="24B1414C"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Subject to Paragraph 3, the </w:t>
      </w:r>
      <w:r>
        <w:rPr>
          <w:i/>
          <w:iCs/>
          <w:color w:val="000000"/>
          <w:sz w:val="21"/>
          <w:szCs w:val="21"/>
        </w:rPr>
        <w:t>Client</w:t>
      </w:r>
      <w:r>
        <w:rPr>
          <w:color w:val="000000"/>
          <w:sz w:val="21"/>
          <w:szCs w:val="21"/>
        </w:rPr>
        <w:t xml:space="preserve"> grants the </w:t>
      </w:r>
      <w:r>
        <w:rPr>
          <w:i/>
          <w:iCs/>
          <w:color w:val="000000"/>
          <w:sz w:val="21"/>
          <w:szCs w:val="21"/>
        </w:rPr>
        <w:t>Service Provider</w:t>
      </w:r>
      <w:r>
        <w:rPr>
          <w:color w:val="000000"/>
          <w:sz w:val="21"/>
          <w:szCs w:val="21"/>
        </w:rPr>
        <w:t xml:space="preserve"> a licence to the Client Existing IPR that:</w:t>
      </w:r>
    </w:p>
    <w:p w14:paraId="3F22C611"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is perpetual, non-exclusive, royalty-free and non-transferable;</w:t>
      </w:r>
    </w:p>
    <w:p w14:paraId="341562A0"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is sub-licensable to any Sub-contractor where:</w:t>
      </w:r>
    </w:p>
    <w:p w14:paraId="337575E8"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between the parties, acting reasonably; and</w:t>
      </w:r>
    </w:p>
    <w:p w14:paraId="3C3920B2"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the sub-licence does not purport to provide the sub-licensee with any wider rights than those granted to the </w:t>
      </w:r>
      <w:r>
        <w:rPr>
          <w:i/>
          <w:iCs/>
          <w:color w:val="000000"/>
          <w:sz w:val="21"/>
          <w:szCs w:val="21"/>
        </w:rPr>
        <w:t>Service</w:t>
      </w:r>
      <w:r>
        <w:rPr>
          <w:color w:val="000000"/>
          <w:sz w:val="21"/>
          <w:szCs w:val="21"/>
        </w:rPr>
        <w:t xml:space="preserve"> </w:t>
      </w:r>
      <w:r>
        <w:rPr>
          <w:i/>
          <w:iCs/>
          <w:color w:val="000000"/>
          <w:sz w:val="21"/>
          <w:szCs w:val="21"/>
        </w:rPr>
        <w:t>Provider</w:t>
      </w:r>
      <w:r>
        <w:rPr>
          <w:color w:val="000000"/>
          <w:sz w:val="21"/>
          <w:szCs w:val="21"/>
        </w:rPr>
        <w:t xml:space="preserve"> under this Paragraph; and</w:t>
      </w:r>
    </w:p>
    <w:p w14:paraId="76A81737"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w:t>
      </w:r>
      <w:r>
        <w:rPr>
          <w:color w:val="000000"/>
          <w:sz w:val="21"/>
          <w:szCs w:val="21"/>
        </w:rPr>
        <w:t>ensee to use, copy and adapt any Client Existing IPR for the purpose of:</w:t>
      </w:r>
    </w:p>
    <w:p w14:paraId="298F8EEB"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fulfilling its obligations under the Contract;</w:t>
      </w:r>
    </w:p>
    <w:p w14:paraId="036AA39E"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commercially exploiting the New IPR.</w:t>
      </w:r>
    </w:p>
    <w:p w14:paraId="2D139A80"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Provision of information on New IPR</w:t>
      </w:r>
    </w:p>
    <w:p w14:paraId="641AD985"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7517A5EB"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w:t>
      </w:r>
    </w:p>
    <w:p w14:paraId="27452A13"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w:t>
      </w:r>
      <w:r>
        <w:rPr>
          <w:color w:val="000000"/>
          <w:sz w:val="21"/>
          <w:szCs w:val="21"/>
        </w:rPr>
        <w:t>ract, with or in respect of the New IPR.</w:t>
      </w:r>
    </w:p>
    <w:p w14:paraId="236BDE91"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information required by the </w:t>
      </w:r>
      <w:r>
        <w:rPr>
          <w:i/>
          <w:iCs/>
          <w:color w:val="000000"/>
          <w:sz w:val="21"/>
          <w:szCs w:val="21"/>
        </w:rPr>
        <w:t>Client</w:t>
      </w:r>
      <w:r>
        <w:rPr>
          <w:color w:val="000000"/>
          <w:sz w:val="21"/>
          <w:szCs w:val="21"/>
        </w:rPr>
        <w:t>:</w:t>
      </w:r>
    </w:p>
    <w:p w14:paraId="7C4614F9"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within twenty (20) working days of the date of the requirement; and</w:t>
      </w:r>
    </w:p>
    <w:p w14:paraId="279F8C6B"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2EDAB75E"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Licences in respect of Third-party IPR</w:t>
      </w:r>
    </w:p>
    <w:p w14:paraId="17B96A77"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use in the delivery of the </w:t>
      </w:r>
      <w:r>
        <w:rPr>
          <w:i/>
          <w:iCs/>
          <w:color w:val="000000"/>
          <w:sz w:val="21"/>
          <w:szCs w:val="21"/>
        </w:rPr>
        <w:t>services</w:t>
      </w:r>
      <w:r>
        <w:rPr>
          <w:color w:val="000000"/>
          <w:sz w:val="21"/>
          <w:szCs w:val="21"/>
        </w:rPr>
        <w:t xml:space="preserve"> any Third Party IPR unless:</w:t>
      </w:r>
    </w:p>
    <w:p w14:paraId="3F361E7D"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Approval is granted by the </w:t>
      </w:r>
      <w:r>
        <w:rPr>
          <w:i/>
          <w:iCs/>
          <w:color w:val="000000"/>
          <w:sz w:val="21"/>
          <w:szCs w:val="21"/>
        </w:rPr>
        <w:t>Client</w:t>
      </w:r>
      <w:r>
        <w:rPr>
          <w:color w:val="000000"/>
          <w:sz w:val="21"/>
          <w:szCs w:val="21"/>
        </w:rPr>
        <w:t>; and</w:t>
      </w:r>
    </w:p>
    <w:p w14:paraId="1A3C7149"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one of the following conditions is met:</w:t>
      </w:r>
    </w:p>
    <w:p w14:paraId="1BD2C920"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2.2;</w:t>
      </w:r>
    </w:p>
    <w:p w14:paraId="007A8EAB"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endeavours, obtain for the </w:t>
      </w:r>
      <w:r>
        <w:rPr>
          <w:i/>
          <w:iCs/>
          <w:color w:val="000000"/>
          <w:sz w:val="21"/>
          <w:szCs w:val="21"/>
        </w:rPr>
        <w:t>Client</w:t>
      </w:r>
      <w:r>
        <w:rPr>
          <w:color w:val="000000"/>
          <w:sz w:val="21"/>
          <w:szCs w:val="21"/>
        </w:rPr>
        <w:t xml:space="preserve"> a Third </w:t>
      </w:r>
      <w:r>
        <w:rPr>
          <w:color w:val="000000"/>
          <w:sz w:val="21"/>
          <w:szCs w:val="21"/>
        </w:rPr>
        <w:t>Party IPR Licence as set out in Paragraph 6.1.2.1, all the following conditions are met:</w:t>
      </w:r>
    </w:p>
    <w:p w14:paraId="78BFF8E1"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77BBC9DF" w14:textId="77777777" w:rsidR="007960A8" w:rsidRDefault="00A26397">
      <w:pPr>
        <w:widowControl/>
        <w:numPr>
          <w:ilvl w:val="4"/>
          <w:numId w:val="114"/>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7A3C583C" w14:textId="77777777" w:rsidR="007960A8" w:rsidRDefault="00A26397">
      <w:pPr>
        <w:widowControl/>
        <w:numPr>
          <w:ilvl w:val="4"/>
          <w:numId w:val="113"/>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7811E91C"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agreed to accept the licence terms of one of those third parties; and</w:t>
      </w:r>
    </w:p>
    <w:p w14:paraId="6228C5FD" w14:textId="77777777" w:rsidR="007960A8" w:rsidRDefault="00A26397">
      <w:pPr>
        <w:widowControl/>
        <w:numPr>
          <w:ilvl w:val="4"/>
          <w:numId w:val="112"/>
        </w:numPr>
        <w:pBdr>
          <w:top w:val="nil"/>
          <w:left w:val="nil"/>
          <w:bottom w:val="nil"/>
          <w:right w:val="nil"/>
          <w:between w:val="nil"/>
        </w:pBdr>
        <w:spacing w:after="240"/>
        <w:jc w:val="both"/>
      </w:pPr>
      <w:r>
        <w:rPr>
          <w:color w:val="000000"/>
          <w:sz w:val="21"/>
          <w:szCs w:val="21"/>
        </w:rPr>
        <w:t>the owner and authorised licensor of t</w:t>
      </w:r>
      <w:r>
        <w:rPr>
          <w:color w:val="000000"/>
          <w:sz w:val="21"/>
          <w:szCs w:val="21"/>
        </w:rPr>
        <w:t xml:space="preserve">he Third Party IPR has granted a direct licence of the Third Party IPR to the </w:t>
      </w:r>
      <w:r>
        <w:rPr>
          <w:i/>
          <w:iCs/>
          <w:color w:val="000000"/>
          <w:sz w:val="21"/>
          <w:szCs w:val="21"/>
        </w:rPr>
        <w:t>Client</w:t>
      </w:r>
      <w:r>
        <w:rPr>
          <w:color w:val="000000"/>
          <w:sz w:val="21"/>
          <w:szCs w:val="21"/>
        </w:rPr>
        <w:t xml:space="preserve"> on those terms; or</w:t>
      </w:r>
    </w:p>
    <w:p w14:paraId="51406DA0" w14:textId="77777777" w:rsidR="007960A8" w:rsidRDefault="00A26397">
      <w:pPr>
        <w:widowControl/>
        <w:numPr>
          <w:ilvl w:val="3"/>
          <w:numId w:val="112"/>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provided authorisation to the use of the Third Party IPR in writing, with reference to the acts authorised and the specific IPR involved.</w:t>
      </w:r>
    </w:p>
    <w:p w14:paraId="2FBA707D"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The Third Party IPR licence referred to in Paragraph 6.1 is the licence set out in Paragraph 2.2 as if:</w:t>
      </w:r>
    </w:p>
    <w:p w14:paraId="1E7A2B54"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the term Third Party IPR were substituted for the term New IPR or Service Provider Existing IPR; and</w:t>
      </w:r>
    </w:p>
    <w:p w14:paraId="4FDCE6AB" w14:textId="77777777" w:rsidR="007960A8" w:rsidRDefault="00A26397">
      <w:pPr>
        <w:widowControl/>
        <w:numPr>
          <w:ilvl w:val="2"/>
          <w:numId w:val="112"/>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688A0DF4"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in each place they occur.</w:t>
      </w:r>
    </w:p>
    <w:p w14:paraId="13462FB2" w14:textId="77777777" w:rsidR="007960A8" w:rsidRDefault="00A26397">
      <w:pPr>
        <w:keepNext/>
        <w:keepLines/>
        <w:widowControl/>
        <w:numPr>
          <w:ilvl w:val="0"/>
          <w:numId w:val="112"/>
        </w:numPr>
        <w:pBdr>
          <w:top w:val="nil"/>
          <w:left w:val="nil"/>
          <w:bottom w:val="nil"/>
          <w:right w:val="nil"/>
          <w:between w:val="nil"/>
        </w:pBdr>
        <w:spacing w:after="240"/>
        <w:jc w:val="both"/>
      </w:pPr>
      <w:r>
        <w:rPr>
          <w:b/>
          <w:bCs/>
          <w:color w:val="000000"/>
          <w:sz w:val="21"/>
          <w:szCs w:val="21"/>
        </w:rPr>
        <w:t>Patents</w:t>
      </w:r>
    </w:p>
    <w:p w14:paraId="06A08247" w14:textId="77777777" w:rsidR="007960A8" w:rsidRDefault="00A26397">
      <w:pPr>
        <w:widowControl/>
        <w:numPr>
          <w:ilvl w:val="1"/>
          <w:numId w:val="112"/>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Service Provider a non-exclusive, irrevocable, royal</w:t>
      </w:r>
      <w:r>
        <w:rPr>
          <w:color w:val="000000"/>
          <w:sz w:val="21"/>
          <w:szCs w:val="21"/>
        </w:rPr>
        <w:t>ty-free, worldwide patent licence to use the infringing methods, materials or software.</w:t>
      </w:r>
    </w:p>
    <w:p w14:paraId="56B2A3A0"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1E3C160E" w14:textId="77777777" w:rsidR="007960A8" w:rsidRDefault="00A26397">
      <w:pPr>
        <w:spacing w:after="240" w:line="276" w:lineRule="auto"/>
        <w:rPr>
          <w:b/>
          <w:bCs/>
          <w:sz w:val="28"/>
          <w:szCs w:val="28"/>
        </w:rPr>
      </w:pPr>
      <w:r>
        <w:rPr>
          <w:b/>
          <w:bCs/>
          <w:sz w:val="28"/>
          <w:szCs w:val="28"/>
        </w:rPr>
        <w:t>Part B: Intellectual Property Rights (ICT Services)</w:t>
      </w:r>
    </w:p>
    <w:p w14:paraId="0226E444" w14:textId="77777777" w:rsidR="007960A8" w:rsidRDefault="00A26397">
      <w:pPr>
        <w:spacing w:after="240" w:line="276" w:lineRule="auto"/>
        <w:rPr>
          <w:b/>
          <w:bCs/>
          <w:i/>
          <w:iCs/>
          <w:highlight w:val="yellow"/>
        </w:rPr>
      </w:pPr>
      <w:r>
        <w:rPr>
          <w:b/>
          <w:bCs/>
          <w:i/>
          <w:iCs/>
          <w:highlight w:val="yellow"/>
        </w:rPr>
        <w:t>[Part B: Intellectual Property Rights – ICT Services]</w:t>
      </w:r>
    </w:p>
    <w:p w14:paraId="290FBBA1" w14:textId="77777777" w:rsidR="007960A8" w:rsidRDefault="00A26397">
      <w:pPr>
        <w:spacing w:after="240" w:line="276" w:lineRule="auto"/>
        <w:rPr>
          <w:b/>
          <w:bCs/>
          <w:i/>
          <w:iCs/>
          <w:highlight w:val="yellow"/>
        </w:rPr>
      </w:pPr>
      <w:r>
        <w:rPr>
          <w:b/>
          <w:bCs/>
          <w:i/>
          <w:iCs/>
          <w:highlight w:val="yellow"/>
        </w:rPr>
        <w:t>[Guidance note: this Part B of the Schedule on In</w:t>
      </w:r>
      <w:r>
        <w:rPr>
          <w:b/>
          <w:bCs/>
          <w:i/>
          <w:iCs/>
          <w:highlight w:val="yellow"/>
        </w:rPr>
        <w:t>tellectual Property Rights (IPRs) should be amended depending on how you need to arrange ownership and licensing of all New IPR and Specially Written Software (‘foreground IPR’) created for or pursuant to the contract. There are 4 suggested IPR Options ava</w:t>
      </w:r>
      <w:r>
        <w:rPr>
          <w:b/>
          <w:bCs/>
          <w:i/>
          <w:iCs/>
          <w:highlight w:val="yellow"/>
        </w:rPr>
        <w:t xml:space="preserve">ilable under Part B.  </w:t>
      </w:r>
    </w:p>
    <w:p w14:paraId="5B9DC86F" w14:textId="77777777" w:rsidR="007960A8" w:rsidRDefault="00A26397">
      <w:pPr>
        <w:spacing w:after="240" w:line="276" w:lineRule="auto"/>
        <w:rPr>
          <w:b/>
          <w:bCs/>
          <w:i/>
          <w:iCs/>
          <w:highlight w:val="yellow"/>
        </w:rPr>
      </w:pPr>
      <w:r>
        <w:rPr>
          <w:b/>
          <w:bCs/>
          <w:i/>
          <w:iCs/>
          <w:highlight w:val="yellow"/>
        </w:rPr>
        <w:t>●</w:t>
      </w:r>
      <w:r>
        <w:rPr>
          <w:b/>
          <w:bCs/>
          <w:i/>
          <w:iCs/>
          <w:highlight w:val="yellow"/>
        </w:rPr>
        <w:tab/>
        <w:t xml:space="preserve">IPR Option B1: Client owns all foreground IPR with limited Service Provider rights to all foreground IPR in order to deliver this Contract; </w:t>
      </w:r>
    </w:p>
    <w:p w14:paraId="4F1F3CF7" w14:textId="77777777" w:rsidR="007960A8" w:rsidRDefault="00A26397">
      <w:pPr>
        <w:spacing w:after="240" w:line="276" w:lineRule="auto"/>
        <w:rPr>
          <w:b/>
          <w:bCs/>
          <w:i/>
          <w:iCs/>
          <w:highlight w:val="yellow"/>
        </w:rPr>
      </w:pPr>
      <w:r>
        <w:rPr>
          <w:b/>
          <w:bCs/>
          <w:i/>
          <w:iCs/>
          <w:highlight w:val="yellow"/>
        </w:rPr>
        <w:t>●</w:t>
      </w:r>
      <w:r>
        <w:rPr>
          <w:b/>
          <w:bCs/>
          <w:i/>
          <w:iCs/>
          <w:highlight w:val="yellow"/>
        </w:rPr>
        <w:tab/>
        <w:t>IPR Option B2: Client ownership of all foreground IPR with non-exclusive Service Provide</w:t>
      </w:r>
      <w:r>
        <w:rPr>
          <w:b/>
          <w:bCs/>
          <w:i/>
          <w:iCs/>
          <w:highlight w:val="yellow"/>
        </w:rPr>
        <w:t xml:space="preserve">r rights; </w:t>
      </w:r>
    </w:p>
    <w:p w14:paraId="7C72A61F" w14:textId="77777777" w:rsidR="007960A8" w:rsidRDefault="00A26397">
      <w:pPr>
        <w:spacing w:after="240" w:line="276" w:lineRule="auto"/>
        <w:rPr>
          <w:b/>
          <w:bCs/>
          <w:i/>
          <w:iCs/>
          <w:highlight w:val="yellow"/>
        </w:rPr>
      </w:pPr>
      <w:r>
        <w:rPr>
          <w:b/>
          <w:bCs/>
          <w:i/>
          <w:iCs/>
          <w:highlight w:val="yellow"/>
        </w:rPr>
        <w:t>●</w:t>
      </w:r>
      <w:r>
        <w:rPr>
          <w:b/>
          <w:bCs/>
          <w:i/>
          <w:iCs/>
          <w:highlight w:val="yellow"/>
        </w:rPr>
        <w:tab/>
        <w:t>IPR Option B3: Service Provider ownership of all foreground IPR with Client rights for the current contract only; and</w:t>
      </w:r>
    </w:p>
    <w:p w14:paraId="555BDDA9" w14:textId="77777777" w:rsidR="007960A8" w:rsidRDefault="00A26397">
      <w:pPr>
        <w:spacing w:after="240" w:line="276" w:lineRule="auto"/>
        <w:rPr>
          <w:b/>
          <w:bCs/>
          <w:i/>
          <w:iCs/>
          <w:highlight w:val="yellow"/>
        </w:rPr>
      </w:pPr>
      <w:r>
        <w:rPr>
          <w:b/>
          <w:bCs/>
          <w:i/>
          <w:iCs/>
          <w:highlight w:val="yellow"/>
        </w:rPr>
        <w:t>●</w:t>
      </w:r>
      <w:r>
        <w:rPr>
          <w:b/>
          <w:bCs/>
          <w:i/>
          <w:iCs/>
          <w:highlight w:val="yellow"/>
        </w:rPr>
        <w:tab/>
        <w:t xml:space="preserve">IPR Option B4: Service Provider ownership of foreground IPR with Client rights for the current contract and broader public </w:t>
      </w:r>
      <w:r>
        <w:rPr>
          <w:b/>
          <w:bCs/>
          <w:i/>
          <w:iCs/>
          <w:highlight w:val="yellow"/>
        </w:rPr>
        <w:t>sector functions.</w:t>
      </w:r>
    </w:p>
    <w:p w14:paraId="40537389" w14:textId="77777777" w:rsidR="007960A8" w:rsidRDefault="00A26397">
      <w:pPr>
        <w:spacing w:after="240" w:line="276" w:lineRule="auto"/>
        <w:rPr>
          <w:b/>
          <w:bCs/>
          <w:i/>
          <w:iCs/>
          <w:highlight w:val="yellow"/>
        </w:rPr>
      </w:pPr>
      <w:r>
        <w:rPr>
          <w:b/>
          <w:bCs/>
          <w:i/>
          <w:iCs/>
          <w:highlight w:val="yellow"/>
        </w:rPr>
        <w:t>Once you have chosen an Option, you should delete the unused options.</w:t>
      </w:r>
    </w:p>
    <w:p w14:paraId="5C84321F" w14:textId="77777777" w:rsidR="007960A8" w:rsidRDefault="00A26397">
      <w:pPr>
        <w:spacing w:after="240" w:line="276" w:lineRule="auto"/>
        <w:rPr>
          <w:b/>
          <w:bCs/>
          <w:i/>
          <w:iCs/>
          <w:highlight w:val="yellow"/>
        </w:rPr>
      </w:pPr>
      <w:r>
        <w:rPr>
          <w:b/>
          <w:bCs/>
          <w:i/>
          <w:iCs/>
          <w:highlight w:val="yellow"/>
        </w:rPr>
        <w:t>IPR Option B1 should be considered for use in situations where the Client should retain ownership of any foreground IPR. In this situation, the Client will not look to publish the foreground IPR under Open Licence.</w:t>
      </w:r>
    </w:p>
    <w:p w14:paraId="5683C9EB" w14:textId="77777777" w:rsidR="007960A8" w:rsidRDefault="00A26397">
      <w:pPr>
        <w:spacing w:after="240" w:line="276" w:lineRule="auto"/>
        <w:rPr>
          <w:b/>
          <w:bCs/>
          <w:i/>
          <w:iCs/>
          <w:highlight w:val="yellow"/>
        </w:rPr>
      </w:pPr>
      <w:r>
        <w:rPr>
          <w:b/>
          <w:bCs/>
          <w:i/>
          <w:iCs/>
          <w:highlight w:val="yellow"/>
        </w:rPr>
        <w:t>IPR Option B2 should be considered for us</w:t>
      </w:r>
      <w:r>
        <w:rPr>
          <w:b/>
          <w:bCs/>
          <w:i/>
          <w:iCs/>
          <w:highlight w:val="yellow"/>
        </w:rPr>
        <w:t>e in situations where the Client should retain ownership of any foreground IPR but where the Service Provider should be able to use any foreground IPR developed, subject to Client approval. In this situation, the Client will not look to publish the foregro</w:t>
      </w:r>
      <w:r>
        <w:rPr>
          <w:b/>
          <w:bCs/>
          <w:i/>
          <w:iCs/>
          <w:highlight w:val="yellow"/>
        </w:rPr>
        <w:t>und IPR under Open Licence.</w:t>
      </w:r>
    </w:p>
    <w:p w14:paraId="18E6237A" w14:textId="77777777" w:rsidR="007960A8" w:rsidRDefault="00A26397">
      <w:pPr>
        <w:spacing w:after="240" w:line="276" w:lineRule="auto"/>
        <w:rPr>
          <w:b/>
          <w:bCs/>
          <w:i/>
          <w:iCs/>
          <w:highlight w:val="yellow"/>
        </w:rPr>
      </w:pPr>
      <w:r>
        <w:rPr>
          <w:b/>
          <w:bCs/>
          <w:i/>
          <w:iCs/>
          <w:highlight w:val="yellow"/>
        </w:rPr>
        <w:t>IPR Option B3 should be considered for use where (a) there is no clear benefit in the Client owning the foreground IPR, or (b) where any foreground IPR created cannot easily be separated from the Service Provider Existing IPR (e</w:t>
      </w:r>
      <w:r>
        <w:rPr>
          <w:b/>
          <w:bCs/>
          <w:i/>
          <w:iCs/>
          <w:highlight w:val="yellow"/>
        </w:rPr>
        <w:t xml:space="preserve">.g. Software As A Service (SAAS)), but where a licence is only needed for the current contracted Services and the IPR in question will not be needed for other services. </w:t>
      </w:r>
    </w:p>
    <w:p w14:paraId="4FEBB066" w14:textId="77777777" w:rsidR="007960A8" w:rsidRDefault="00A26397">
      <w:pPr>
        <w:spacing w:after="240" w:line="276" w:lineRule="auto"/>
        <w:rPr>
          <w:b/>
          <w:bCs/>
          <w:i/>
          <w:iCs/>
          <w:highlight w:val="yellow"/>
        </w:rPr>
      </w:pPr>
      <w:r>
        <w:rPr>
          <w:b/>
          <w:bCs/>
          <w:i/>
          <w:iCs/>
          <w:highlight w:val="yellow"/>
        </w:rPr>
        <w:t xml:space="preserve">IPR Option B4 is similar to IPR Option B3, except it should be used where the licence </w:t>
      </w:r>
      <w:r>
        <w:rPr>
          <w:b/>
          <w:bCs/>
          <w:i/>
          <w:iCs/>
          <w:highlight w:val="yellow"/>
        </w:rPr>
        <w:t>to the Client for the IPR in question should extend to cover other contracts and services, which may include contracts and services not yet awarded, and broader public sector functions.</w:t>
      </w:r>
    </w:p>
    <w:p w14:paraId="1FDB11EC" w14:textId="77777777" w:rsidR="007960A8" w:rsidRDefault="00A26397">
      <w:pPr>
        <w:spacing w:after="240" w:line="276" w:lineRule="auto"/>
        <w:rPr>
          <w:b/>
          <w:bCs/>
          <w:i/>
          <w:iCs/>
          <w:highlight w:val="yellow"/>
        </w:rPr>
      </w:pPr>
      <w:r>
        <w:rPr>
          <w:b/>
          <w:bCs/>
          <w:i/>
          <w:iCs/>
          <w:highlight w:val="yellow"/>
        </w:rPr>
        <w:t xml:space="preserve">When publishing as open licence, Clients should be mindful that the terms of any input licence (that is the open source licence for any open source IP which has been used to create the foreground IPR) aligns with the ‘output licence’ (that is, the licence </w:t>
      </w:r>
      <w:r>
        <w:rPr>
          <w:b/>
          <w:bCs/>
          <w:i/>
          <w:iCs/>
          <w:highlight w:val="yellow"/>
        </w:rPr>
        <w:t>under which the Client will publish the foreground IPR as open licence).</w:t>
      </w:r>
    </w:p>
    <w:p w14:paraId="324B4E8C" w14:textId="77777777" w:rsidR="007960A8" w:rsidRDefault="00A26397">
      <w:pPr>
        <w:spacing w:after="240" w:line="276" w:lineRule="auto"/>
        <w:rPr>
          <w:b/>
          <w:bCs/>
          <w:i/>
          <w:iCs/>
        </w:rPr>
      </w:pPr>
      <w:r>
        <w:rPr>
          <w:b/>
          <w:bCs/>
          <w:i/>
          <w:iCs/>
          <w:highlight w:val="yellow"/>
        </w:rPr>
        <w:t>Carefully check cross-references as these may need to be updated when unused clauses are deleted]</w:t>
      </w:r>
    </w:p>
    <w:p w14:paraId="0E111319" w14:textId="77777777" w:rsidR="007960A8" w:rsidRDefault="007960A8">
      <w:pPr>
        <w:spacing w:after="240" w:line="276" w:lineRule="auto"/>
      </w:pPr>
    </w:p>
    <w:p w14:paraId="40166F70" w14:textId="77777777" w:rsidR="007960A8" w:rsidRDefault="007960A8">
      <w:pPr>
        <w:spacing w:after="240" w:line="276" w:lineRule="auto"/>
      </w:pPr>
    </w:p>
    <w:p w14:paraId="37BDEEDC" w14:textId="77777777" w:rsidR="007960A8" w:rsidRDefault="00A26397">
      <w:pPr>
        <w:spacing w:after="240" w:line="276" w:lineRule="auto"/>
      </w:pPr>
      <w:r>
        <w:t>1B</w:t>
      </w:r>
      <w:r>
        <w:tab/>
        <w:t>Definitions</w:t>
      </w:r>
    </w:p>
    <w:p w14:paraId="0C81393A"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1B.1</w:t>
      </w:r>
      <w:r>
        <w:rPr>
          <w:color w:val="000000"/>
          <w:sz w:val="21"/>
          <w:szCs w:val="21"/>
        </w:rPr>
        <w:tab/>
        <w:t>in this Schedule the following words shall have the following m</w:t>
      </w:r>
      <w:r>
        <w:rPr>
          <w:color w:val="000000"/>
          <w:sz w:val="21"/>
          <w:szCs w:val="21"/>
        </w:rPr>
        <w:t>eanings:</w:t>
      </w:r>
    </w:p>
    <w:p w14:paraId="547D2E9A"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Approval</w:t>
      </w:r>
      <w:r>
        <w:rPr>
          <w:color w:val="000000"/>
          <w:sz w:val="21"/>
          <w:szCs w:val="21"/>
        </w:rPr>
        <w:t xml:space="preserve">: </w:t>
      </w:r>
      <w:r>
        <w:rPr>
          <w:color w:val="000000"/>
          <w:sz w:val="21"/>
          <w:szCs w:val="21"/>
        </w:rPr>
        <w:tab/>
        <w:t xml:space="preserve">the prior written consent of the </w:t>
      </w:r>
      <w:r>
        <w:rPr>
          <w:i/>
          <w:iCs/>
          <w:color w:val="000000"/>
          <w:sz w:val="21"/>
          <w:szCs w:val="21"/>
        </w:rPr>
        <w:t>Client</w:t>
      </w:r>
      <w:r>
        <w:rPr>
          <w:color w:val="000000"/>
          <w:sz w:val="21"/>
          <w:szCs w:val="21"/>
        </w:rPr>
        <w:t xml:space="preserve"> and “approve” and “approved” shall be construed accordingly;</w:t>
      </w:r>
    </w:p>
    <w:p w14:paraId="61719D30"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Code</w:t>
      </w:r>
      <w:r>
        <w:rPr>
          <w:color w:val="000000"/>
          <w:sz w:val="21"/>
          <w:szCs w:val="21"/>
        </w:rPr>
        <w:t xml:space="preserve">: </w:t>
      </w:r>
      <w:r>
        <w:rPr>
          <w:color w:val="000000"/>
          <w:sz w:val="21"/>
          <w:szCs w:val="21"/>
        </w:rPr>
        <w:tab/>
      </w:r>
      <w:r>
        <w:rPr>
          <w:color w:val="000000"/>
          <w:sz w:val="21"/>
          <w:szCs w:val="21"/>
        </w:rPr>
        <w:tab/>
        <w:t>means</w:t>
      </w:r>
    </w:p>
    <w:p w14:paraId="5EA83312" w14:textId="77777777" w:rsidR="007960A8" w:rsidRDefault="00A26397">
      <w:pPr>
        <w:widowControl/>
        <w:numPr>
          <w:ilvl w:val="3"/>
          <w:numId w:val="117"/>
        </w:numPr>
        <w:pBdr>
          <w:top w:val="nil"/>
          <w:left w:val="nil"/>
          <w:bottom w:val="nil"/>
          <w:right w:val="nil"/>
          <w:between w:val="nil"/>
        </w:pBdr>
        <w:spacing w:after="240" w:line="360" w:lineRule="auto"/>
        <w:ind w:left="2127"/>
        <w:jc w:val="both"/>
      </w:pPr>
      <w:r>
        <w:rPr>
          <w:color w:val="000000"/>
          <w:sz w:val="21"/>
          <w:szCs w:val="21"/>
        </w:rPr>
        <w:t>the source code;</w:t>
      </w:r>
    </w:p>
    <w:p w14:paraId="75BC244F" w14:textId="77777777" w:rsidR="007960A8" w:rsidRDefault="00A26397">
      <w:pPr>
        <w:widowControl/>
        <w:numPr>
          <w:ilvl w:val="3"/>
          <w:numId w:val="95"/>
        </w:numPr>
        <w:pBdr>
          <w:top w:val="nil"/>
          <w:left w:val="nil"/>
          <w:bottom w:val="nil"/>
          <w:right w:val="nil"/>
          <w:between w:val="nil"/>
        </w:pBdr>
        <w:spacing w:after="240" w:line="360" w:lineRule="auto"/>
        <w:ind w:left="2127"/>
        <w:jc w:val="both"/>
      </w:pPr>
      <w:r>
        <w:rPr>
          <w:color w:val="000000"/>
          <w:sz w:val="21"/>
          <w:szCs w:val="21"/>
        </w:rPr>
        <w:t>the object code;</w:t>
      </w:r>
    </w:p>
    <w:p w14:paraId="4DC9E4AF" w14:textId="77777777" w:rsidR="007960A8" w:rsidRDefault="00A26397">
      <w:pPr>
        <w:widowControl/>
        <w:numPr>
          <w:ilvl w:val="3"/>
          <w:numId w:val="95"/>
        </w:numPr>
        <w:pBdr>
          <w:top w:val="nil"/>
          <w:left w:val="nil"/>
          <w:bottom w:val="nil"/>
          <w:right w:val="nil"/>
          <w:between w:val="nil"/>
        </w:pBdr>
        <w:spacing w:after="240" w:line="360" w:lineRule="auto"/>
        <w:ind w:left="2127"/>
        <w:jc w:val="both"/>
      </w:pPr>
      <w:r>
        <w:rPr>
          <w:color w:val="000000"/>
          <w:sz w:val="21"/>
          <w:szCs w:val="21"/>
        </w:rPr>
        <w:t>third party components, including third party coding frameworks and libraries; and</w:t>
      </w:r>
    </w:p>
    <w:p w14:paraId="5556DC53" w14:textId="77777777" w:rsidR="007960A8" w:rsidRDefault="00A26397">
      <w:pPr>
        <w:widowControl/>
        <w:numPr>
          <w:ilvl w:val="3"/>
          <w:numId w:val="95"/>
        </w:numPr>
        <w:pBdr>
          <w:top w:val="nil"/>
          <w:left w:val="nil"/>
          <w:bottom w:val="nil"/>
          <w:right w:val="nil"/>
          <w:between w:val="nil"/>
        </w:pBdr>
        <w:spacing w:after="240" w:line="360" w:lineRule="auto"/>
        <w:ind w:left="2127"/>
        <w:jc w:val="both"/>
      </w:pPr>
      <w:r>
        <w:rPr>
          <w:color w:val="000000"/>
          <w:sz w:val="21"/>
          <w:szCs w:val="21"/>
        </w:rPr>
        <w:t>all supporting documentation;</w:t>
      </w:r>
    </w:p>
    <w:p w14:paraId="004F3253"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Confidential Information</w:t>
      </w:r>
      <w:r>
        <w:rPr>
          <w:color w:val="000000"/>
          <w:sz w:val="21"/>
          <w:szCs w:val="21"/>
        </w:rPr>
        <w:t xml:space="preserve">: </w:t>
      </w:r>
      <w:r>
        <w:rPr>
          <w:color w:val="000000"/>
          <w:sz w:val="21"/>
          <w:szCs w:val="21"/>
        </w:rPr>
        <w:tab/>
        <w:t>any information, however it is conveyed, that relates to the business, affairs, developments, trade secrets, Know-Ho</w:t>
      </w:r>
      <w:r>
        <w:rPr>
          <w:color w:val="000000"/>
          <w:sz w:val="21"/>
          <w:szCs w:val="21"/>
        </w:rPr>
        <w:t xml:space="preserve">w, personnel and suppliers of the </w:t>
      </w:r>
      <w:r>
        <w:rPr>
          <w:i/>
          <w:iCs/>
          <w:color w:val="000000"/>
          <w:sz w:val="21"/>
          <w:szCs w:val="21"/>
        </w:rPr>
        <w:t>Client</w:t>
      </w:r>
      <w:r>
        <w:rPr>
          <w:color w:val="000000"/>
          <w:sz w:val="21"/>
          <w:szCs w:val="21"/>
        </w:rPr>
        <w:t xml:space="preserve"> and the </w:t>
      </w:r>
      <w:r>
        <w:rPr>
          <w:i/>
          <w:iCs/>
          <w:color w:val="000000"/>
          <w:sz w:val="21"/>
          <w:szCs w:val="21"/>
        </w:rPr>
        <w:t>Service Provider</w:t>
      </w:r>
      <w:r>
        <w:rPr>
          <w:color w:val="000000"/>
          <w:sz w:val="21"/>
          <w:szCs w:val="21"/>
        </w:rPr>
        <w:t>, including IPRs, together with information derived from the above, and any other information clearly designated as being confidential (whether or not it is marked as “confidential”) or which ought reasonably to be considered to be confidential;</w:t>
      </w:r>
    </w:p>
    <w:p w14:paraId="794A4947"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Controller</w:t>
      </w:r>
      <w:r>
        <w:rPr>
          <w:color w:val="000000"/>
          <w:sz w:val="21"/>
          <w:szCs w:val="21"/>
        </w:rPr>
        <w:t xml:space="preserve">: </w:t>
      </w:r>
      <w:r>
        <w:rPr>
          <w:color w:val="000000"/>
          <w:sz w:val="21"/>
          <w:szCs w:val="21"/>
        </w:rPr>
        <w:tab/>
        <w:t>has the meaning given to it in the UK GDPR or the EU GDPR as the context requires;</w:t>
      </w:r>
    </w:p>
    <w:p w14:paraId="31EA32AA"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COTS Software</w:t>
      </w:r>
      <w:r>
        <w:rPr>
          <w:color w:val="000000"/>
          <w:sz w:val="21"/>
          <w:szCs w:val="21"/>
        </w:rPr>
        <w:t xml:space="preserve">: </w:t>
      </w:r>
      <w:r>
        <w:rPr>
          <w:color w:val="000000"/>
          <w:sz w:val="21"/>
          <w:szCs w:val="21"/>
        </w:rPr>
        <w:tab/>
        <w:t xml:space="preserve">non-customised software where the IPR may be owned and licenced either by the </w:t>
      </w:r>
      <w:r>
        <w:rPr>
          <w:i/>
          <w:iCs/>
          <w:color w:val="000000"/>
          <w:sz w:val="21"/>
          <w:szCs w:val="21"/>
        </w:rPr>
        <w:t>Service Provider</w:t>
      </w:r>
      <w:r>
        <w:rPr>
          <w:color w:val="000000"/>
          <w:sz w:val="21"/>
          <w:szCs w:val="21"/>
        </w:rPr>
        <w:t xml:space="preserve"> or a third party depending on the context, and which is com</w:t>
      </w:r>
      <w:r>
        <w:rPr>
          <w:color w:val="000000"/>
          <w:sz w:val="21"/>
          <w:szCs w:val="21"/>
        </w:rPr>
        <w:t>mercially available for purchase and subject to standard licence terms;</w:t>
      </w:r>
    </w:p>
    <w:p w14:paraId="00A66E04"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Client Equipment</w:t>
      </w:r>
      <w:r>
        <w:rPr>
          <w:color w:val="000000"/>
          <w:sz w:val="21"/>
          <w:szCs w:val="21"/>
        </w:rPr>
        <w:t xml:space="preserve">: </w:t>
      </w:r>
      <w:r>
        <w:rPr>
          <w:color w:val="000000"/>
          <w:sz w:val="21"/>
          <w:szCs w:val="21"/>
        </w:rPr>
        <w:tab/>
        <w:t>any hardware, computer or telecoms devices, and equipment that forms part of the Client System;</w:t>
      </w:r>
    </w:p>
    <w:p w14:paraId="0BD74328"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Client Existing IPR</w:t>
      </w:r>
      <w:r>
        <w:rPr>
          <w:color w:val="000000"/>
          <w:sz w:val="21"/>
          <w:szCs w:val="21"/>
        </w:rPr>
        <w:t xml:space="preserve">: </w:t>
      </w:r>
      <w:r>
        <w:rPr>
          <w:color w:val="000000"/>
          <w:sz w:val="21"/>
          <w:szCs w:val="21"/>
        </w:rPr>
        <w:tab/>
      </w:r>
      <w:r>
        <w:rPr>
          <w:color w:val="000000"/>
          <w:sz w:val="21"/>
          <w:szCs w:val="21"/>
        </w:rPr>
        <w:t xml:space="preserve">any and all IPR that is owned by or licensed by the </w:t>
      </w:r>
      <w:r>
        <w:rPr>
          <w:i/>
          <w:iCs/>
          <w:color w:val="000000"/>
          <w:sz w:val="21"/>
          <w:szCs w:val="21"/>
        </w:rPr>
        <w:t>Client</w:t>
      </w:r>
      <w:r>
        <w:rPr>
          <w:color w:val="000000"/>
          <w:sz w:val="21"/>
          <w:szCs w:val="21"/>
        </w:rPr>
        <w:t xml:space="preserve"> and which has been developed independently of the Contract (whether prior to the Contract Date or otherwise) but excluding any Client Software;</w:t>
      </w:r>
    </w:p>
    <w:p w14:paraId="5C3815BF"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Client Software</w:t>
      </w:r>
      <w:r>
        <w:rPr>
          <w:color w:val="000000"/>
          <w:sz w:val="21"/>
          <w:szCs w:val="21"/>
        </w:rPr>
        <w:t xml:space="preserve">: </w:t>
      </w:r>
      <w:r>
        <w:rPr>
          <w:color w:val="000000"/>
          <w:sz w:val="21"/>
          <w:szCs w:val="21"/>
        </w:rPr>
        <w:tab/>
        <w:t>any software which is owned by or l</w:t>
      </w:r>
      <w:r>
        <w:rPr>
          <w:color w:val="000000"/>
          <w:sz w:val="21"/>
          <w:szCs w:val="21"/>
        </w:rPr>
        <w:t xml:space="preserve">icensed to the </w:t>
      </w:r>
      <w:r>
        <w:rPr>
          <w:i/>
          <w:iCs/>
          <w:color w:val="000000"/>
          <w:sz w:val="21"/>
          <w:szCs w:val="21"/>
        </w:rPr>
        <w:t>Client</w:t>
      </w:r>
      <w:r>
        <w:rPr>
          <w:color w:val="000000"/>
          <w:sz w:val="21"/>
          <w:szCs w:val="21"/>
        </w:rPr>
        <w:t xml:space="preserve"> and which is or will be used by the </w:t>
      </w:r>
      <w:r>
        <w:rPr>
          <w:i/>
          <w:iCs/>
          <w:color w:val="000000"/>
          <w:sz w:val="21"/>
          <w:szCs w:val="21"/>
        </w:rPr>
        <w:t>Service Provider</w:t>
      </w:r>
      <w:r>
        <w:rPr>
          <w:color w:val="000000"/>
          <w:sz w:val="21"/>
          <w:szCs w:val="21"/>
        </w:rPr>
        <w:t xml:space="preserve"> for the purpose of providing the </w:t>
      </w:r>
      <w:r>
        <w:rPr>
          <w:i/>
          <w:iCs/>
          <w:color w:val="000000"/>
          <w:sz w:val="21"/>
          <w:szCs w:val="21"/>
        </w:rPr>
        <w:t>services</w:t>
      </w:r>
      <w:r>
        <w:rPr>
          <w:color w:val="000000"/>
          <w:sz w:val="21"/>
          <w:szCs w:val="21"/>
        </w:rPr>
        <w:t>.</w:t>
      </w:r>
    </w:p>
    <w:p w14:paraId="6EA718E9"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Client System</w:t>
      </w:r>
      <w:r>
        <w:rPr>
          <w:color w:val="000000"/>
          <w:sz w:val="21"/>
          <w:szCs w:val="21"/>
        </w:rPr>
        <w:t xml:space="preserve">: </w:t>
      </w:r>
      <w:r>
        <w:rPr>
          <w:color w:val="000000"/>
          <w:sz w:val="21"/>
          <w:szCs w:val="21"/>
        </w:rPr>
        <w:tab/>
        <w:t xml:space="preserve">the </w:t>
      </w:r>
      <w:r>
        <w:rPr>
          <w:i/>
          <w:iCs/>
          <w:color w:val="000000"/>
          <w:sz w:val="21"/>
          <w:szCs w:val="21"/>
        </w:rPr>
        <w:t>Client’s</w:t>
      </w:r>
      <w:r>
        <w:rPr>
          <w:color w:val="000000"/>
          <w:sz w:val="21"/>
          <w:szCs w:val="21"/>
        </w:rPr>
        <w:t xml:space="preserve"> information and communications technology system, including any software or </w:t>
      </w:r>
      <w:r>
        <w:rPr>
          <w:i/>
          <w:iCs/>
          <w:color w:val="000000"/>
          <w:sz w:val="21"/>
          <w:szCs w:val="21"/>
        </w:rPr>
        <w:t>Client</w:t>
      </w:r>
      <w:r>
        <w:rPr>
          <w:color w:val="000000"/>
          <w:sz w:val="21"/>
          <w:szCs w:val="21"/>
        </w:rPr>
        <w:t xml:space="preserve"> Equipment owned by the </w:t>
      </w:r>
      <w:r>
        <w:rPr>
          <w:i/>
          <w:iCs/>
          <w:color w:val="000000"/>
          <w:sz w:val="21"/>
          <w:szCs w:val="21"/>
        </w:rPr>
        <w:t>Cli</w:t>
      </w:r>
      <w:r>
        <w:rPr>
          <w:i/>
          <w:iCs/>
          <w:color w:val="000000"/>
          <w:sz w:val="21"/>
          <w:szCs w:val="21"/>
        </w:rPr>
        <w:t>ent</w:t>
      </w:r>
      <w:r>
        <w:rPr>
          <w:color w:val="000000"/>
          <w:sz w:val="21"/>
          <w:szCs w:val="21"/>
        </w:rPr>
        <w:t>, or leased or licenced to it by a third party, that:</w:t>
      </w:r>
    </w:p>
    <w:p w14:paraId="1B73A6F8" w14:textId="77777777" w:rsidR="007960A8" w:rsidRDefault="00A26397">
      <w:pPr>
        <w:widowControl/>
        <w:numPr>
          <w:ilvl w:val="3"/>
          <w:numId w:val="118"/>
        </w:numPr>
        <w:pBdr>
          <w:top w:val="nil"/>
          <w:left w:val="nil"/>
          <w:bottom w:val="nil"/>
          <w:right w:val="nil"/>
          <w:between w:val="nil"/>
        </w:pBdr>
        <w:spacing w:after="240" w:line="360" w:lineRule="auto"/>
        <w:ind w:left="2127"/>
        <w:jc w:val="both"/>
      </w:pPr>
      <w:r>
        <w:rPr>
          <w:color w:val="000000"/>
          <w:sz w:val="21"/>
          <w:szCs w:val="21"/>
        </w:rPr>
        <w:t xml:space="preserve">Is used by the </w:t>
      </w:r>
      <w:r>
        <w:rPr>
          <w:i/>
          <w:iCs/>
          <w:color w:val="000000"/>
          <w:sz w:val="21"/>
          <w:szCs w:val="21"/>
        </w:rPr>
        <w:t>Client</w:t>
      </w:r>
      <w:r>
        <w:rPr>
          <w:color w:val="000000"/>
          <w:sz w:val="21"/>
          <w:szCs w:val="21"/>
        </w:rPr>
        <w:t xml:space="preserve"> or the </w:t>
      </w:r>
      <w:r>
        <w:rPr>
          <w:i/>
          <w:iCs/>
          <w:color w:val="000000"/>
          <w:sz w:val="21"/>
          <w:szCs w:val="21"/>
        </w:rPr>
        <w:t>Service Provider</w:t>
      </w:r>
      <w:r>
        <w:rPr>
          <w:color w:val="000000"/>
          <w:sz w:val="21"/>
          <w:szCs w:val="21"/>
        </w:rPr>
        <w:t xml:space="preserve"> in connection with the Contract;</w:t>
      </w:r>
    </w:p>
    <w:p w14:paraId="3ED9498B" w14:textId="77777777" w:rsidR="007960A8" w:rsidRDefault="00A26397">
      <w:pPr>
        <w:widowControl/>
        <w:numPr>
          <w:ilvl w:val="3"/>
          <w:numId w:val="117"/>
        </w:numPr>
        <w:pBdr>
          <w:top w:val="nil"/>
          <w:left w:val="nil"/>
          <w:bottom w:val="nil"/>
          <w:right w:val="nil"/>
          <w:between w:val="nil"/>
        </w:pBdr>
        <w:spacing w:after="240" w:line="360" w:lineRule="auto"/>
        <w:ind w:left="2127"/>
        <w:jc w:val="both"/>
      </w:pPr>
      <w:r>
        <w:rPr>
          <w:color w:val="000000"/>
          <w:sz w:val="21"/>
          <w:szCs w:val="21"/>
        </w:rPr>
        <w:t>Interfaces with the Service Provider System; and/or</w:t>
      </w:r>
    </w:p>
    <w:p w14:paraId="30E71DFB" w14:textId="77777777" w:rsidR="007960A8" w:rsidRDefault="00A26397">
      <w:pPr>
        <w:widowControl/>
        <w:numPr>
          <w:ilvl w:val="3"/>
          <w:numId w:val="117"/>
        </w:numPr>
        <w:pBdr>
          <w:top w:val="nil"/>
          <w:left w:val="nil"/>
          <w:bottom w:val="nil"/>
          <w:right w:val="nil"/>
          <w:between w:val="nil"/>
        </w:pBdr>
        <w:spacing w:after="240" w:line="360" w:lineRule="auto"/>
        <w:ind w:left="2127"/>
        <w:jc w:val="both"/>
      </w:pPr>
      <w:r>
        <w:rPr>
          <w:color w:val="000000"/>
          <w:sz w:val="21"/>
          <w:szCs w:val="21"/>
        </w:rPr>
        <w:t xml:space="preserve">Is necessary for the </w:t>
      </w:r>
      <w:r>
        <w:rPr>
          <w:i/>
          <w:iCs/>
          <w:color w:val="000000"/>
          <w:sz w:val="21"/>
          <w:szCs w:val="21"/>
        </w:rPr>
        <w:t>Client</w:t>
      </w:r>
      <w:r>
        <w:rPr>
          <w:color w:val="000000"/>
          <w:sz w:val="21"/>
          <w:szCs w:val="21"/>
        </w:rPr>
        <w:t xml:space="preserve"> to receive the </w:t>
      </w:r>
      <w:r>
        <w:rPr>
          <w:i/>
          <w:iCs/>
          <w:color w:val="000000"/>
          <w:sz w:val="21"/>
          <w:szCs w:val="21"/>
        </w:rPr>
        <w:t>services</w:t>
      </w:r>
      <w:r>
        <w:rPr>
          <w:color w:val="000000"/>
          <w:sz w:val="21"/>
          <w:szCs w:val="21"/>
        </w:rPr>
        <w:t>.</w:t>
      </w:r>
    </w:p>
    <w:p w14:paraId="2D7600C6"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Documentation</w:t>
      </w:r>
      <w:r>
        <w:rPr>
          <w:color w:val="000000"/>
          <w:sz w:val="21"/>
          <w:szCs w:val="21"/>
        </w:rPr>
        <w:t xml:space="preserve">: </w:t>
      </w:r>
      <w:r>
        <w:rPr>
          <w:color w:val="000000"/>
          <w:sz w:val="21"/>
          <w:szCs w:val="21"/>
        </w:rPr>
        <w:tab/>
        <w:t xml:space="preserve">descriptions of the </w:t>
      </w:r>
      <w:r>
        <w:rPr>
          <w:i/>
          <w:iCs/>
          <w:color w:val="000000"/>
          <w:sz w:val="21"/>
          <w:szCs w:val="21"/>
        </w:rPr>
        <w:t>services</w:t>
      </w:r>
      <w:r>
        <w:rPr>
          <w:color w:val="000000"/>
          <w:sz w:val="21"/>
          <w:szCs w:val="21"/>
        </w:rPr>
        <w:t xml:space="preserve"> and if applicable, key performance indicators, technical specifications, user manuals, training manuals, operating manuals, process definitions and procedures, system environment descriptions and all such other </w:t>
      </w:r>
      <w:r>
        <w:rPr>
          <w:color w:val="000000"/>
          <w:sz w:val="21"/>
          <w:szCs w:val="21"/>
        </w:rPr>
        <w:t xml:space="preserve">documentation (whether in hardcopy or electronic form) is required to be supplied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under the Contract as:</w:t>
      </w:r>
    </w:p>
    <w:p w14:paraId="2308768F" w14:textId="77777777" w:rsidR="007960A8" w:rsidRDefault="00A26397">
      <w:pPr>
        <w:widowControl/>
        <w:numPr>
          <w:ilvl w:val="3"/>
          <w:numId w:val="119"/>
        </w:numPr>
        <w:pBdr>
          <w:top w:val="nil"/>
          <w:left w:val="nil"/>
          <w:bottom w:val="nil"/>
          <w:right w:val="nil"/>
          <w:between w:val="nil"/>
        </w:pBdr>
        <w:spacing w:after="240" w:line="360" w:lineRule="auto"/>
        <w:ind w:left="2127"/>
        <w:jc w:val="both"/>
      </w:pPr>
      <w:r>
        <w:rPr>
          <w:color w:val="000000"/>
          <w:sz w:val="21"/>
          <w:szCs w:val="21"/>
        </w:rPr>
        <w:t xml:space="preserve">would reasonably be required by a competent third party capable of Good Industry Practice contracted by the </w:t>
      </w:r>
      <w:r>
        <w:rPr>
          <w:i/>
          <w:iCs/>
          <w:color w:val="000000"/>
          <w:sz w:val="21"/>
          <w:szCs w:val="21"/>
        </w:rPr>
        <w:t>Clien</w:t>
      </w:r>
      <w:r>
        <w:rPr>
          <w:i/>
          <w:iCs/>
          <w:color w:val="000000"/>
          <w:sz w:val="21"/>
          <w:szCs w:val="21"/>
        </w:rPr>
        <w:t>t</w:t>
      </w:r>
      <w:r>
        <w:rPr>
          <w:color w:val="000000"/>
          <w:sz w:val="21"/>
          <w:szCs w:val="21"/>
        </w:rPr>
        <w:t xml:space="preserve"> to develop, configure, build, deploy, run, maintain, upgrade and test the individual systems and provide the </w:t>
      </w:r>
      <w:r>
        <w:rPr>
          <w:i/>
          <w:iCs/>
          <w:color w:val="000000"/>
          <w:sz w:val="21"/>
          <w:szCs w:val="21"/>
        </w:rPr>
        <w:t>services</w:t>
      </w:r>
      <w:r>
        <w:rPr>
          <w:color w:val="000000"/>
          <w:sz w:val="21"/>
          <w:szCs w:val="21"/>
        </w:rPr>
        <w:t>;</w:t>
      </w:r>
    </w:p>
    <w:p w14:paraId="16B9227F" w14:textId="77777777" w:rsidR="007960A8" w:rsidRDefault="00A26397">
      <w:pPr>
        <w:widowControl/>
        <w:numPr>
          <w:ilvl w:val="3"/>
          <w:numId w:val="118"/>
        </w:numPr>
        <w:pBdr>
          <w:top w:val="nil"/>
          <w:left w:val="nil"/>
          <w:bottom w:val="nil"/>
          <w:right w:val="nil"/>
          <w:between w:val="nil"/>
        </w:pBdr>
        <w:spacing w:after="240" w:line="360" w:lineRule="auto"/>
        <w:ind w:left="2127"/>
        <w:jc w:val="both"/>
      </w:pPr>
      <w:r>
        <w:rPr>
          <w:color w:val="000000"/>
          <w:sz w:val="21"/>
          <w:szCs w:val="21"/>
        </w:rPr>
        <w:t xml:space="preserve">is required by the </w:t>
      </w:r>
      <w:r>
        <w:rPr>
          <w:i/>
          <w:iCs/>
          <w:color w:val="000000"/>
          <w:sz w:val="21"/>
          <w:szCs w:val="21"/>
        </w:rPr>
        <w:t>Service Provider</w:t>
      </w:r>
      <w:r>
        <w:rPr>
          <w:color w:val="000000"/>
          <w:sz w:val="21"/>
          <w:szCs w:val="21"/>
        </w:rPr>
        <w:t xml:space="preserve"> in order to provide the </w:t>
      </w:r>
      <w:r>
        <w:rPr>
          <w:i/>
          <w:iCs/>
          <w:color w:val="000000"/>
          <w:sz w:val="21"/>
          <w:szCs w:val="21"/>
        </w:rPr>
        <w:t>services</w:t>
      </w:r>
      <w:r>
        <w:rPr>
          <w:color w:val="000000"/>
          <w:sz w:val="21"/>
          <w:szCs w:val="21"/>
        </w:rPr>
        <w:t>; and/or</w:t>
      </w:r>
    </w:p>
    <w:p w14:paraId="576D0DBE" w14:textId="77777777" w:rsidR="007960A8" w:rsidRDefault="00A26397">
      <w:pPr>
        <w:widowControl/>
        <w:numPr>
          <w:ilvl w:val="3"/>
          <w:numId w:val="118"/>
        </w:numPr>
        <w:pBdr>
          <w:top w:val="nil"/>
          <w:left w:val="nil"/>
          <w:bottom w:val="nil"/>
          <w:right w:val="nil"/>
          <w:between w:val="nil"/>
        </w:pBdr>
        <w:spacing w:after="240" w:line="360" w:lineRule="auto"/>
        <w:ind w:left="2127"/>
        <w:jc w:val="both"/>
      </w:pPr>
      <w:r>
        <w:rPr>
          <w:color w:val="000000"/>
          <w:sz w:val="21"/>
          <w:szCs w:val="21"/>
        </w:rPr>
        <w:t>has been or shall be generated for the purpose of providin</w:t>
      </w:r>
      <w:r>
        <w:rPr>
          <w:color w:val="000000"/>
          <w:sz w:val="21"/>
          <w:szCs w:val="21"/>
        </w:rPr>
        <w:t xml:space="preserve">g the </w:t>
      </w:r>
      <w:r>
        <w:rPr>
          <w:i/>
          <w:iCs/>
          <w:color w:val="000000"/>
          <w:sz w:val="21"/>
          <w:szCs w:val="21"/>
        </w:rPr>
        <w:t>services</w:t>
      </w:r>
      <w:r>
        <w:rPr>
          <w:color w:val="000000"/>
          <w:sz w:val="21"/>
          <w:szCs w:val="21"/>
        </w:rPr>
        <w:t>.</w:t>
      </w:r>
    </w:p>
    <w:p w14:paraId="0DB5274A"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End Date</w:t>
      </w:r>
      <w:r>
        <w:rPr>
          <w:color w:val="000000"/>
          <w:sz w:val="21"/>
          <w:szCs w:val="21"/>
        </w:rPr>
        <w:t xml:space="preserve">: </w:t>
      </w:r>
      <w:r>
        <w:rPr>
          <w:color w:val="000000"/>
          <w:sz w:val="21"/>
          <w:szCs w:val="21"/>
        </w:rPr>
        <w:tab/>
        <w:t>the day following the end of the Services Period or if earlier, the date the Contract is terminated.</w:t>
      </w:r>
    </w:p>
    <w:p w14:paraId="79B0FF9F"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End User</w:t>
      </w:r>
      <w:r>
        <w:rPr>
          <w:color w:val="000000"/>
          <w:sz w:val="21"/>
          <w:szCs w:val="21"/>
        </w:rPr>
        <w:t xml:space="preserve">: </w:t>
      </w:r>
      <w:r>
        <w:rPr>
          <w:color w:val="000000"/>
          <w:sz w:val="21"/>
          <w:szCs w:val="21"/>
        </w:rPr>
        <w:tab/>
        <w:t xml:space="preserve">a party that is accessing the </w:t>
      </w:r>
      <w:r>
        <w:rPr>
          <w:i/>
          <w:iCs/>
          <w:color w:val="000000"/>
          <w:sz w:val="21"/>
          <w:szCs w:val="21"/>
        </w:rPr>
        <w:t>services</w:t>
      </w:r>
      <w:r>
        <w:rPr>
          <w:color w:val="000000"/>
          <w:sz w:val="21"/>
          <w:szCs w:val="21"/>
        </w:rPr>
        <w:t xml:space="preserve"> provided pursuant to the Contract (including the </w:t>
      </w:r>
      <w:r>
        <w:rPr>
          <w:i/>
          <w:iCs/>
          <w:color w:val="000000"/>
          <w:sz w:val="21"/>
          <w:szCs w:val="21"/>
        </w:rPr>
        <w:t>Client</w:t>
      </w:r>
      <w:r>
        <w:rPr>
          <w:color w:val="000000"/>
          <w:sz w:val="21"/>
          <w:szCs w:val="21"/>
        </w:rPr>
        <w:t xml:space="preserve"> where it is accessing </w:t>
      </w:r>
      <w:r>
        <w:rPr>
          <w:i/>
          <w:iCs/>
          <w:color w:val="000000"/>
          <w:sz w:val="21"/>
          <w:szCs w:val="21"/>
        </w:rPr>
        <w:t>services</w:t>
      </w:r>
      <w:r>
        <w:rPr>
          <w:color w:val="000000"/>
          <w:sz w:val="21"/>
          <w:szCs w:val="21"/>
        </w:rPr>
        <w:t xml:space="preserve"> on its own account as a user);</w:t>
      </w:r>
    </w:p>
    <w:p w14:paraId="164B6A61"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EU GDPR</w:t>
      </w:r>
      <w:r>
        <w:rPr>
          <w:color w:val="000000"/>
          <w:sz w:val="21"/>
          <w:szCs w:val="21"/>
        </w:rPr>
        <w:t>:</w:t>
      </w:r>
      <w:r>
        <w:rPr>
          <w:color w:val="000000"/>
          <w:sz w:val="21"/>
          <w:szCs w:val="21"/>
        </w:rPr>
        <w:tab/>
        <w:t>Regulation (EU) 20168/679 of the European Parliament and of the Council of 27 April 2016 on the protection of natural person wit</w:t>
      </w:r>
      <w:r>
        <w:rPr>
          <w:color w:val="000000"/>
          <w:sz w:val="21"/>
          <w:szCs w:val="21"/>
        </w:rPr>
        <w:t>h regard to the processing of personal data and on the free movement of such data (General Data Protection Regulation) as it has effect in EU law;</w:t>
      </w:r>
    </w:p>
    <w:p w14:paraId="663CC934"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Existing IPR</w:t>
      </w:r>
      <w:r>
        <w:rPr>
          <w:color w:val="000000"/>
          <w:sz w:val="21"/>
          <w:szCs w:val="21"/>
        </w:rPr>
        <w:t xml:space="preserve">: </w:t>
      </w:r>
      <w:r>
        <w:rPr>
          <w:color w:val="000000"/>
          <w:sz w:val="21"/>
          <w:szCs w:val="21"/>
        </w:rPr>
        <w:tab/>
        <w:t xml:space="preserve">for the </w:t>
      </w:r>
      <w:r>
        <w:rPr>
          <w:i/>
          <w:iCs/>
          <w:color w:val="000000"/>
          <w:sz w:val="21"/>
          <w:szCs w:val="21"/>
        </w:rPr>
        <w:t>Client</w:t>
      </w:r>
      <w:r>
        <w:rPr>
          <w:color w:val="000000"/>
          <w:sz w:val="21"/>
          <w:szCs w:val="21"/>
        </w:rPr>
        <w:t xml:space="preserve">, the </w:t>
      </w:r>
      <w:r>
        <w:rPr>
          <w:i/>
          <w:iCs/>
          <w:color w:val="000000"/>
          <w:sz w:val="21"/>
          <w:szCs w:val="21"/>
        </w:rPr>
        <w:t>Client’s</w:t>
      </w:r>
      <w:r>
        <w:rPr>
          <w:color w:val="000000"/>
          <w:sz w:val="21"/>
          <w:szCs w:val="21"/>
        </w:rPr>
        <w:t xml:space="preserve"> Existing IPR and for the </w:t>
      </w:r>
      <w:r>
        <w:rPr>
          <w:i/>
          <w:iCs/>
          <w:color w:val="000000"/>
          <w:sz w:val="21"/>
          <w:szCs w:val="21"/>
        </w:rPr>
        <w:t>Service Provider</w:t>
      </w:r>
      <w:r>
        <w:rPr>
          <w:color w:val="000000"/>
          <w:sz w:val="21"/>
          <w:szCs w:val="21"/>
        </w:rPr>
        <w:t>, the Service Provider’s</w:t>
      </w:r>
      <w:r>
        <w:rPr>
          <w:color w:val="000000"/>
          <w:sz w:val="21"/>
          <w:szCs w:val="21"/>
        </w:rPr>
        <w:t xml:space="preserve"> Existing IPR;</w:t>
      </w:r>
    </w:p>
    <w:p w14:paraId="44FFB20C"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b/>
          <w:bCs/>
          <w:color w:val="000000"/>
          <w:sz w:val="21"/>
          <w:szCs w:val="21"/>
        </w:rPr>
        <w:t>Government Data</w:t>
      </w:r>
      <w:r>
        <w:rPr>
          <w:color w:val="000000"/>
          <w:sz w:val="21"/>
          <w:szCs w:val="21"/>
        </w:rPr>
        <w:t xml:space="preserve">: </w:t>
      </w:r>
      <w:r>
        <w:rPr>
          <w:color w:val="000000"/>
          <w:sz w:val="21"/>
          <w:szCs w:val="21"/>
        </w:rPr>
        <w:tab/>
        <w:t xml:space="preserve">means </w:t>
      </w:r>
    </w:p>
    <w:p w14:paraId="205E4E41" w14:textId="77777777" w:rsidR="007960A8" w:rsidRDefault="00A26397">
      <w:pPr>
        <w:widowControl/>
        <w:numPr>
          <w:ilvl w:val="3"/>
          <w:numId w:val="120"/>
        </w:numPr>
        <w:pBdr>
          <w:top w:val="nil"/>
          <w:left w:val="nil"/>
          <w:bottom w:val="nil"/>
          <w:right w:val="nil"/>
          <w:between w:val="nil"/>
        </w:pBdr>
        <w:spacing w:after="240"/>
        <w:ind w:left="2127"/>
        <w:jc w:val="both"/>
      </w:pPr>
      <w:r>
        <w:rPr>
          <w:color w:val="000000"/>
          <w:sz w:val="21"/>
          <w:szCs w:val="21"/>
        </w:rPr>
        <w:t>data, text, drawings, diagrams, images or sounds (together with any database made up of any of these) which are embodied in any electronic, magnetic, optical or tangible media;</w:t>
      </w:r>
    </w:p>
    <w:p w14:paraId="5CECC98F" w14:textId="77777777" w:rsidR="007960A8" w:rsidRDefault="00A26397">
      <w:pPr>
        <w:widowControl/>
        <w:numPr>
          <w:ilvl w:val="3"/>
          <w:numId w:val="119"/>
        </w:numPr>
        <w:pBdr>
          <w:top w:val="nil"/>
          <w:left w:val="nil"/>
          <w:bottom w:val="nil"/>
          <w:right w:val="nil"/>
          <w:between w:val="nil"/>
        </w:pBdr>
        <w:spacing w:after="240"/>
        <w:ind w:left="2127"/>
        <w:jc w:val="both"/>
      </w:pPr>
      <w:r>
        <w:rPr>
          <w:color w:val="000000"/>
          <w:sz w:val="21"/>
          <w:szCs w:val="21"/>
        </w:rPr>
        <w:t xml:space="preserve">Personal Data for which the </w:t>
      </w:r>
      <w:r>
        <w:rPr>
          <w:i/>
          <w:iCs/>
          <w:color w:val="000000"/>
          <w:sz w:val="21"/>
          <w:szCs w:val="21"/>
        </w:rPr>
        <w:t>Client</w:t>
      </w:r>
      <w:r>
        <w:rPr>
          <w:color w:val="000000"/>
          <w:sz w:val="21"/>
          <w:szCs w:val="21"/>
        </w:rPr>
        <w:t xml:space="preserve"> is a, or the, Controller; or any meta-data relating to categories of data referred to in a) or b) that:</w:t>
      </w:r>
    </w:p>
    <w:p w14:paraId="02FD6AC3" w14:textId="77777777" w:rsidR="007960A8" w:rsidRDefault="00A26397">
      <w:pPr>
        <w:widowControl/>
        <w:numPr>
          <w:ilvl w:val="4"/>
          <w:numId w:val="95"/>
        </w:numPr>
        <w:pBdr>
          <w:top w:val="nil"/>
          <w:left w:val="nil"/>
          <w:bottom w:val="nil"/>
          <w:right w:val="nil"/>
          <w:between w:val="nil"/>
        </w:pBdr>
        <w:spacing w:after="240"/>
        <w:ind w:left="2835"/>
        <w:jc w:val="both"/>
      </w:pPr>
      <w:r>
        <w:rPr>
          <w:color w:val="000000"/>
          <w:sz w:val="21"/>
          <w:szCs w:val="21"/>
        </w:rPr>
        <w:t xml:space="preserve">is supplied to the </w:t>
      </w:r>
      <w:r>
        <w:rPr>
          <w:i/>
          <w:iCs/>
          <w:color w:val="000000"/>
          <w:sz w:val="21"/>
          <w:szCs w:val="21"/>
        </w:rPr>
        <w:t>Service Provider</w:t>
      </w:r>
      <w:r>
        <w:rPr>
          <w:color w:val="000000"/>
          <w:sz w:val="21"/>
          <w:szCs w:val="21"/>
        </w:rPr>
        <w:t xml:space="preserve"> on or on behalf of the Relevant Authority; or</w:t>
      </w:r>
    </w:p>
    <w:p w14:paraId="4EF57F53" w14:textId="77777777" w:rsidR="007960A8" w:rsidRDefault="00A26397">
      <w:pPr>
        <w:widowControl/>
        <w:numPr>
          <w:ilvl w:val="4"/>
          <w:numId w:val="95"/>
        </w:numPr>
        <w:pBdr>
          <w:top w:val="nil"/>
          <w:left w:val="nil"/>
          <w:bottom w:val="nil"/>
          <w:right w:val="nil"/>
          <w:between w:val="nil"/>
        </w:pBdr>
        <w:spacing w:after="240"/>
        <w:ind w:left="2835"/>
        <w:jc w:val="both"/>
      </w:pPr>
      <w:r>
        <w:rPr>
          <w:color w:val="000000"/>
          <w:sz w:val="21"/>
          <w:szCs w:val="21"/>
        </w:rPr>
        <w:t xml:space="preserve">the </w:t>
      </w:r>
      <w:r>
        <w:rPr>
          <w:i/>
          <w:iCs/>
          <w:color w:val="000000"/>
          <w:sz w:val="21"/>
          <w:szCs w:val="21"/>
        </w:rPr>
        <w:t>Service Provider</w:t>
      </w:r>
      <w:r>
        <w:rPr>
          <w:color w:val="000000"/>
          <w:sz w:val="21"/>
          <w:szCs w:val="21"/>
        </w:rPr>
        <w:t xml:space="preserve"> is required to generate, Process, Handle, store </w:t>
      </w:r>
      <w:r>
        <w:rPr>
          <w:color w:val="000000"/>
          <w:sz w:val="21"/>
          <w:szCs w:val="21"/>
        </w:rPr>
        <w:t>or transmit under the Contract;</w:t>
      </w:r>
    </w:p>
    <w:p w14:paraId="3B226DBE" w14:textId="77777777" w:rsidR="007960A8" w:rsidRDefault="00A26397">
      <w:pPr>
        <w:pBdr>
          <w:top w:val="nil"/>
          <w:left w:val="nil"/>
          <w:bottom w:val="nil"/>
          <w:right w:val="nil"/>
          <w:between w:val="nil"/>
        </w:pBdr>
        <w:spacing w:after="120"/>
        <w:ind w:left="2127"/>
        <w:rPr>
          <w:color w:val="000000"/>
          <w:sz w:val="21"/>
          <w:szCs w:val="21"/>
        </w:rPr>
      </w:pPr>
      <w:r>
        <w:rPr>
          <w:color w:val="000000"/>
          <w:sz w:val="21"/>
          <w:szCs w:val="21"/>
        </w:rPr>
        <w:t>And for the avoidance of doubt includes any Code and any meta data relating to any Code;</w:t>
      </w:r>
    </w:p>
    <w:p w14:paraId="32D8F3A8" w14:textId="77777777" w:rsidR="007960A8" w:rsidRDefault="007960A8">
      <w:pPr>
        <w:pBdr>
          <w:top w:val="nil"/>
          <w:left w:val="nil"/>
          <w:bottom w:val="nil"/>
          <w:right w:val="nil"/>
          <w:between w:val="nil"/>
        </w:pBdr>
        <w:spacing w:after="120"/>
        <w:ind w:left="2127"/>
        <w:rPr>
          <w:color w:val="000000"/>
          <w:sz w:val="21"/>
          <w:szCs w:val="21"/>
        </w:rPr>
      </w:pPr>
    </w:p>
    <w:p w14:paraId="48084182" w14:textId="77777777" w:rsidR="007960A8" w:rsidRDefault="00A26397">
      <w:pPr>
        <w:widowControl/>
        <w:pBdr>
          <w:top w:val="nil"/>
          <w:left w:val="nil"/>
          <w:bottom w:val="nil"/>
          <w:right w:val="nil"/>
          <w:between w:val="nil"/>
        </w:pBdr>
        <w:spacing w:after="120" w:line="360" w:lineRule="auto"/>
        <w:ind w:left="1440" w:hanging="1440"/>
        <w:rPr>
          <w:color w:val="000000"/>
          <w:sz w:val="21"/>
          <w:szCs w:val="21"/>
        </w:rPr>
      </w:pPr>
      <w:r>
        <w:rPr>
          <w:b/>
          <w:bCs/>
          <w:color w:val="000000"/>
          <w:sz w:val="21"/>
          <w:szCs w:val="21"/>
        </w:rPr>
        <w:t>Handle</w:t>
      </w:r>
      <w:r>
        <w:rPr>
          <w:color w:val="000000"/>
          <w:sz w:val="21"/>
          <w:szCs w:val="21"/>
        </w:rPr>
        <w:t xml:space="preserve">: </w:t>
      </w:r>
      <w:r>
        <w:rPr>
          <w:color w:val="000000"/>
          <w:sz w:val="21"/>
          <w:szCs w:val="21"/>
        </w:rPr>
        <w:tab/>
      </w:r>
      <w:r>
        <w:rPr>
          <w:color w:val="000000"/>
          <w:sz w:val="21"/>
          <w:szCs w:val="21"/>
        </w:rPr>
        <w:t>any operation performed on data, whether or not by automated means, including collection, recording, organisation, structuring, storage, adaptation or alteration, retrieval, consultation, use, disclosure by transmission, dissemination or otherwise making a</w:t>
      </w:r>
      <w:r>
        <w:rPr>
          <w:color w:val="000000"/>
          <w:sz w:val="21"/>
          <w:szCs w:val="21"/>
        </w:rPr>
        <w:t>vailable, alignment or combination, restriction, erasure or destruction of that data;</w:t>
      </w:r>
    </w:p>
    <w:p w14:paraId="7FC5EB05"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b/>
          <w:bCs/>
          <w:color w:val="000000"/>
          <w:sz w:val="21"/>
          <w:szCs w:val="21"/>
        </w:rPr>
        <w:t>Intellectual Property Rights (or IPR)</w:t>
      </w:r>
      <w:r>
        <w:rPr>
          <w:color w:val="000000"/>
          <w:sz w:val="21"/>
          <w:szCs w:val="21"/>
        </w:rPr>
        <w:t xml:space="preserve">: </w:t>
      </w:r>
      <w:r>
        <w:rPr>
          <w:color w:val="000000"/>
          <w:sz w:val="21"/>
          <w:szCs w:val="21"/>
        </w:rPr>
        <w:tab/>
        <w:t xml:space="preserve">means </w:t>
      </w:r>
    </w:p>
    <w:p w14:paraId="66D61401" w14:textId="77777777" w:rsidR="007960A8" w:rsidRDefault="00A26397">
      <w:pPr>
        <w:widowControl/>
        <w:numPr>
          <w:ilvl w:val="3"/>
          <w:numId w:val="121"/>
        </w:numPr>
        <w:pBdr>
          <w:top w:val="nil"/>
          <w:left w:val="nil"/>
          <w:bottom w:val="nil"/>
          <w:right w:val="nil"/>
          <w:between w:val="nil"/>
        </w:pBdr>
        <w:spacing w:after="240"/>
        <w:ind w:left="2127"/>
        <w:jc w:val="both"/>
      </w:pPr>
      <w:r>
        <w:rPr>
          <w:color w:val="000000"/>
          <w:sz w:val="21"/>
          <w:szCs w:val="21"/>
        </w:rPr>
        <w:t>copyright, rights related to or affording protection similar to copyright, rights in databases, patents and rights in inven</w:t>
      </w:r>
      <w:r>
        <w:rPr>
          <w:color w:val="000000"/>
          <w:sz w:val="21"/>
          <w:szCs w:val="21"/>
        </w:rPr>
        <w:t>tions, semi-conductor topography rights, trade mark, right in internet domain names and website addresses and other rights in trade or business names, goodwill, designs, Know-How, trade secrets and other rights in Confidential Information;</w:t>
      </w:r>
    </w:p>
    <w:p w14:paraId="3DCA4780" w14:textId="77777777" w:rsidR="007960A8" w:rsidRDefault="00A26397">
      <w:pPr>
        <w:widowControl/>
        <w:numPr>
          <w:ilvl w:val="3"/>
          <w:numId w:val="120"/>
        </w:numPr>
        <w:pBdr>
          <w:top w:val="nil"/>
          <w:left w:val="nil"/>
          <w:bottom w:val="nil"/>
          <w:right w:val="nil"/>
          <w:between w:val="nil"/>
        </w:pBdr>
        <w:spacing w:after="240"/>
        <w:ind w:left="2127"/>
        <w:jc w:val="both"/>
      </w:pPr>
      <w:r>
        <w:rPr>
          <w:color w:val="000000"/>
          <w:sz w:val="21"/>
          <w:szCs w:val="21"/>
        </w:rPr>
        <w:t>applications for registration, and the right to apply for registration, for any of the rights listed at (a) that are capable of being registered in any country or jurisdiction; and</w:t>
      </w:r>
    </w:p>
    <w:p w14:paraId="1425CAE0" w14:textId="77777777" w:rsidR="007960A8" w:rsidRDefault="00A26397">
      <w:pPr>
        <w:widowControl/>
        <w:numPr>
          <w:ilvl w:val="3"/>
          <w:numId w:val="120"/>
        </w:numPr>
        <w:pBdr>
          <w:top w:val="nil"/>
          <w:left w:val="nil"/>
          <w:bottom w:val="nil"/>
          <w:right w:val="nil"/>
          <w:between w:val="nil"/>
        </w:pBdr>
        <w:spacing w:after="240"/>
        <w:ind w:left="2127"/>
        <w:jc w:val="both"/>
      </w:pPr>
      <w:r>
        <w:rPr>
          <w:color w:val="000000"/>
          <w:sz w:val="21"/>
          <w:szCs w:val="21"/>
        </w:rPr>
        <w:t>all other rights having equivalent or similar effect in any country or juri</w:t>
      </w:r>
      <w:r>
        <w:rPr>
          <w:color w:val="000000"/>
          <w:sz w:val="21"/>
          <w:szCs w:val="21"/>
        </w:rPr>
        <w:t>sdiction;</w:t>
      </w:r>
    </w:p>
    <w:p w14:paraId="08E4B0E5"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Know-How</w:t>
      </w:r>
      <w:r>
        <w:rPr>
          <w:color w:val="000000"/>
          <w:sz w:val="21"/>
          <w:szCs w:val="21"/>
        </w:rPr>
        <w:t xml:space="preserve">: </w:t>
      </w:r>
      <w:r>
        <w:rPr>
          <w:color w:val="000000"/>
          <w:sz w:val="21"/>
          <w:szCs w:val="21"/>
        </w:rPr>
        <w:tab/>
        <w:t xml:space="preserve">all ideas, concepts, schemes, information, knowledge, techniques, methodology, and anything else in the nature of know-how relating to the </w:t>
      </w:r>
      <w:r>
        <w:rPr>
          <w:i/>
          <w:iCs/>
          <w:color w:val="000000"/>
          <w:sz w:val="21"/>
          <w:szCs w:val="21"/>
        </w:rPr>
        <w:t>services</w:t>
      </w:r>
      <w:r>
        <w:rPr>
          <w:color w:val="000000"/>
          <w:sz w:val="21"/>
          <w:szCs w:val="21"/>
        </w:rPr>
        <w:t xml:space="preserve"> but excluding know-how already in the other party’s possession before the Contract Date</w:t>
      </w:r>
      <w:r>
        <w:rPr>
          <w:color w:val="000000"/>
          <w:sz w:val="21"/>
          <w:szCs w:val="21"/>
        </w:rPr>
        <w:t>;</w:t>
      </w:r>
    </w:p>
    <w:p w14:paraId="4862F98A" w14:textId="77777777" w:rsidR="007960A8" w:rsidRDefault="00A26397">
      <w:pPr>
        <w:widowControl/>
        <w:pBdr>
          <w:top w:val="nil"/>
          <w:left w:val="nil"/>
          <w:bottom w:val="nil"/>
          <w:right w:val="nil"/>
          <w:between w:val="nil"/>
        </w:pBdr>
        <w:spacing w:after="120" w:line="360" w:lineRule="auto"/>
        <w:ind w:left="1406" w:hanging="1406"/>
        <w:jc w:val="both"/>
        <w:rPr>
          <w:color w:val="000000"/>
          <w:sz w:val="21"/>
          <w:szCs w:val="21"/>
        </w:rPr>
      </w:pPr>
      <w:r>
        <w:rPr>
          <w:b/>
          <w:bCs/>
          <w:color w:val="000000"/>
          <w:sz w:val="21"/>
          <w:szCs w:val="21"/>
        </w:rPr>
        <w:t>Malicious Software</w:t>
      </w:r>
      <w:r>
        <w:rPr>
          <w:color w:val="000000"/>
          <w:sz w:val="21"/>
          <w:szCs w:val="21"/>
        </w:rPr>
        <w:t xml:space="preserve">: </w:t>
      </w:r>
      <w:r>
        <w:rPr>
          <w:color w:val="000000"/>
          <w:sz w:val="21"/>
          <w:szCs w:val="21"/>
        </w:rPr>
        <w:tab/>
        <w:t>any software program or code intended to destroy, interfere with, corrupt, or cause undesired effects on program files, data or other information, executable code or application software macros, whether or not its operation is immedi</w:t>
      </w:r>
      <w:r>
        <w:rPr>
          <w:color w:val="000000"/>
          <w:sz w:val="21"/>
          <w:szCs w:val="21"/>
        </w:rPr>
        <w:t>ate or delayed, and whether the malicious software is introduced wilfully, negligently or without knowledge of its existence;</w:t>
      </w:r>
    </w:p>
    <w:p w14:paraId="180BED64"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b/>
          <w:bCs/>
          <w:color w:val="000000"/>
          <w:sz w:val="21"/>
          <w:szCs w:val="21"/>
        </w:rPr>
        <w:t>New IPR</w:t>
      </w:r>
      <w:r>
        <w:rPr>
          <w:color w:val="000000"/>
          <w:sz w:val="21"/>
          <w:szCs w:val="21"/>
        </w:rPr>
        <w:t xml:space="preserve">: </w:t>
      </w:r>
      <w:r>
        <w:rPr>
          <w:color w:val="000000"/>
          <w:sz w:val="21"/>
          <w:szCs w:val="21"/>
        </w:rPr>
        <w:tab/>
        <w:t>means</w:t>
      </w:r>
    </w:p>
    <w:p w14:paraId="1C9EC908" w14:textId="77777777" w:rsidR="007960A8" w:rsidRDefault="00A26397">
      <w:pPr>
        <w:widowControl/>
        <w:numPr>
          <w:ilvl w:val="3"/>
          <w:numId w:val="122"/>
        </w:numPr>
        <w:pBdr>
          <w:top w:val="nil"/>
          <w:left w:val="nil"/>
          <w:bottom w:val="nil"/>
          <w:right w:val="nil"/>
          <w:between w:val="nil"/>
        </w:pBdr>
        <w:spacing w:after="240"/>
        <w:ind w:left="2127"/>
        <w:jc w:val="both"/>
      </w:pPr>
      <w:r>
        <w:rPr>
          <w:color w:val="000000"/>
          <w:sz w:val="21"/>
          <w:szCs w:val="21"/>
        </w:rPr>
        <w:t xml:space="preserve">IPR in items created by the </w:t>
      </w:r>
      <w:r>
        <w:rPr>
          <w:i/>
          <w:iCs/>
          <w:color w:val="000000"/>
          <w:sz w:val="21"/>
          <w:szCs w:val="21"/>
        </w:rPr>
        <w:t>Service Provider</w:t>
      </w:r>
      <w:r>
        <w:rPr>
          <w:color w:val="000000"/>
          <w:sz w:val="21"/>
          <w:szCs w:val="21"/>
        </w:rPr>
        <w:t xml:space="preserve"> (or by a third party on behalf of the </w:t>
      </w:r>
      <w:r>
        <w:rPr>
          <w:i/>
          <w:iCs/>
          <w:color w:val="000000"/>
          <w:sz w:val="21"/>
          <w:szCs w:val="21"/>
        </w:rPr>
        <w:t>Service Provider</w:t>
      </w:r>
      <w:r>
        <w:rPr>
          <w:color w:val="000000"/>
          <w:sz w:val="21"/>
          <w:szCs w:val="21"/>
        </w:rPr>
        <w:t>) specifically for the purpose of the Contract and updates and amendments of these items including database schemes; and/or</w:t>
      </w:r>
    </w:p>
    <w:p w14:paraId="1292F81F" w14:textId="77777777" w:rsidR="007960A8" w:rsidRDefault="00A26397">
      <w:pPr>
        <w:widowControl/>
        <w:numPr>
          <w:ilvl w:val="3"/>
          <w:numId w:val="120"/>
        </w:numPr>
        <w:pBdr>
          <w:top w:val="nil"/>
          <w:left w:val="nil"/>
          <w:bottom w:val="nil"/>
          <w:right w:val="nil"/>
          <w:between w:val="nil"/>
        </w:pBdr>
        <w:spacing w:after="240"/>
        <w:ind w:left="2127"/>
        <w:jc w:val="both"/>
      </w:pPr>
      <w:r>
        <w:rPr>
          <w:color w:val="000000"/>
          <w:sz w:val="21"/>
          <w:szCs w:val="21"/>
        </w:rPr>
        <w:t xml:space="preserve">IPR in or arising as a result of the performance of the </w:t>
      </w:r>
      <w:r>
        <w:rPr>
          <w:i/>
          <w:iCs/>
          <w:color w:val="000000"/>
          <w:sz w:val="21"/>
          <w:szCs w:val="21"/>
        </w:rPr>
        <w:t>Service Provider’s</w:t>
      </w:r>
      <w:r>
        <w:rPr>
          <w:color w:val="000000"/>
          <w:sz w:val="21"/>
          <w:szCs w:val="21"/>
        </w:rPr>
        <w:t xml:space="preserve"> ob</w:t>
      </w:r>
      <w:r>
        <w:rPr>
          <w:color w:val="000000"/>
          <w:sz w:val="21"/>
          <w:szCs w:val="21"/>
        </w:rPr>
        <w:t>ligations under the Contract and all updates and amendments to the same;</w:t>
      </w:r>
    </w:p>
    <w:p w14:paraId="2B458A4A" w14:textId="77777777" w:rsidR="007960A8" w:rsidRDefault="00A26397">
      <w:pPr>
        <w:widowControl/>
        <w:pBdr>
          <w:top w:val="nil"/>
          <w:left w:val="nil"/>
          <w:bottom w:val="nil"/>
          <w:right w:val="nil"/>
          <w:between w:val="nil"/>
        </w:pBdr>
        <w:spacing w:after="120" w:line="360" w:lineRule="auto"/>
        <w:ind w:left="1406"/>
        <w:jc w:val="both"/>
        <w:rPr>
          <w:color w:val="000000"/>
          <w:sz w:val="21"/>
          <w:szCs w:val="21"/>
        </w:rPr>
      </w:pPr>
      <w:r>
        <w:rPr>
          <w:color w:val="000000"/>
          <w:sz w:val="21"/>
          <w:szCs w:val="21"/>
        </w:rPr>
        <w:t>but shall not include the Service Provider’s Existing IPR, or any Specially Written Software;</w:t>
      </w:r>
    </w:p>
    <w:p w14:paraId="25D7083C"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b/>
          <w:bCs/>
          <w:color w:val="000000"/>
          <w:sz w:val="21"/>
          <w:szCs w:val="21"/>
        </w:rPr>
        <w:t>New IPR Item</w:t>
      </w:r>
      <w:r>
        <w:rPr>
          <w:color w:val="000000"/>
          <w:sz w:val="21"/>
          <w:szCs w:val="21"/>
        </w:rPr>
        <w:t>: a deliverable, document, product or other item within which NEW IPR subsists;</w:t>
      </w:r>
    </w:p>
    <w:p w14:paraId="4563A6FC"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b/>
          <w:bCs/>
          <w:color w:val="000000"/>
          <w:sz w:val="21"/>
          <w:szCs w:val="21"/>
        </w:rPr>
        <w:t>Object Code</w:t>
      </w:r>
      <w:r>
        <w:rPr>
          <w:color w:val="000000"/>
          <w:sz w:val="21"/>
          <w:szCs w:val="21"/>
        </w:rPr>
        <w:t>: software and/or data in machine-readable complied object code form;</w:t>
      </w:r>
    </w:p>
    <w:p w14:paraId="1B09EC70" w14:textId="77777777" w:rsidR="007960A8" w:rsidRDefault="00A26397">
      <w:pPr>
        <w:widowControl/>
        <w:pBdr>
          <w:top w:val="nil"/>
          <w:left w:val="nil"/>
          <w:bottom w:val="nil"/>
          <w:right w:val="nil"/>
          <w:between w:val="nil"/>
        </w:pBdr>
        <w:spacing w:after="120" w:line="360" w:lineRule="auto"/>
        <w:ind w:left="1440" w:hanging="1440"/>
        <w:rPr>
          <w:color w:val="000000"/>
          <w:sz w:val="21"/>
          <w:szCs w:val="21"/>
        </w:rPr>
      </w:pPr>
      <w:r>
        <w:rPr>
          <w:b/>
          <w:bCs/>
          <w:color w:val="000000"/>
          <w:sz w:val="21"/>
          <w:szCs w:val="21"/>
        </w:rPr>
        <w:t>Open Licence</w:t>
      </w:r>
      <w:r>
        <w:rPr>
          <w:color w:val="000000"/>
          <w:sz w:val="21"/>
          <w:szCs w:val="21"/>
        </w:rPr>
        <w:t>: any material that is published for use, with rights to access, copy, modify and p</w:t>
      </w:r>
      <w:r>
        <w:rPr>
          <w:color w:val="000000"/>
          <w:sz w:val="21"/>
          <w:szCs w:val="21"/>
        </w:rPr>
        <w:t>ublish, by any person for free, under a generally recognised open licence including Open Government Licence as set out at http://www.nationalarchives.gov.uk/doc/open-government-licence/version/3/ and the Open Standards Principles documented at https://www.</w:t>
      </w:r>
      <w:r>
        <w:rPr>
          <w:color w:val="000000"/>
          <w:sz w:val="21"/>
          <w:szCs w:val="21"/>
        </w:rPr>
        <w:t>gov.uk/government/publications/open-standards-principles/open-standards-principles, and includes the Open Source publication of Software;</w:t>
      </w:r>
    </w:p>
    <w:p w14:paraId="66C044D3"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Open Licence Publication Material</w:t>
      </w:r>
      <w:r>
        <w:rPr>
          <w:color w:val="000000"/>
          <w:sz w:val="21"/>
          <w:szCs w:val="21"/>
        </w:rPr>
        <w:t xml:space="preserve">: </w:t>
      </w:r>
      <w:r>
        <w:rPr>
          <w:color w:val="000000"/>
          <w:sz w:val="21"/>
          <w:szCs w:val="21"/>
        </w:rPr>
        <w:tab/>
        <w:t xml:space="preserve">items created pursuant to the Contract which the </w:t>
      </w:r>
      <w:r>
        <w:rPr>
          <w:i/>
          <w:iCs/>
          <w:color w:val="000000"/>
          <w:sz w:val="21"/>
          <w:szCs w:val="21"/>
        </w:rPr>
        <w:t>Client</w:t>
      </w:r>
      <w:r>
        <w:rPr>
          <w:color w:val="000000"/>
          <w:sz w:val="21"/>
          <w:szCs w:val="21"/>
        </w:rPr>
        <w:t xml:space="preserve"> may wish to publish as Ope</w:t>
      </w:r>
      <w:r>
        <w:rPr>
          <w:color w:val="000000"/>
          <w:sz w:val="21"/>
          <w:szCs w:val="21"/>
        </w:rPr>
        <w:t>n Licence which are supplied in a format suitable for publication under Open Licence;</w:t>
      </w:r>
    </w:p>
    <w:p w14:paraId="791D3F12"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Personal Data</w:t>
      </w:r>
      <w:r>
        <w:rPr>
          <w:color w:val="000000"/>
          <w:sz w:val="21"/>
          <w:szCs w:val="21"/>
        </w:rPr>
        <w:t xml:space="preserve">: </w:t>
      </w:r>
      <w:r>
        <w:rPr>
          <w:color w:val="000000"/>
          <w:sz w:val="21"/>
          <w:szCs w:val="21"/>
        </w:rPr>
        <w:tab/>
        <w:t>has the meaning given to it in the UK GDPR or the EU GDPR as the context requires;</w:t>
      </w:r>
    </w:p>
    <w:p w14:paraId="72098F5F"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Processing</w:t>
      </w:r>
      <w:r>
        <w:rPr>
          <w:color w:val="000000"/>
          <w:sz w:val="21"/>
          <w:szCs w:val="21"/>
        </w:rPr>
        <w:t xml:space="preserve">: </w:t>
      </w:r>
      <w:r>
        <w:rPr>
          <w:color w:val="000000"/>
          <w:sz w:val="21"/>
          <w:szCs w:val="21"/>
        </w:rPr>
        <w:tab/>
        <w:t xml:space="preserve">has the meaning given to it in the UK GDPR or the EU GDPR </w:t>
      </w:r>
      <w:r>
        <w:rPr>
          <w:color w:val="000000"/>
          <w:sz w:val="21"/>
          <w:szCs w:val="21"/>
        </w:rPr>
        <w:t>as the context requires, and “Process” shall be construed accordingly</w:t>
      </w:r>
    </w:p>
    <w:p w14:paraId="73CE16D6"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Public Sector Body</w:t>
      </w:r>
      <w:r>
        <w:rPr>
          <w:color w:val="000000"/>
          <w:sz w:val="21"/>
          <w:szCs w:val="21"/>
        </w:rPr>
        <w:t xml:space="preserve">: </w:t>
      </w:r>
      <w:r>
        <w:rPr>
          <w:color w:val="000000"/>
          <w:sz w:val="21"/>
          <w:szCs w:val="21"/>
        </w:rPr>
        <w:tab/>
        <w:t>a formally established organisation that is (at least in part) publicly funded to deliver a public or government service;</w:t>
      </w:r>
    </w:p>
    <w:p w14:paraId="444EFC2A"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Relevant Authority</w:t>
      </w:r>
      <w:r>
        <w:rPr>
          <w:color w:val="000000"/>
          <w:sz w:val="21"/>
          <w:szCs w:val="21"/>
        </w:rPr>
        <w:t xml:space="preserve">: the </w:t>
      </w:r>
      <w:r>
        <w:rPr>
          <w:i/>
          <w:iCs/>
          <w:color w:val="000000"/>
          <w:sz w:val="21"/>
          <w:szCs w:val="21"/>
        </w:rPr>
        <w:t>Client</w:t>
      </w:r>
      <w:r>
        <w:rPr>
          <w:color w:val="000000"/>
          <w:sz w:val="21"/>
          <w:szCs w:val="21"/>
        </w:rPr>
        <w:t>;</w:t>
      </w:r>
    </w:p>
    <w:p w14:paraId="252CAACE"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Replacement Service Provider</w:t>
      </w:r>
      <w:r>
        <w:rPr>
          <w:color w:val="000000"/>
          <w:sz w:val="21"/>
          <w:szCs w:val="21"/>
        </w:rPr>
        <w:t xml:space="preserve">: </w:t>
      </w:r>
      <w:r>
        <w:rPr>
          <w:color w:val="000000"/>
          <w:sz w:val="21"/>
          <w:szCs w:val="21"/>
        </w:rPr>
        <w:tab/>
        <w:t xml:space="preserve">any third party provider of Replacement Services appointed by or at the direction of the </w:t>
      </w:r>
      <w:r>
        <w:rPr>
          <w:i/>
          <w:iCs/>
          <w:color w:val="000000"/>
          <w:sz w:val="21"/>
          <w:szCs w:val="21"/>
        </w:rPr>
        <w:t>Client</w:t>
      </w:r>
      <w:r>
        <w:rPr>
          <w:color w:val="000000"/>
          <w:sz w:val="21"/>
          <w:szCs w:val="21"/>
        </w:rPr>
        <w:t xml:space="preserve"> from time to time or where the </w:t>
      </w:r>
      <w:r>
        <w:rPr>
          <w:i/>
          <w:iCs/>
          <w:color w:val="000000"/>
          <w:sz w:val="21"/>
          <w:szCs w:val="21"/>
        </w:rPr>
        <w:t>Client</w:t>
      </w:r>
      <w:r>
        <w:rPr>
          <w:color w:val="000000"/>
          <w:sz w:val="21"/>
          <w:szCs w:val="21"/>
        </w:rPr>
        <w:t xml:space="preserve"> is providing Replacement Services for its own account, shall also include the </w:t>
      </w:r>
      <w:r>
        <w:rPr>
          <w:i/>
          <w:iCs/>
          <w:color w:val="000000"/>
          <w:sz w:val="21"/>
          <w:szCs w:val="21"/>
        </w:rPr>
        <w:t>Client</w:t>
      </w:r>
      <w:r>
        <w:rPr>
          <w:color w:val="000000"/>
          <w:sz w:val="21"/>
          <w:szCs w:val="21"/>
        </w:rPr>
        <w:t>;</w:t>
      </w:r>
    </w:p>
    <w:p w14:paraId="3DA1689E" w14:textId="77777777" w:rsidR="007960A8" w:rsidRDefault="00A26397">
      <w:pPr>
        <w:widowControl/>
        <w:pBdr>
          <w:top w:val="nil"/>
          <w:left w:val="nil"/>
          <w:bottom w:val="nil"/>
          <w:right w:val="nil"/>
          <w:between w:val="nil"/>
        </w:pBdr>
        <w:spacing w:after="120" w:line="360" w:lineRule="auto"/>
        <w:ind w:left="1440" w:hanging="1440"/>
        <w:jc w:val="both"/>
        <w:rPr>
          <w:color w:val="000000"/>
          <w:sz w:val="21"/>
          <w:szCs w:val="21"/>
        </w:rPr>
      </w:pPr>
      <w:r>
        <w:rPr>
          <w:b/>
          <w:bCs/>
          <w:color w:val="000000"/>
          <w:sz w:val="21"/>
          <w:szCs w:val="21"/>
        </w:rPr>
        <w:t>Repla</w:t>
      </w:r>
      <w:r>
        <w:rPr>
          <w:b/>
          <w:bCs/>
          <w:color w:val="000000"/>
          <w:sz w:val="21"/>
          <w:szCs w:val="21"/>
        </w:rPr>
        <w:t>cement Services</w:t>
      </w:r>
      <w:r>
        <w:rPr>
          <w:color w:val="000000"/>
          <w:sz w:val="21"/>
          <w:szCs w:val="21"/>
        </w:rPr>
        <w:t xml:space="preserve">: </w:t>
      </w:r>
      <w:r>
        <w:rPr>
          <w:color w:val="000000"/>
          <w:sz w:val="21"/>
          <w:szCs w:val="21"/>
        </w:rPr>
        <w:tab/>
        <w:t xml:space="preserve">any services which are substantially similar to any of the </w:t>
      </w:r>
      <w:r>
        <w:rPr>
          <w:i/>
          <w:iCs/>
          <w:color w:val="000000"/>
          <w:sz w:val="21"/>
          <w:szCs w:val="21"/>
        </w:rPr>
        <w:t>services</w:t>
      </w:r>
      <w:r>
        <w:rPr>
          <w:color w:val="000000"/>
          <w:sz w:val="21"/>
          <w:szCs w:val="21"/>
        </w:rPr>
        <w:t xml:space="preserve"> and which the </w:t>
      </w:r>
      <w:r>
        <w:rPr>
          <w:i/>
          <w:iCs/>
          <w:color w:val="000000"/>
          <w:sz w:val="21"/>
          <w:szCs w:val="21"/>
        </w:rPr>
        <w:t>Client</w:t>
      </w:r>
      <w:r>
        <w:rPr>
          <w:color w:val="000000"/>
          <w:sz w:val="21"/>
          <w:szCs w:val="21"/>
        </w:rPr>
        <w:t xml:space="preserve"> receive in substitution for any of the </w:t>
      </w:r>
      <w:r>
        <w:rPr>
          <w:i/>
          <w:iCs/>
          <w:color w:val="000000"/>
          <w:sz w:val="21"/>
          <w:szCs w:val="21"/>
        </w:rPr>
        <w:t>services</w:t>
      </w:r>
      <w:r>
        <w:rPr>
          <w:color w:val="000000"/>
          <w:sz w:val="21"/>
          <w:szCs w:val="21"/>
        </w:rPr>
        <w:t xml:space="preserve"> following the Contract Date, whether those goods are provided by the </w:t>
      </w:r>
      <w:r>
        <w:rPr>
          <w:i/>
          <w:iCs/>
          <w:color w:val="000000"/>
          <w:sz w:val="21"/>
          <w:szCs w:val="21"/>
        </w:rPr>
        <w:t>Client</w:t>
      </w:r>
      <w:r>
        <w:rPr>
          <w:color w:val="000000"/>
          <w:sz w:val="21"/>
          <w:szCs w:val="21"/>
        </w:rPr>
        <w:t xml:space="preserve"> internally and/or by any </w:t>
      </w:r>
      <w:r>
        <w:rPr>
          <w:color w:val="000000"/>
          <w:sz w:val="21"/>
          <w:szCs w:val="21"/>
        </w:rPr>
        <w:t>third party;</w:t>
      </w:r>
    </w:p>
    <w:p w14:paraId="74374FAF" w14:textId="77777777" w:rsidR="007960A8" w:rsidRDefault="00A26397">
      <w:pPr>
        <w:widowControl/>
        <w:pBdr>
          <w:top w:val="nil"/>
          <w:left w:val="nil"/>
          <w:bottom w:val="nil"/>
          <w:right w:val="nil"/>
          <w:between w:val="nil"/>
        </w:pBdr>
        <w:spacing w:after="120" w:line="480" w:lineRule="auto"/>
        <w:ind w:left="1440" w:hanging="1440"/>
        <w:jc w:val="both"/>
        <w:rPr>
          <w:color w:val="000000"/>
          <w:sz w:val="21"/>
          <w:szCs w:val="21"/>
        </w:rPr>
      </w:pPr>
      <w:r>
        <w:rPr>
          <w:b/>
          <w:bCs/>
          <w:color w:val="000000"/>
          <w:sz w:val="21"/>
          <w:szCs w:val="21"/>
        </w:rPr>
        <w:t>Service Provider Existing IPR</w:t>
      </w:r>
      <w:r>
        <w:rPr>
          <w:color w:val="000000"/>
          <w:sz w:val="21"/>
          <w:szCs w:val="21"/>
        </w:rPr>
        <w:t xml:space="preserve">: </w:t>
      </w:r>
      <w:r>
        <w:rPr>
          <w:color w:val="000000"/>
          <w:sz w:val="21"/>
          <w:szCs w:val="21"/>
        </w:rPr>
        <w:tab/>
        <w:t xml:space="preserve">any and all IPR that is owned or licensed to the </w:t>
      </w:r>
      <w:r>
        <w:rPr>
          <w:i/>
          <w:iCs/>
          <w:color w:val="000000"/>
          <w:sz w:val="21"/>
          <w:szCs w:val="21"/>
        </w:rPr>
        <w:t>Service Provider</w:t>
      </w:r>
      <w:r>
        <w:rPr>
          <w:color w:val="000000"/>
          <w:sz w:val="21"/>
          <w:szCs w:val="21"/>
        </w:rPr>
        <w:t xml:space="preserve"> and which are or have been developed independently of the Contract (whether prior to the Contract Date or otherwise);</w:t>
      </w:r>
    </w:p>
    <w:p w14:paraId="08F8E80F"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Service Provider Existing IPR Licence</w:t>
      </w:r>
      <w:r>
        <w:rPr>
          <w:color w:val="000000"/>
          <w:sz w:val="21"/>
          <w:szCs w:val="21"/>
        </w:rPr>
        <w:t xml:space="preserve">: a licence to be offered by the </w:t>
      </w:r>
      <w:r>
        <w:rPr>
          <w:i/>
          <w:iCs/>
          <w:color w:val="000000"/>
          <w:sz w:val="21"/>
          <w:szCs w:val="21"/>
        </w:rPr>
        <w:t>Service Provider</w:t>
      </w:r>
      <w:r>
        <w:rPr>
          <w:color w:val="000000"/>
          <w:sz w:val="21"/>
          <w:szCs w:val="21"/>
        </w:rPr>
        <w:t xml:space="preserve"> to the Service Provider Existing IPR as set out in</w:t>
      </w:r>
      <w:r>
        <w:rPr>
          <w:color w:val="000000"/>
          <w:sz w:val="21"/>
          <w:szCs w:val="21"/>
        </w:rPr>
        <w:t xml:space="preserve"> this schedule;</w:t>
      </w:r>
    </w:p>
    <w:p w14:paraId="4FEB481D"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Service Provider New and Existing IPR Licence</w:t>
      </w:r>
      <w:r>
        <w:rPr>
          <w:color w:val="000000"/>
          <w:sz w:val="21"/>
          <w:szCs w:val="21"/>
        </w:rPr>
        <w:t xml:space="preserve">: a licence to be offered by the </w:t>
      </w:r>
      <w:r>
        <w:rPr>
          <w:i/>
          <w:iCs/>
          <w:color w:val="000000"/>
          <w:sz w:val="21"/>
          <w:szCs w:val="21"/>
        </w:rPr>
        <w:t>Service Provider</w:t>
      </w:r>
      <w:r>
        <w:rPr>
          <w:color w:val="000000"/>
          <w:sz w:val="21"/>
          <w:szCs w:val="21"/>
        </w:rPr>
        <w:t xml:space="preserve"> to the NEW IPR and Service Provider Existing IPR as set out in this schedule, but excluding any </w:t>
      </w:r>
      <w:r>
        <w:rPr>
          <w:i/>
          <w:iCs/>
          <w:color w:val="000000"/>
          <w:sz w:val="21"/>
          <w:szCs w:val="21"/>
        </w:rPr>
        <w:t>Client</w:t>
      </w:r>
      <w:r>
        <w:rPr>
          <w:color w:val="000000"/>
          <w:sz w:val="21"/>
          <w:szCs w:val="21"/>
        </w:rPr>
        <w:t xml:space="preserve"> Software;</w:t>
      </w:r>
    </w:p>
    <w:p w14:paraId="103A5103"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Service Provider System</w:t>
      </w:r>
      <w:r>
        <w:rPr>
          <w:color w:val="000000"/>
          <w:sz w:val="21"/>
          <w:szCs w:val="21"/>
        </w:rPr>
        <w:t>: the inf</w:t>
      </w:r>
      <w:r>
        <w:rPr>
          <w:color w:val="000000"/>
          <w:sz w:val="21"/>
          <w:szCs w:val="21"/>
        </w:rPr>
        <w:t xml:space="preserve">ormation and communications technology system used by the </w:t>
      </w:r>
      <w:r>
        <w:rPr>
          <w:i/>
          <w:iCs/>
          <w:color w:val="000000"/>
          <w:sz w:val="21"/>
          <w:szCs w:val="21"/>
        </w:rPr>
        <w:t>Service Provider</w:t>
      </w:r>
      <w:r>
        <w:rPr>
          <w:color w:val="000000"/>
          <w:sz w:val="21"/>
          <w:szCs w:val="21"/>
        </w:rPr>
        <w:t xml:space="preserve"> or any subcontractor in supplying the </w:t>
      </w:r>
      <w:r>
        <w:rPr>
          <w:i/>
          <w:iCs/>
          <w:color w:val="000000"/>
          <w:sz w:val="21"/>
          <w:szCs w:val="21"/>
        </w:rPr>
        <w:t>services</w:t>
      </w:r>
      <w:r>
        <w:rPr>
          <w:color w:val="000000"/>
          <w:sz w:val="21"/>
          <w:szCs w:val="21"/>
        </w:rPr>
        <w:t>, including the COTS Software, the Service Provider Equipment, configuration and management utilities, calibration and testing tools an</w:t>
      </w:r>
      <w:r>
        <w:rPr>
          <w:color w:val="000000"/>
          <w:sz w:val="21"/>
          <w:szCs w:val="21"/>
        </w:rPr>
        <w:t xml:space="preserve">d related cabling (but excluding the </w:t>
      </w:r>
      <w:r>
        <w:rPr>
          <w:i/>
          <w:iCs/>
          <w:color w:val="000000"/>
          <w:sz w:val="21"/>
          <w:szCs w:val="21"/>
        </w:rPr>
        <w:t>Client</w:t>
      </w:r>
      <w:r>
        <w:rPr>
          <w:color w:val="000000"/>
          <w:sz w:val="21"/>
          <w:szCs w:val="21"/>
        </w:rPr>
        <w:t xml:space="preserve"> System);</w:t>
      </w:r>
    </w:p>
    <w:p w14:paraId="284296B7"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Source Code</w:t>
      </w:r>
      <w:r>
        <w:rPr>
          <w:color w:val="000000"/>
          <w:sz w:val="21"/>
          <w:szCs w:val="21"/>
        </w:rPr>
        <w:t>: computer programmes and/or data in eye-readable form and in such form that it can be compiled or interpreted into equivalent binary code together with all related design comments, flow chart</w:t>
      </w:r>
      <w:r>
        <w:rPr>
          <w:color w:val="000000"/>
          <w:sz w:val="21"/>
          <w:szCs w:val="21"/>
        </w:rPr>
        <w:t>s, technical information and documentation necessary for the use, reproduction, maintenance, modification and enhancement of such software;</w:t>
      </w:r>
    </w:p>
    <w:p w14:paraId="1D9CADEB"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Specially Written Software</w:t>
      </w:r>
      <w:r>
        <w:rPr>
          <w:color w:val="000000"/>
          <w:sz w:val="21"/>
          <w:szCs w:val="21"/>
        </w:rPr>
        <w:t xml:space="preserve">: any software (including database software linking instructions, test scripts, compilation instructions and test instructions) created by the </w:t>
      </w:r>
      <w:r>
        <w:rPr>
          <w:i/>
          <w:iCs/>
          <w:color w:val="000000"/>
          <w:sz w:val="21"/>
          <w:szCs w:val="21"/>
        </w:rPr>
        <w:t>Service Provider</w:t>
      </w:r>
      <w:r>
        <w:rPr>
          <w:color w:val="000000"/>
          <w:sz w:val="21"/>
          <w:szCs w:val="21"/>
        </w:rPr>
        <w:t xml:space="preserve"> (or by a Subcontractor or other third party on behalf of the </w:t>
      </w:r>
      <w:r>
        <w:rPr>
          <w:i/>
          <w:iCs/>
          <w:color w:val="000000"/>
          <w:sz w:val="21"/>
          <w:szCs w:val="21"/>
        </w:rPr>
        <w:t>Service Provider</w:t>
      </w:r>
      <w:r>
        <w:rPr>
          <w:color w:val="000000"/>
          <w:sz w:val="21"/>
          <w:szCs w:val="21"/>
        </w:rPr>
        <w:t xml:space="preserve">) specifically for </w:t>
      </w:r>
      <w:r>
        <w:rPr>
          <w:color w:val="000000"/>
          <w:sz w:val="21"/>
          <w:szCs w:val="21"/>
        </w:rPr>
        <w:t>the purposes of the Contract, including any modifications or enhancements to COTS Software. For the avoidance of doubt Specially Written Software does not constitute NEW IPR;</w:t>
      </w:r>
    </w:p>
    <w:p w14:paraId="1EC8D622"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Third Party IPR</w:t>
      </w:r>
      <w:r>
        <w:rPr>
          <w:color w:val="000000"/>
          <w:sz w:val="21"/>
          <w:szCs w:val="21"/>
        </w:rPr>
        <w:t xml:space="preserve">: Intellectual Property Rights owned by a third party which is or </w:t>
      </w:r>
      <w:r>
        <w:rPr>
          <w:color w:val="000000"/>
          <w:sz w:val="21"/>
          <w:szCs w:val="21"/>
        </w:rPr>
        <w:t xml:space="preserve">will be used by the </w:t>
      </w:r>
      <w:r>
        <w:rPr>
          <w:i/>
          <w:iCs/>
          <w:color w:val="000000"/>
          <w:sz w:val="21"/>
          <w:szCs w:val="21"/>
        </w:rPr>
        <w:t>Service Provider</w:t>
      </w:r>
      <w:r>
        <w:rPr>
          <w:color w:val="000000"/>
          <w:sz w:val="21"/>
          <w:szCs w:val="21"/>
        </w:rPr>
        <w:t xml:space="preserve"> for the purpose of providing the </w:t>
      </w:r>
      <w:r>
        <w:rPr>
          <w:i/>
          <w:iCs/>
          <w:color w:val="000000"/>
          <w:sz w:val="21"/>
          <w:szCs w:val="21"/>
        </w:rPr>
        <w:t>services</w:t>
      </w:r>
      <w:r>
        <w:rPr>
          <w:color w:val="000000"/>
          <w:sz w:val="21"/>
          <w:szCs w:val="21"/>
        </w:rPr>
        <w:t>;</w:t>
      </w:r>
    </w:p>
    <w:p w14:paraId="19CB8DF3"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Third Party IPR Licence</w:t>
      </w:r>
      <w:r>
        <w:rPr>
          <w:color w:val="000000"/>
          <w:sz w:val="21"/>
          <w:szCs w:val="21"/>
        </w:rPr>
        <w:t>: a licence to be offered by the Service Provider to the Third Party IPR as set out in this Schedule;</w:t>
      </w:r>
    </w:p>
    <w:p w14:paraId="31117493" w14:textId="77777777" w:rsidR="007960A8" w:rsidRDefault="00A26397">
      <w:pPr>
        <w:widowControl/>
        <w:pBdr>
          <w:top w:val="nil"/>
          <w:left w:val="nil"/>
          <w:bottom w:val="nil"/>
          <w:right w:val="nil"/>
          <w:between w:val="nil"/>
        </w:pBdr>
        <w:spacing w:after="120" w:line="360" w:lineRule="auto"/>
        <w:jc w:val="both"/>
        <w:rPr>
          <w:color w:val="000000"/>
          <w:sz w:val="21"/>
          <w:szCs w:val="21"/>
        </w:rPr>
      </w:pPr>
      <w:r>
        <w:rPr>
          <w:b/>
          <w:bCs/>
          <w:color w:val="000000"/>
          <w:sz w:val="21"/>
          <w:szCs w:val="21"/>
        </w:rPr>
        <w:t>UK GDPR</w:t>
      </w:r>
      <w:r>
        <w:rPr>
          <w:color w:val="000000"/>
          <w:sz w:val="21"/>
          <w:szCs w:val="21"/>
        </w:rPr>
        <w:t>: the assimilated EU law version of the Gene</w:t>
      </w:r>
      <w:r>
        <w:rPr>
          <w:color w:val="000000"/>
          <w:sz w:val="21"/>
          <w:szCs w:val="21"/>
        </w:rPr>
        <w:t>ral Data Protection Regulation (Regulation (EU) 2016/679)</w:t>
      </w:r>
    </w:p>
    <w:p w14:paraId="05B20851"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19F5C7E5" w14:textId="77777777" w:rsidR="007960A8" w:rsidRDefault="00A26397">
      <w:pPr>
        <w:spacing w:after="240" w:line="276" w:lineRule="auto"/>
        <w:rPr>
          <w:b/>
          <w:bCs/>
          <w:i/>
          <w:iCs/>
        </w:rPr>
      </w:pPr>
      <w:r>
        <w:rPr>
          <w:b/>
          <w:bCs/>
          <w:i/>
          <w:iCs/>
          <w:highlight w:val="yellow"/>
        </w:rPr>
        <w:t>[Guidance: For IPR Option B1: Client owns all New IPR and Specially Written Software, with limited Service Provider rights to all New IPR and Specially Written Software in order to deliver this Contract, please include the following drafting:]</w:t>
      </w:r>
    </w:p>
    <w:p w14:paraId="05026613" w14:textId="77777777" w:rsidR="007960A8" w:rsidRDefault="00A26397">
      <w:pPr>
        <w:spacing w:after="240" w:line="276" w:lineRule="auto"/>
        <w:rPr>
          <w:sz w:val="28"/>
          <w:szCs w:val="28"/>
        </w:rPr>
      </w:pPr>
      <w:r>
        <w:rPr>
          <w:sz w:val="28"/>
          <w:szCs w:val="28"/>
        </w:rPr>
        <w:t>IPR Option B</w:t>
      </w:r>
      <w:r>
        <w:rPr>
          <w:sz w:val="28"/>
          <w:szCs w:val="28"/>
        </w:rPr>
        <w:t>1</w:t>
      </w:r>
    </w:p>
    <w:p w14:paraId="48129E20"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Intellectual Property Rights – General Provisions</w:t>
      </w:r>
    </w:p>
    <w:p w14:paraId="0D490672"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Each party keeps ownership of its own Existing IPR.</w:t>
      </w:r>
    </w:p>
    <w:p w14:paraId="45890E91"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the requirements of this Schedule, it must assign in writing the Intellectual Property Rights concerned to the other party on the other pa</w:t>
      </w:r>
      <w:r>
        <w:rPr>
          <w:color w:val="000000"/>
          <w:sz w:val="21"/>
          <w:szCs w:val="21"/>
        </w:rPr>
        <w:t>rty’s request (whenever made).</w:t>
      </w:r>
    </w:p>
    <w:p w14:paraId="3600B1A2"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trademarks, except as expressly granted elsewhere under the Contract or otherwise agreed in writing.</w:t>
      </w:r>
    </w:p>
    <w:p w14:paraId="53AB6F57"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Except as e</w:t>
      </w:r>
      <w:r>
        <w:rPr>
          <w:color w:val="000000"/>
          <w:sz w:val="21"/>
          <w:szCs w:val="21"/>
        </w:rPr>
        <w:t>xpressly granted elsewhere under the Contract, neither party acquires any right, title or interest in or to the IPR owned by the other party or any third party.</w:t>
      </w:r>
    </w:p>
    <w:p w14:paraId="72DB2E20"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including after the </w:t>
      </w:r>
      <w:r>
        <w:rPr>
          <w:i/>
          <w:iCs/>
          <w:color w:val="000000"/>
          <w:sz w:val="21"/>
          <w:szCs w:val="21"/>
        </w:rPr>
        <w:t>service period</w:t>
      </w:r>
      <w:r>
        <w:rPr>
          <w:color w:val="000000"/>
          <w:sz w:val="21"/>
          <w:szCs w:val="21"/>
        </w:rPr>
        <w:t>, that, in</w:t>
      </w:r>
      <w:r>
        <w:rPr>
          <w:color w:val="000000"/>
          <w:sz w:val="21"/>
          <w:szCs w:val="21"/>
        </w:rPr>
        <w:t xml:space="preserve"> respect of any </w:t>
      </w:r>
      <w:r>
        <w:rPr>
          <w:i/>
          <w:iCs/>
          <w:color w:val="000000"/>
          <w:sz w:val="21"/>
          <w:szCs w:val="21"/>
        </w:rPr>
        <w:t>services</w:t>
      </w:r>
      <w:r>
        <w:rPr>
          <w:color w:val="000000"/>
          <w:sz w:val="21"/>
          <w:szCs w:val="21"/>
        </w:rPr>
        <w:t xml:space="preserve">, the </w:t>
      </w:r>
      <w:r>
        <w:rPr>
          <w:i/>
          <w:iCs/>
          <w:color w:val="000000"/>
          <w:sz w:val="21"/>
          <w:szCs w:val="21"/>
        </w:rPr>
        <w:t>Client</w:t>
      </w:r>
      <w:r>
        <w:rPr>
          <w:color w:val="000000"/>
          <w:sz w:val="21"/>
          <w:szCs w:val="21"/>
        </w:rPr>
        <w:t xml:space="preserve"> has not received the licences to Service Provider Existing IPRs or Third Party IPRs required by Paragraphs 3 and 4, the </w:t>
      </w:r>
      <w:r>
        <w:rPr>
          <w:i/>
          <w:iCs/>
          <w:color w:val="000000"/>
          <w:sz w:val="21"/>
          <w:szCs w:val="21"/>
        </w:rPr>
        <w:t>service period</w:t>
      </w:r>
      <w:r>
        <w:rPr>
          <w:color w:val="000000"/>
          <w:sz w:val="21"/>
          <w:szCs w:val="21"/>
        </w:rPr>
        <w:t xml:space="preserve"> must, within 10 working days notify the </w:t>
      </w:r>
      <w:r>
        <w:rPr>
          <w:i/>
          <w:iCs/>
          <w:color w:val="000000"/>
          <w:sz w:val="21"/>
          <w:szCs w:val="21"/>
        </w:rPr>
        <w:t>Client</w:t>
      </w:r>
      <w:r>
        <w:rPr>
          <w:color w:val="000000"/>
          <w:sz w:val="21"/>
          <w:szCs w:val="21"/>
        </w:rPr>
        <w:t>:</w:t>
      </w:r>
    </w:p>
    <w:p w14:paraId="5D857371"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 specific Intellectual Property R</w:t>
      </w:r>
      <w:r>
        <w:rPr>
          <w:color w:val="000000"/>
          <w:sz w:val="21"/>
          <w:szCs w:val="21"/>
        </w:rPr>
        <w:t xml:space="preserve">ights the </w:t>
      </w:r>
      <w:r>
        <w:rPr>
          <w:i/>
          <w:iCs/>
          <w:color w:val="000000"/>
          <w:sz w:val="21"/>
          <w:szCs w:val="21"/>
        </w:rPr>
        <w:t>Client</w:t>
      </w:r>
      <w:r>
        <w:rPr>
          <w:color w:val="000000"/>
          <w:sz w:val="21"/>
          <w:szCs w:val="21"/>
        </w:rPr>
        <w:t xml:space="preserve"> has not received licences to; and</w:t>
      </w:r>
    </w:p>
    <w:p w14:paraId="63AA8C97"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20E07531"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For the avoidance of doubt</w:t>
      </w:r>
    </w:p>
    <w:p w14:paraId="5DFCA7B3"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except as provided for in Paragraphs 4.3.4.2(a) or 3.1.6.2 and 3.1.4, the expiry or termination of the Contract does not of itself terminate the licences granted to the </w:t>
      </w:r>
      <w:r>
        <w:rPr>
          <w:i/>
          <w:iCs/>
          <w:color w:val="000000"/>
          <w:sz w:val="21"/>
          <w:szCs w:val="21"/>
        </w:rPr>
        <w:t>Client</w:t>
      </w:r>
      <w:r>
        <w:rPr>
          <w:color w:val="000000"/>
          <w:sz w:val="21"/>
          <w:szCs w:val="21"/>
        </w:rPr>
        <w:t xml:space="preserve"> under Paragraphs 3 and 4. </w:t>
      </w:r>
    </w:p>
    <w:p w14:paraId="40BA6222"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Ownership and delivery of IPR created under the Contract</w:t>
      </w:r>
    </w:p>
    <w:p w14:paraId="49537F9A"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Any New IPR and Specially Written Software is owned by the </w:t>
      </w:r>
      <w:r>
        <w:rPr>
          <w:i/>
          <w:iCs/>
          <w:color w:val="000000"/>
          <w:sz w:val="21"/>
          <w:szCs w:val="21"/>
        </w:rPr>
        <w:t>Client</w:t>
      </w:r>
      <w:r>
        <w:rPr>
          <w:color w:val="000000"/>
          <w:sz w:val="21"/>
          <w:szCs w:val="21"/>
        </w:rPr>
        <w:t>, including:</w:t>
      </w:r>
    </w:p>
    <w:p w14:paraId="23531B34"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 Documentation, Source Code and the Object Code of the Specially Written Software and any software elements of the New</w:t>
      </w:r>
      <w:r>
        <w:rPr>
          <w:color w:val="000000"/>
          <w:sz w:val="21"/>
          <w:szCs w:val="21"/>
        </w:rPr>
        <w:t xml:space="preserve"> IPR; and</w:t>
      </w:r>
    </w:p>
    <w:p w14:paraId="46474EB7"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all build instructions, test instructions, test scripts, test data, operating instructions and other documents and tools necessary for maintaining and supporting the Specially Written Software and the New IPR,</w:t>
      </w:r>
    </w:p>
    <w:p w14:paraId="38A39E7E"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color w:val="000000"/>
          <w:sz w:val="21"/>
          <w:szCs w:val="21"/>
        </w:rPr>
        <w:t>(together, the Software Supporting Materials).</w:t>
      </w:r>
    </w:p>
    <w:p w14:paraId="780423B5"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deliver to the </w:t>
      </w:r>
      <w:r>
        <w:rPr>
          <w:i/>
          <w:iCs/>
          <w:color w:val="000000"/>
          <w:sz w:val="21"/>
          <w:szCs w:val="21"/>
        </w:rPr>
        <w:t>Client</w:t>
      </w:r>
      <w:r>
        <w:rPr>
          <w:color w:val="000000"/>
          <w:sz w:val="21"/>
          <w:szCs w:val="21"/>
        </w:rPr>
        <w:t>:</w:t>
      </w:r>
    </w:p>
    <w:p w14:paraId="51DAD21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 Specially Written Software; </w:t>
      </w:r>
    </w:p>
    <w:p w14:paraId="52BA6F3B"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any software elements of the New IPR;</w:t>
      </w:r>
    </w:p>
    <w:p w14:paraId="554A111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relevant Documentation; and</w:t>
      </w:r>
    </w:p>
    <w:p w14:paraId="157E4CFD"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all related Software Supporting Materials,</w:t>
      </w:r>
    </w:p>
    <w:p w14:paraId="295C5124"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within seven (7) days of:</w:t>
      </w:r>
    </w:p>
    <w:p w14:paraId="55A193A4"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initial release or deployment; and</w:t>
      </w:r>
    </w:p>
    <w:p w14:paraId="32A9D1F2"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each subsequent release or deployment of the Specially Written Software and any software elements of the New IPR.</w:t>
      </w:r>
    </w:p>
    <w:p w14:paraId="37E802D0"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delivers materials to the </w:t>
      </w:r>
      <w:r>
        <w:rPr>
          <w:i/>
          <w:iCs/>
          <w:color w:val="000000"/>
          <w:sz w:val="21"/>
          <w:szCs w:val="21"/>
        </w:rPr>
        <w:t>Client</w:t>
      </w:r>
      <w:r>
        <w:rPr>
          <w:color w:val="000000"/>
          <w:sz w:val="21"/>
          <w:szCs w:val="21"/>
        </w:rPr>
        <w:t xml:space="preserve"> under Paragraph 2.2, </w:t>
      </w:r>
      <w:r>
        <w:rPr>
          <w:color w:val="000000"/>
          <w:sz w:val="21"/>
          <w:szCs w:val="21"/>
        </w:rPr>
        <w:t xml:space="preserve">it must do so in a format specified by the </w:t>
      </w:r>
      <w:r>
        <w:rPr>
          <w:i/>
          <w:iCs/>
          <w:color w:val="000000"/>
          <w:sz w:val="21"/>
          <w:szCs w:val="21"/>
        </w:rPr>
        <w:t>Client</w:t>
      </w:r>
      <w:r>
        <w:rPr>
          <w:color w:val="000000"/>
          <w:sz w:val="21"/>
          <w:szCs w:val="21"/>
        </w:rPr>
        <w:t xml:space="preserve">. Where the </w:t>
      </w:r>
      <w:r>
        <w:rPr>
          <w:i/>
          <w:iCs/>
          <w:color w:val="000000"/>
          <w:sz w:val="21"/>
          <w:szCs w:val="21"/>
        </w:rPr>
        <w:t>Client</w:t>
      </w:r>
      <w:r>
        <w:rPr>
          <w:color w:val="000000"/>
          <w:sz w:val="21"/>
          <w:szCs w:val="21"/>
        </w:rPr>
        <w:t xml:space="preserve"> specifies the material is to be delivered on media, the </w:t>
      </w:r>
      <w:r>
        <w:rPr>
          <w:i/>
          <w:iCs/>
          <w:color w:val="000000"/>
          <w:sz w:val="21"/>
          <w:szCs w:val="21"/>
        </w:rPr>
        <w:t>Client</w:t>
      </w:r>
      <w:r>
        <w:rPr>
          <w:color w:val="000000"/>
          <w:sz w:val="21"/>
          <w:szCs w:val="21"/>
        </w:rPr>
        <w:t xml:space="preserve"> becomes the owner of the media containing the material on delivery.</w:t>
      </w:r>
    </w:p>
    <w:p w14:paraId="5AC0AD7E"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Specially Written Software and New IPR in the table at Annex 1 to this Schedule and keep this updated throughout the s</w:t>
      </w:r>
      <w:r>
        <w:rPr>
          <w:i/>
          <w:iCs/>
          <w:color w:val="000000"/>
          <w:sz w:val="21"/>
          <w:szCs w:val="21"/>
        </w:rPr>
        <w:t>ervice period</w:t>
      </w:r>
      <w:r>
        <w:rPr>
          <w:color w:val="000000"/>
          <w:sz w:val="21"/>
          <w:szCs w:val="21"/>
        </w:rPr>
        <w:t>.</w:t>
      </w:r>
    </w:p>
    <w:p w14:paraId="2CCCA300"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Use of Service Provider Existing IPRs and Third Party IPRs</w:t>
      </w:r>
    </w:p>
    <w:p w14:paraId="419603E0"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w:t>
      </w:r>
    </w:p>
    <w:p w14:paraId="331F9027"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embed Service Provider Existing IPRs or Third Party IPRs in the </w:t>
      </w:r>
      <w:r>
        <w:rPr>
          <w:i/>
          <w:iCs/>
          <w:color w:val="000000"/>
          <w:sz w:val="21"/>
          <w:szCs w:val="21"/>
        </w:rPr>
        <w:t>services</w:t>
      </w:r>
      <w:r>
        <w:rPr>
          <w:color w:val="000000"/>
          <w:sz w:val="21"/>
          <w:szCs w:val="21"/>
        </w:rPr>
        <w:t>;</w:t>
      </w:r>
    </w:p>
    <w:p w14:paraId="5CE9F199"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w:t>
      </w:r>
      <w:r>
        <w:rPr>
          <w:color w:val="000000"/>
          <w:sz w:val="21"/>
          <w:szCs w:val="21"/>
        </w:rPr>
        <w:t xml:space="preserve"> that requires Service Provider Existing IPRs or Third Party IPRs to use</w:t>
      </w:r>
      <w:r>
        <w:rPr>
          <w:color w:val="000000"/>
          <w:sz w:val="21"/>
          <w:szCs w:val="21"/>
        </w:rPr>
        <w:t xml:space="preserve"> that </w:t>
      </w:r>
      <w:r>
        <w:rPr>
          <w:i/>
          <w:iCs/>
          <w:color w:val="000000"/>
          <w:sz w:val="21"/>
          <w:szCs w:val="21"/>
        </w:rPr>
        <w:t>service</w:t>
      </w:r>
      <w:r>
        <w:rPr>
          <w:color w:val="000000"/>
          <w:sz w:val="21"/>
          <w:szCs w:val="21"/>
        </w:rPr>
        <w:t xml:space="preserve"> for any of the purposes set out in Paragraph 4.4; or</w:t>
      </w:r>
    </w:p>
    <w:p w14:paraId="15E654B9"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w:t>
      </w:r>
      <w:r>
        <w:rPr>
          <w:color w:val="000000"/>
          <w:sz w:val="21"/>
          <w:szCs w:val="21"/>
        </w:rPr>
        <w:t xml:space="preserve"> that is a customisation or adaptation of those Service Provider Existing IPRs or Third Party IPRs,</w:t>
      </w:r>
    </w:p>
    <w:p w14:paraId="404D0464"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unless one or more of the following conditions apply:</w:t>
      </w:r>
    </w:p>
    <w:p w14:paraId="65AE393B"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for any Service Provider Existing IPRs or Third Party IPRs that are not COTS Software, the </w:t>
      </w:r>
      <w:r>
        <w:rPr>
          <w:i/>
          <w:iCs/>
          <w:color w:val="000000"/>
          <w:sz w:val="21"/>
          <w:szCs w:val="21"/>
        </w:rPr>
        <w:t>Client</w:t>
      </w:r>
      <w:r>
        <w:rPr>
          <w:color w:val="000000"/>
          <w:sz w:val="21"/>
          <w:szCs w:val="21"/>
        </w:rPr>
        <w:t xml:space="preserve"> provides Approval after receiving full details of the Service Provider Existing IPRs or Third Party IPRs</w:t>
      </w:r>
      <w:r>
        <w:rPr>
          <w:color w:val="000000"/>
          <w:sz w:val="21"/>
          <w:szCs w:val="21"/>
        </w:rPr>
        <w:t xml:space="preserve"> and their relationship to the </w:t>
      </w:r>
      <w:r>
        <w:rPr>
          <w:i/>
          <w:iCs/>
          <w:color w:val="000000"/>
          <w:sz w:val="21"/>
          <w:szCs w:val="21"/>
        </w:rPr>
        <w:t>services</w:t>
      </w:r>
      <w:r>
        <w:rPr>
          <w:color w:val="000000"/>
          <w:sz w:val="21"/>
          <w:szCs w:val="21"/>
        </w:rPr>
        <w:t xml:space="preserve">; </w:t>
      </w:r>
    </w:p>
    <w:p w14:paraId="67D68285"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in the case of Service Provider Existing IPRs or Third Party IPRs that are, in each case, COTS Software all the following conditions are met:</w:t>
      </w:r>
    </w:p>
    <w:p w14:paraId="2B5A0C59"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the applicable terms f</w:t>
      </w:r>
      <w:r>
        <w:rPr>
          <w:color w:val="000000"/>
          <w:sz w:val="21"/>
          <w:szCs w:val="21"/>
        </w:rPr>
        <w:t>or the Service Provider Existing IPRs or Third Party IPRs that are, in each case, COTS Software (which must be at a price and on terms no less favourable than those standard commercial terms on which such software is usually made commercially available); a</w:t>
      </w:r>
      <w:r>
        <w:rPr>
          <w:color w:val="000000"/>
          <w:sz w:val="21"/>
          <w:szCs w:val="21"/>
        </w:rPr>
        <w:t>nd</w:t>
      </w:r>
    </w:p>
    <w:p w14:paraId="3898789E"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(in its absolute discretion) rejected those licence terms within ten (10) working days of the date on which they were provided to the </w:t>
      </w:r>
      <w:r>
        <w:rPr>
          <w:i/>
          <w:iCs/>
          <w:color w:val="000000"/>
          <w:sz w:val="21"/>
          <w:szCs w:val="21"/>
        </w:rPr>
        <w:t>Client</w:t>
      </w:r>
      <w:r>
        <w:rPr>
          <w:color w:val="000000"/>
          <w:sz w:val="21"/>
          <w:szCs w:val="21"/>
        </w:rPr>
        <w:t>; and/or</w:t>
      </w:r>
    </w:p>
    <w:p w14:paraId="4C580769"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in the case of Third Party IPRs that are not COTS Software, the </w:t>
      </w:r>
      <w:r>
        <w:rPr>
          <w:i/>
          <w:iCs/>
          <w:color w:val="000000"/>
          <w:sz w:val="21"/>
          <w:szCs w:val="21"/>
        </w:rPr>
        <w:t>Client</w:t>
      </w:r>
      <w:r>
        <w:rPr>
          <w:color w:val="000000"/>
          <w:sz w:val="21"/>
          <w:szCs w:val="21"/>
        </w:rPr>
        <w:t xml:space="preserve"> provides approval under Paragraph 3.1.4 and one of the following conditions is met:</w:t>
      </w:r>
    </w:p>
    <w:p w14:paraId="682121F5"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4.3, as if:</w:t>
      </w:r>
    </w:p>
    <w:p w14:paraId="5A209389"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the term Third Party IPRs were substituted for the term Service Provider Existing IPR; and</w:t>
      </w:r>
    </w:p>
    <w:p w14:paraId="2EC8DF50"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6B2BD328"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in each place they occur; or</w:t>
      </w:r>
    </w:p>
    <w:p w14:paraId="0B50903C"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w:t>
      </w:r>
      <w:r>
        <w:rPr>
          <w:color w:val="000000"/>
          <w:sz w:val="21"/>
          <w:szCs w:val="21"/>
        </w:rPr>
        <w:t xml:space="preserve">eavours, obtain for the </w:t>
      </w:r>
      <w:r>
        <w:rPr>
          <w:i/>
          <w:iCs/>
          <w:color w:val="000000"/>
          <w:sz w:val="21"/>
          <w:szCs w:val="21"/>
        </w:rPr>
        <w:t>Client</w:t>
      </w:r>
      <w:r>
        <w:rPr>
          <w:color w:val="000000"/>
          <w:sz w:val="21"/>
          <w:szCs w:val="21"/>
        </w:rPr>
        <w:t xml:space="preserve"> a Third Party IPR licence as set out in Paragraph 3.1.6.1, all the following conditions are met:</w:t>
      </w:r>
    </w:p>
    <w:p w14:paraId="2CB9F416"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74D5C2DC"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47A16E14"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1708CE5C"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Approves the licence terms of one of those</w:t>
      </w:r>
      <w:r>
        <w:rPr>
          <w:color w:val="000000"/>
          <w:sz w:val="21"/>
          <w:szCs w:val="21"/>
        </w:rPr>
        <w:t xml:space="preserve"> third parties; and</w:t>
      </w:r>
    </w:p>
    <w:p w14:paraId="47E151C6"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the owner and authorised licensor of the Third Party IPR has granted a direct licence of the Third Party IPR to the </w:t>
      </w:r>
      <w:r>
        <w:rPr>
          <w:i/>
          <w:iCs/>
          <w:color w:val="000000"/>
          <w:sz w:val="21"/>
          <w:szCs w:val="21"/>
        </w:rPr>
        <w:t>Client</w:t>
      </w:r>
      <w:r>
        <w:rPr>
          <w:color w:val="000000"/>
          <w:sz w:val="21"/>
          <w:szCs w:val="21"/>
        </w:rPr>
        <w:t xml:space="preserve"> on those terms.</w:t>
      </w:r>
    </w:p>
    <w:p w14:paraId="2A0AF52B"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rejected Service Provider Existing IPRs or Third Party IPRs that are, in</w:t>
      </w:r>
      <w:r>
        <w:rPr>
          <w:color w:val="000000"/>
          <w:sz w:val="21"/>
          <w:szCs w:val="21"/>
        </w:rPr>
        <w:t xml:space="preserve"> each case, COTS Software, the </w:t>
      </w:r>
      <w:r>
        <w:rPr>
          <w:i/>
          <w:iCs/>
          <w:color w:val="000000"/>
          <w:sz w:val="21"/>
          <w:szCs w:val="21"/>
        </w:rPr>
        <w:t>Service Provider</w:t>
      </w:r>
      <w:r>
        <w:rPr>
          <w:color w:val="000000"/>
          <w:sz w:val="21"/>
          <w:szCs w:val="21"/>
        </w:rPr>
        <w:t xml:space="preserve"> must notify the </w:t>
      </w:r>
      <w:r>
        <w:rPr>
          <w:i/>
          <w:iCs/>
          <w:color w:val="000000"/>
          <w:sz w:val="21"/>
          <w:szCs w:val="21"/>
        </w:rPr>
        <w:t>Client</w:t>
      </w:r>
      <w:r>
        <w:rPr>
          <w:color w:val="000000"/>
          <w:sz w:val="21"/>
          <w:szCs w:val="21"/>
        </w:rPr>
        <w:t xml:space="preserve"> within five (5) Working Days of becoming aware that any of that COTS Software will in the next thirty-six (36) months no longer be:</w:t>
      </w:r>
    </w:p>
    <w:p w14:paraId="016C3D1B"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maintained or supported by the developer; or</w:t>
      </w:r>
    </w:p>
    <w:p w14:paraId="3070D70D"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made commercially available.</w:t>
      </w:r>
    </w:p>
    <w:p w14:paraId="73F6E7EF"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Licences in respect of Service Provider Existing IPR that is not COTS Software</w:t>
      </w:r>
    </w:p>
    <w:p w14:paraId="622CBBD6"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Subject to the </w:t>
      </w:r>
      <w:r>
        <w:rPr>
          <w:i/>
          <w:iCs/>
          <w:color w:val="000000"/>
          <w:sz w:val="21"/>
          <w:szCs w:val="21"/>
        </w:rPr>
        <w:t>Client</w:t>
      </w:r>
      <w:r>
        <w:rPr>
          <w:color w:val="000000"/>
          <w:sz w:val="21"/>
          <w:szCs w:val="21"/>
        </w:rPr>
        <w:t xml:space="preserve"> approving the use of Service Provider Existing IPR under Paragraph 3, the </w:t>
      </w:r>
      <w:r>
        <w:rPr>
          <w:i/>
          <w:iCs/>
          <w:color w:val="000000"/>
          <w:sz w:val="21"/>
          <w:szCs w:val="21"/>
        </w:rPr>
        <w:t>Service</w:t>
      </w:r>
      <w:r>
        <w:rPr>
          <w:color w:val="000000"/>
          <w:sz w:val="21"/>
          <w:szCs w:val="21"/>
        </w:rPr>
        <w:t xml:space="preserve"> </w:t>
      </w:r>
      <w:r>
        <w:rPr>
          <w:i/>
          <w:iCs/>
          <w:color w:val="000000"/>
          <w:sz w:val="21"/>
          <w:szCs w:val="21"/>
        </w:rPr>
        <w:t>Provider</w:t>
      </w:r>
      <w:r>
        <w:rPr>
          <w:color w:val="000000"/>
          <w:sz w:val="21"/>
          <w:szCs w:val="21"/>
        </w:rPr>
        <w:t xml:space="preserve"> grants the </w:t>
      </w:r>
      <w:r>
        <w:rPr>
          <w:i/>
          <w:iCs/>
          <w:color w:val="000000"/>
          <w:sz w:val="21"/>
          <w:szCs w:val="21"/>
        </w:rPr>
        <w:t>Client</w:t>
      </w:r>
      <w:r>
        <w:rPr>
          <w:color w:val="000000"/>
          <w:sz w:val="21"/>
          <w:szCs w:val="21"/>
        </w:rPr>
        <w:t xml:space="preserve"> a Service Provider Existing IPR Licence on the terms set out in Paragraph 4.3 in respect of each </w:t>
      </w:r>
      <w:r>
        <w:rPr>
          <w:i/>
          <w:iCs/>
          <w:color w:val="000000"/>
          <w:sz w:val="21"/>
          <w:szCs w:val="21"/>
        </w:rPr>
        <w:t>service</w:t>
      </w:r>
      <w:r>
        <w:rPr>
          <w:color w:val="000000"/>
          <w:sz w:val="21"/>
          <w:szCs w:val="21"/>
        </w:rPr>
        <w:t xml:space="preserve"> where:</w:t>
      </w:r>
    </w:p>
    <w:p w14:paraId="692EFAA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 Service Provider Existing IPR </w:t>
      </w:r>
      <w:r>
        <w:rPr>
          <w:color w:val="000000"/>
          <w:sz w:val="21"/>
          <w:szCs w:val="21"/>
        </w:rPr>
        <w:t xml:space="preserve">that is not COTS Software is embedded in the </w:t>
      </w:r>
      <w:r>
        <w:rPr>
          <w:i/>
          <w:iCs/>
          <w:color w:val="000000"/>
          <w:sz w:val="21"/>
          <w:szCs w:val="21"/>
        </w:rPr>
        <w:t>services</w:t>
      </w:r>
      <w:r>
        <w:rPr>
          <w:color w:val="000000"/>
          <w:sz w:val="21"/>
          <w:szCs w:val="21"/>
        </w:rPr>
        <w:t>;</w:t>
      </w:r>
    </w:p>
    <w:p w14:paraId="4A52A073"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 Service Provider Existing IPR that is not COTS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any of the purposes set out in Paragraph 4.4; or</w:t>
      </w:r>
    </w:p>
    <w:p w14:paraId="5EE23610"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are a customisation or adap</w:t>
      </w:r>
      <w:r>
        <w:rPr>
          <w:color w:val="000000"/>
          <w:sz w:val="21"/>
          <w:szCs w:val="21"/>
        </w:rPr>
        <w:t>tation of Service Provider Existing IPR that is not COTS Software.</w:t>
      </w:r>
    </w:p>
    <w:p w14:paraId="2740FF4C"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The categories of Service Provider Existing IPR that is not COTS Software set out in Paragraph 4.1 are mutually exclusive.</w:t>
      </w:r>
    </w:p>
    <w:p w14:paraId="038EC747"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Service Provider Existing IPR Licence granted by the </w:t>
      </w:r>
      <w:r>
        <w:rPr>
          <w:i/>
          <w:iCs/>
          <w:color w:val="000000"/>
          <w:sz w:val="21"/>
          <w:szCs w:val="21"/>
        </w:rPr>
        <w:t>Service P</w:t>
      </w:r>
      <w:r>
        <w:rPr>
          <w:i/>
          <w:iCs/>
          <w:color w:val="000000"/>
          <w:sz w:val="21"/>
          <w:szCs w:val="21"/>
        </w:rPr>
        <w:t>rovider</w:t>
      </w:r>
      <w:r>
        <w:rPr>
          <w:color w:val="000000"/>
          <w:sz w:val="21"/>
          <w:szCs w:val="21"/>
        </w:rPr>
        <w:t xml:space="preserve"> to the </w:t>
      </w:r>
      <w:r>
        <w:rPr>
          <w:i/>
          <w:iCs/>
          <w:color w:val="000000"/>
          <w:sz w:val="21"/>
          <w:szCs w:val="21"/>
        </w:rPr>
        <w:t>Client</w:t>
      </w:r>
      <w:r>
        <w:rPr>
          <w:color w:val="000000"/>
          <w:sz w:val="21"/>
          <w:szCs w:val="21"/>
        </w:rPr>
        <w:t xml:space="preserve"> is a non-exclusive, perpetual, royalty-free, irrevocable, transferable, sub-licensable, worldwide licence that:</w:t>
      </w:r>
    </w:p>
    <w:p w14:paraId="177F98E8"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in the case of Service Provider Existing IPR that is not COTS Software embedded in a </w:t>
      </w:r>
      <w:r>
        <w:rPr>
          <w:i/>
          <w:iCs/>
          <w:color w:val="000000"/>
          <w:sz w:val="21"/>
          <w:szCs w:val="21"/>
        </w:rPr>
        <w:t>service</w:t>
      </w:r>
      <w:r>
        <w:rPr>
          <w:color w:val="000000"/>
          <w:sz w:val="21"/>
          <w:szCs w:val="21"/>
        </w:rPr>
        <w:t>:</w:t>
      </w:r>
    </w:p>
    <w:p w14:paraId="1519B2E8"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has no restriction on the identity of any transferee or sub-licensee;</w:t>
      </w:r>
    </w:p>
    <w:p w14:paraId="15F131B8"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is sub-licensable for any of the purposes set out in Paragraph 4.4; and</w:t>
      </w:r>
    </w:p>
    <w:p w14:paraId="610D259A"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copy and adapt the Service Provider Existing IPR that</w:t>
      </w:r>
      <w:r>
        <w:rPr>
          <w:color w:val="000000"/>
          <w:sz w:val="21"/>
          <w:szCs w:val="21"/>
        </w:rPr>
        <w:t xml:space="preserve"> is not COTS Software for any of the purposes set out in Paragraph 4.4; and</w:t>
      </w:r>
    </w:p>
    <w:p w14:paraId="506862E8"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in the case of Service Provider Exiting IPR that is not COTS Software that is necessary for the </w:t>
      </w:r>
      <w:r>
        <w:rPr>
          <w:i/>
          <w:iCs/>
          <w:color w:val="000000"/>
          <w:sz w:val="21"/>
          <w:szCs w:val="21"/>
        </w:rPr>
        <w:t>Client</w:t>
      </w:r>
      <w:r>
        <w:rPr>
          <w:color w:val="000000"/>
          <w:sz w:val="21"/>
          <w:szCs w:val="21"/>
        </w:rPr>
        <w:t xml:space="preserve"> to use the services for their intended purpose or has been customised or adap</w:t>
      </w:r>
      <w:r>
        <w:rPr>
          <w:color w:val="000000"/>
          <w:sz w:val="21"/>
          <w:szCs w:val="21"/>
        </w:rPr>
        <w:t xml:space="preserve">ted to provide the </w:t>
      </w:r>
      <w:r>
        <w:rPr>
          <w:i/>
          <w:iCs/>
          <w:color w:val="000000"/>
          <w:sz w:val="21"/>
          <w:szCs w:val="21"/>
        </w:rPr>
        <w:t>services</w:t>
      </w:r>
      <w:r>
        <w:rPr>
          <w:color w:val="000000"/>
          <w:sz w:val="21"/>
          <w:szCs w:val="21"/>
        </w:rPr>
        <w:t>:</w:t>
      </w:r>
    </w:p>
    <w:p w14:paraId="4FA72F94"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4allows the </w:t>
      </w:r>
      <w:r>
        <w:rPr>
          <w:i/>
          <w:iCs/>
          <w:color w:val="000000"/>
          <w:sz w:val="21"/>
          <w:szCs w:val="21"/>
        </w:rPr>
        <w:t>Client</w:t>
      </w:r>
      <w:r>
        <w:rPr>
          <w:color w:val="000000"/>
          <w:sz w:val="21"/>
          <w:szCs w:val="21"/>
        </w:rPr>
        <w:t xml:space="preserve"> and any transferee or sublicensee to use and copy, but not adapt, disassemble or reverse engineer the relevant Service Provider Existing IPRs that is not COTS Software for any of the purposes set out in Paragraph 4.4;</w:t>
      </w:r>
    </w:p>
    <w:p w14:paraId="5BD91DAD"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is transferrable to only:</w:t>
      </w:r>
    </w:p>
    <w:p w14:paraId="335458AE"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any body (i</w:t>
      </w:r>
      <w:r>
        <w:rPr>
          <w:color w:val="000000"/>
          <w:sz w:val="21"/>
          <w:szCs w:val="21"/>
        </w:rPr>
        <w:t xml:space="preserve">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45DAD517"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w:t>
      </w:r>
      <w:r>
        <w:rPr>
          <w:color w:val="000000"/>
          <w:sz w:val="21"/>
          <w:szCs w:val="21"/>
        </w:rPr>
        <w:t>ee either:</w:t>
      </w:r>
    </w:p>
    <w:p w14:paraId="772DB0F0" w14:textId="77777777" w:rsidR="007960A8" w:rsidRDefault="00A26397">
      <w:pPr>
        <w:widowControl/>
        <w:numPr>
          <w:ilvl w:val="4"/>
          <w:numId w:val="124"/>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2EE9E25F"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5D9E21AA"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a competitor of the </w:t>
      </w:r>
      <w:r>
        <w:rPr>
          <w:i/>
          <w:iCs/>
          <w:color w:val="000000"/>
          <w:sz w:val="21"/>
          <w:szCs w:val="21"/>
        </w:rPr>
        <w:t>Service Provider</w:t>
      </w:r>
      <w:r>
        <w:rPr>
          <w:color w:val="000000"/>
          <w:sz w:val="21"/>
          <w:szCs w:val="21"/>
        </w:rPr>
        <w:t>) where the Replacement Service Provider either:</w:t>
      </w:r>
    </w:p>
    <w:p w14:paraId="167E57B8"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07F7E2F9"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w:t>
      </w:r>
    </w:p>
    <w:p w14:paraId="4BCB159E"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includes a perpetual, royalty-free, non-exclusi</w:t>
      </w:r>
      <w:r>
        <w:rPr>
          <w:color w:val="000000"/>
          <w:sz w:val="21"/>
          <w:szCs w:val="21"/>
        </w:rPr>
        <w:t xml:space="preserve">ve licence to use, copy and adapt any Know-How, trade secrets or Confidential Information of the </w:t>
      </w:r>
      <w:r>
        <w:rPr>
          <w:i/>
          <w:iCs/>
          <w:color w:val="000000"/>
          <w:sz w:val="21"/>
          <w:szCs w:val="21"/>
        </w:rPr>
        <w:t>Service Provider</w:t>
      </w:r>
      <w:r>
        <w:rPr>
          <w:color w:val="000000"/>
          <w:sz w:val="21"/>
          <w:szCs w:val="21"/>
        </w:rPr>
        <w:t xml:space="preserve"> contained within any </w:t>
      </w:r>
      <w:r>
        <w:rPr>
          <w:i/>
          <w:iCs/>
          <w:color w:val="000000"/>
          <w:sz w:val="21"/>
          <w:szCs w:val="21"/>
        </w:rPr>
        <w:t>services</w:t>
      </w:r>
      <w:r>
        <w:rPr>
          <w:color w:val="000000"/>
          <w:sz w:val="21"/>
          <w:szCs w:val="21"/>
        </w:rPr>
        <w:t>; and</w:t>
      </w:r>
    </w:p>
    <w:p w14:paraId="490919DA"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is subject to the restrictions that:</w:t>
      </w:r>
    </w:p>
    <w:p w14:paraId="7D3196A9"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no sub-licence granted to the Service Provider Existing IPR that is no</w:t>
      </w:r>
      <w:r>
        <w:rPr>
          <w:color w:val="000000"/>
          <w:sz w:val="21"/>
          <w:szCs w:val="21"/>
        </w:rPr>
        <w:t xml:space="preserve">t COTS Software shall purport to provide the sub-licensee with any wider rights than those granted to the </w:t>
      </w:r>
      <w:r>
        <w:rPr>
          <w:i/>
          <w:iCs/>
          <w:color w:val="000000"/>
          <w:sz w:val="21"/>
          <w:szCs w:val="21"/>
        </w:rPr>
        <w:t>Client</w:t>
      </w:r>
      <w:r>
        <w:rPr>
          <w:color w:val="000000"/>
          <w:sz w:val="21"/>
          <w:szCs w:val="21"/>
        </w:rPr>
        <w:t xml:space="preserve"> under this Paragraph; and</w:t>
      </w:r>
    </w:p>
    <w:p w14:paraId="726DC2C2"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any transferee or sublicensee of the Service Provider Existing IPR Licence must either:</w:t>
      </w:r>
    </w:p>
    <w:p w14:paraId="77D585EF"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enter into a direct arrangeme</w:t>
      </w:r>
      <w:r>
        <w:rPr>
          <w:color w:val="000000"/>
          <w:sz w:val="21"/>
          <w:szCs w:val="21"/>
        </w:rPr>
        <w:t xml:space="preserve">nt with the </w:t>
      </w:r>
      <w:r>
        <w:rPr>
          <w:i/>
          <w:iCs/>
          <w:color w:val="000000"/>
          <w:sz w:val="21"/>
          <w:szCs w:val="21"/>
        </w:rPr>
        <w:t>Service Provider</w:t>
      </w:r>
      <w:r>
        <w:rPr>
          <w:color w:val="000000"/>
          <w:sz w:val="21"/>
          <w:szCs w:val="21"/>
        </w:rPr>
        <w:t xml:space="preserve"> in the form set out in Annex 2; or</w:t>
      </w:r>
    </w:p>
    <w:p w14:paraId="55800C99" w14:textId="77777777" w:rsidR="007960A8" w:rsidRDefault="00A26397">
      <w:pPr>
        <w:widowControl/>
        <w:numPr>
          <w:ilvl w:val="4"/>
          <w:numId w:val="123"/>
        </w:numPr>
        <w:pBdr>
          <w:top w:val="nil"/>
          <w:left w:val="nil"/>
          <w:bottom w:val="nil"/>
          <w:right w:val="nil"/>
          <w:between w:val="nil"/>
        </w:pBdr>
        <w:spacing w:after="240"/>
        <w:jc w:val="both"/>
      </w:pPr>
      <w:r>
        <w:rPr>
          <w:color w:val="000000"/>
          <w:sz w:val="21"/>
          <w:szCs w:val="21"/>
        </w:rPr>
        <w:t xml:space="preserve">enter into a confidentiality arrangement with the </w:t>
      </w:r>
      <w:r>
        <w:rPr>
          <w:i/>
          <w:iCs/>
          <w:color w:val="000000"/>
          <w:sz w:val="21"/>
          <w:szCs w:val="21"/>
        </w:rPr>
        <w:t>Client</w:t>
      </w:r>
      <w:r>
        <w:rPr>
          <w:color w:val="000000"/>
          <w:sz w:val="21"/>
          <w:szCs w:val="21"/>
        </w:rPr>
        <w:t xml:space="preserve"> in terms agreed between the parties, acting reasonably. </w:t>
      </w:r>
    </w:p>
    <w:p w14:paraId="2C701D47"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For the purposes of Paragraphs 4.1 and 4.3, the relevant purposes are:</w:t>
      </w:r>
    </w:p>
    <w:p w14:paraId="64200282"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w:t>
      </w:r>
    </w:p>
    <w:p w14:paraId="3B0D2DA3"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to commercially exploit (including by publication under Open Licence) the New IPR, Specially Written Software and Ne</w:t>
      </w:r>
      <w:r>
        <w:rPr>
          <w:color w:val="000000"/>
          <w:sz w:val="21"/>
          <w:szCs w:val="21"/>
        </w:rPr>
        <w:t>w IPR Items; and</w:t>
      </w:r>
    </w:p>
    <w:p w14:paraId="039C9C1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for any purpose relating to the exercise of the </w:t>
      </w:r>
      <w:r>
        <w:rPr>
          <w:i/>
          <w:iCs/>
          <w:color w:val="000000"/>
          <w:sz w:val="21"/>
          <w:szCs w:val="21"/>
        </w:rPr>
        <w:t>Client’s</w:t>
      </w:r>
      <w:r>
        <w:rPr>
          <w:color w:val="000000"/>
          <w:sz w:val="21"/>
          <w:szCs w:val="21"/>
        </w:rPr>
        <w:t xml:space="preserve"> (or, if the </w:t>
      </w:r>
      <w:r>
        <w:rPr>
          <w:i/>
          <w:iCs/>
          <w:color w:val="000000"/>
          <w:sz w:val="21"/>
          <w:szCs w:val="21"/>
        </w:rPr>
        <w:t>Client</w:t>
      </w:r>
      <w:r>
        <w:rPr>
          <w:color w:val="000000"/>
          <w:sz w:val="21"/>
          <w:szCs w:val="21"/>
        </w:rPr>
        <w:t xml:space="preserve"> is a Public Sector Body, any other Public Sector Body’s) business or function.</w:t>
      </w:r>
    </w:p>
    <w:p w14:paraId="2A1CB19D"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Licences granted by the Client</w:t>
      </w:r>
    </w:p>
    <w:p w14:paraId="29D6A1AA"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grants the </w:t>
      </w:r>
      <w:r>
        <w:rPr>
          <w:i/>
          <w:iCs/>
          <w:color w:val="000000"/>
          <w:sz w:val="21"/>
          <w:szCs w:val="21"/>
        </w:rPr>
        <w:t>Service Provider</w:t>
      </w:r>
      <w:r>
        <w:rPr>
          <w:color w:val="000000"/>
          <w:sz w:val="21"/>
          <w:szCs w:val="21"/>
        </w:rPr>
        <w:t xml:space="preserve"> a licence to the New IPR, Specially Written Software and Client Existing IPR that:</w:t>
      </w:r>
    </w:p>
    <w:p w14:paraId="2A04B121"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is non-exclusive, royalty-free and non-transferable;</w:t>
      </w:r>
    </w:p>
    <w:p w14:paraId="110C0593"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is sub-licensable to any Sub-contractor where:</w:t>
      </w:r>
    </w:p>
    <w:p w14:paraId="153E8FED"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between the parties, acting reasonably; and</w:t>
      </w:r>
    </w:p>
    <w:p w14:paraId="1C24416E"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the sub-licence does not purport to provide the sub-licensee with any wider rights than those granted to the </w:t>
      </w:r>
      <w:r>
        <w:rPr>
          <w:i/>
          <w:iCs/>
          <w:color w:val="000000"/>
          <w:sz w:val="21"/>
          <w:szCs w:val="21"/>
        </w:rPr>
        <w:t>Service Provider</w:t>
      </w:r>
      <w:r>
        <w:rPr>
          <w:color w:val="000000"/>
          <w:sz w:val="21"/>
          <w:szCs w:val="21"/>
        </w:rPr>
        <w:t xml:space="preserve"> under this Paragraph;</w:t>
      </w:r>
    </w:p>
    <w:p w14:paraId="35EED3A1"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sub-licensee to use, copy and adapt any Client Existing IPR, New IPR and Specially Written Software for the purpose of fulfilling its obligations under the Contract; and </w:t>
      </w:r>
    </w:p>
    <w:p w14:paraId="2639A9F2"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terminates</w:t>
      </w:r>
      <w:r>
        <w:rPr>
          <w:color w:val="000000"/>
          <w:sz w:val="21"/>
          <w:szCs w:val="21"/>
        </w:rPr>
        <w:t xml:space="preserve"> at the end of the Services Period.</w:t>
      </w:r>
    </w:p>
    <w:p w14:paraId="0D397652"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When the licence granted under Paragraph 5.1 terminates, the </w:t>
      </w:r>
      <w:r>
        <w:rPr>
          <w:i/>
          <w:iCs/>
          <w:color w:val="000000"/>
          <w:sz w:val="21"/>
          <w:szCs w:val="21"/>
        </w:rPr>
        <w:t>Service Provider</w:t>
      </w:r>
      <w:r>
        <w:rPr>
          <w:color w:val="000000"/>
          <w:sz w:val="21"/>
          <w:szCs w:val="21"/>
        </w:rPr>
        <w:t xml:space="preserve"> must, and must ensure that each Sub-contractor granted a sub-licence under Paragraph 5.1.2:</w:t>
      </w:r>
    </w:p>
    <w:p w14:paraId="707CCD40"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immediately cease all use of the Client Existing I</w:t>
      </w:r>
      <w:r>
        <w:rPr>
          <w:color w:val="000000"/>
          <w:sz w:val="21"/>
          <w:szCs w:val="21"/>
        </w:rPr>
        <w:t>PR, New IPR and Specially Written Software (including the Government Data within which the Client Existing IPR or New IPR may subsist);</w:t>
      </w:r>
    </w:p>
    <w:p w14:paraId="7EDB098E"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either:</w:t>
      </w:r>
    </w:p>
    <w:p w14:paraId="340A8FC9"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at the discretion of the </w:t>
      </w:r>
      <w:r>
        <w:rPr>
          <w:i/>
          <w:iCs/>
          <w:color w:val="000000"/>
          <w:sz w:val="21"/>
          <w:szCs w:val="21"/>
        </w:rPr>
        <w:t>Client</w:t>
      </w:r>
      <w:r>
        <w:rPr>
          <w:color w:val="000000"/>
          <w:sz w:val="21"/>
          <w:szCs w:val="21"/>
        </w:rPr>
        <w:t>, return or destroy documents and other tangible materials that contain any of th</w:t>
      </w:r>
      <w:r>
        <w:rPr>
          <w:color w:val="000000"/>
          <w:sz w:val="21"/>
          <w:szCs w:val="21"/>
        </w:rPr>
        <w:t xml:space="preserve">e Client Existing IPR, New IPR, Specially Written Software and the Government Data; or </w:t>
      </w:r>
    </w:p>
    <w:p w14:paraId="143AEDF6"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has not made an election within six months of the termination of the licence, destroy the documents and other tangible materials that contain any of the C</w:t>
      </w:r>
      <w:r>
        <w:rPr>
          <w:color w:val="000000"/>
          <w:sz w:val="21"/>
          <w:szCs w:val="21"/>
        </w:rPr>
        <w:t>lient Existing IPR, the New IPR, Specially Written Software and the Government Data (as the case may be); and</w:t>
      </w:r>
    </w:p>
    <w:p w14:paraId="33C7A4F9"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ensure, so far as reasonably practicable, that any Client Existing IPR, New IPR, Specially Written Software and Government Data held in electronic</w:t>
      </w:r>
      <w:r>
        <w:rPr>
          <w:color w:val="000000"/>
          <w:sz w:val="21"/>
          <w:szCs w:val="21"/>
        </w:rPr>
        <w:t xml:space="preserve">, digital or other machine-readable form ceases to be readily accessible from any computer, word processor, voicemail system or any other device of the </w:t>
      </w:r>
      <w:r>
        <w:rPr>
          <w:i/>
          <w:iCs/>
          <w:color w:val="000000"/>
          <w:sz w:val="21"/>
          <w:szCs w:val="21"/>
        </w:rPr>
        <w:t>Service Provider</w:t>
      </w:r>
      <w:r>
        <w:rPr>
          <w:color w:val="000000"/>
          <w:sz w:val="21"/>
          <w:szCs w:val="21"/>
        </w:rPr>
        <w:t>.</w:t>
      </w:r>
    </w:p>
    <w:p w14:paraId="0D10BD8D"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Open Licence Publication</w:t>
      </w:r>
    </w:p>
    <w:p w14:paraId="56447C93"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Subject to Paragraph 6.6, the </w:t>
      </w:r>
      <w:r>
        <w:rPr>
          <w:i/>
          <w:iCs/>
          <w:color w:val="000000"/>
          <w:sz w:val="21"/>
          <w:szCs w:val="21"/>
        </w:rPr>
        <w:t>Service Provider</w:t>
      </w:r>
      <w:r>
        <w:rPr>
          <w:color w:val="000000"/>
          <w:sz w:val="21"/>
          <w:szCs w:val="21"/>
        </w:rPr>
        <w:t xml:space="preserve"> agrees that the </w:t>
      </w:r>
      <w:r>
        <w:rPr>
          <w:i/>
          <w:iCs/>
          <w:color w:val="000000"/>
          <w:sz w:val="21"/>
          <w:szCs w:val="21"/>
        </w:rPr>
        <w:t>Client</w:t>
      </w:r>
      <w:r>
        <w:rPr>
          <w:color w:val="000000"/>
          <w:sz w:val="21"/>
          <w:szCs w:val="21"/>
        </w:rPr>
        <w:t xml:space="preserve"> may at its sole discretion publish under Open Licence all or part of the New IPR Items, including the:</w:t>
      </w:r>
    </w:p>
    <w:p w14:paraId="1C6BEFA4"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Specially Written Software;</w:t>
      </w:r>
    </w:p>
    <w:p w14:paraId="73D5310E"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 software parts of the New IPR Items; and</w:t>
      </w:r>
    </w:p>
    <w:p w14:paraId="54C7D50E"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 Software Supporting Materials.</w:t>
      </w:r>
    </w:p>
    <w:p w14:paraId="11455461"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create all Specially Written Software, software elements of New IPR and Software Supporting Materials in a format (whether it is provided in any other</w:t>
      </w:r>
      <w:r>
        <w:rPr>
          <w:color w:val="000000"/>
          <w:sz w:val="21"/>
          <w:szCs w:val="21"/>
        </w:rPr>
        <w:t xml:space="preserve"> format or not):</w:t>
      </w:r>
    </w:p>
    <w:p w14:paraId="2BC2BBFF"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suitable for publication by the </w:t>
      </w:r>
      <w:r>
        <w:rPr>
          <w:i/>
          <w:iCs/>
          <w:color w:val="000000"/>
          <w:sz w:val="21"/>
          <w:szCs w:val="21"/>
        </w:rPr>
        <w:t>Client</w:t>
      </w:r>
      <w:r>
        <w:rPr>
          <w:color w:val="000000"/>
          <w:sz w:val="21"/>
          <w:szCs w:val="21"/>
        </w:rPr>
        <w:t xml:space="preserve"> as Open Licence; and </w:t>
      </w:r>
    </w:p>
    <w:p w14:paraId="68B2E64C"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based on open standards (where applicable).</w:t>
      </w:r>
    </w:p>
    <w:p w14:paraId="3239E872"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warrants that in developing the Specially Written Software, the software elements of the New IPR Items and the So</w:t>
      </w:r>
      <w:r>
        <w:rPr>
          <w:color w:val="000000"/>
          <w:sz w:val="21"/>
          <w:szCs w:val="21"/>
        </w:rPr>
        <w:t>ftware Supporting Materials it has used reasonable endeavours to ensure that:</w:t>
      </w:r>
    </w:p>
    <w:p w14:paraId="72973A6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publication by the </w:t>
      </w:r>
      <w:r>
        <w:rPr>
          <w:i/>
          <w:iCs/>
          <w:color w:val="000000"/>
          <w:sz w:val="21"/>
          <w:szCs w:val="21"/>
        </w:rPr>
        <w:t>Client</w:t>
      </w:r>
      <w:r>
        <w:rPr>
          <w:color w:val="000000"/>
          <w:sz w:val="21"/>
          <w:szCs w:val="21"/>
        </w:rPr>
        <w:t xml:space="preserve"> will not:</w:t>
      </w:r>
    </w:p>
    <w:p w14:paraId="2EA844DB"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allow a third party to use them in any way that could reasonably be foreseen to compromise the operation or security of the Specially Written Software, New IPRs, the Client System or the Service Provider System;</w:t>
      </w:r>
    </w:p>
    <w:p w14:paraId="08664B52"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cause any harm or damage to any party using </w:t>
      </w:r>
      <w:r>
        <w:rPr>
          <w:color w:val="000000"/>
          <w:sz w:val="21"/>
          <w:szCs w:val="21"/>
        </w:rPr>
        <w:t>them; or</w:t>
      </w:r>
    </w:p>
    <w:p w14:paraId="57644062"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breach the rights of any third party; and</w:t>
      </w:r>
    </w:p>
    <w:p w14:paraId="3C06E743"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they do not contain:</w:t>
      </w:r>
    </w:p>
    <w:p w14:paraId="6FE2D240"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any Malicious Software; or</w:t>
      </w:r>
    </w:p>
    <w:p w14:paraId="6BA8C414" w14:textId="77777777" w:rsidR="007960A8" w:rsidRDefault="00A26397">
      <w:pPr>
        <w:widowControl/>
        <w:numPr>
          <w:ilvl w:val="3"/>
          <w:numId w:val="123"/>
        </w:numPr>
        <w:pBdr>
          <w:top w:val="nil"/>
          <w:left w:val="nil"/>
          <w:bottom w:val="nil"/>
          <w:right w:val="nil"/>
          <w:between w:val="nil"/>
        </w:pBdr>
        <w:spacing w:after="240"/>
        <w:jc w:val="both"/>
      </w:pPr>
      <w:r>
        <w:rPr>
          <w:color w:val="000000"/>
          <w:sz w:val="21"/>
          <w:szCs w:val="21"/>
        </w:rPr>
        <w:t xml:space="preserve">any material which would bring the </w:t>
      </w:r>
      <w:r>
        <w:rPr>
          <w:i/>
          <w:iCs/>
          <w:color w:val="000000"/>
          <w:sz w:val="21"/>
          <w:szCs w:val="21"/>
        </w:rPr>
        <w:t>Client</w:t>
      </w:r>
      <w:r>
        <w:rPr>
          <w:color w:val="000000"/>
          <w:sz w:val="21"/>
          <w:szCs w:val="21"/>
        </w:rPr>
        <w:t xml:space="preserve"> into disrepute if published.</w:t>
      </w:r>
    </w:p>
    <w:p w14:paraId="44772395"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include in the Specially Written Software, the software </w:t>
      </w:r>
      <w:r>
        <w:rPr>
          <w:color w:val="000000"/>
          <w:sz w:val="21"/>
          <w:szCs w:val="21"/>
        </w:rPr>
        <w:t xml:space="preserve">parts of the New IPR Items and the Software Supporting Materials provided for publication by Open Licence any Service Provider Existing IPRs unless the </w:t>
      </w:r>
      <w:r>
        <w:rPr>
          <w:i/>
          <w:iCs/>
          <w:color w:val="000000"/>
          <w:sz w:val="21"/>
          <w:szCs w:val="21"/>
        </w:rPr>
        <w:t>Service Provider</w:t>
      </w:r>
      <w:r>
        <w:rPr>
          <w:color w:val="000000"/>
          <w:sz w:val="21"/>
          <w:szCs w:val="21"/>
        </w:rPr>
        <w:t xml:space="preserve"> consents to:</w:t>
      </w:r>
    </w:p>
    <w:p w14:paraId="299CEFC2"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their publication by the </w:t>
      </w:r>
      <w:r>
        <w:rPr>
          <w:i/>
          <w:iCs/>
          <w:color w:val="000000"/>
          <w:sz w:val="21"/>
          <w:szCs w:val="21"/>
        </w:rPr>
        <w:t>Client</w:t>
      </w:r>
      <w:r>
        <w:rPr>
          <w:color w:val="000000"/>
          <w:sz w:val="21"/>
          <w:szCs w:val="21"/>
        </w:rPr>
        <w:t xml:space="preserve"> under Open Licence; and</w:t>
      </w:r>
    </w:p>
    <w:p w14:paraId="04A6BD26"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their subsequent l</w:t>
      </w:r>
      <w:r>
        <w:rPr>
          <w:color w:val="000000"/>
          <w:sz w:val="21"/>
          <w:szCs w:val="21"/>
        </w:rPr>
        <w:t xml:space="preserve">icence and treatment as Open Licence under the terms of the licence chosen by the </w:t>
      </w:r>
      <w:r>
        <w:rPr>
          <w:i/>
          <w:iCs/>
          <w:color w:val="000000"/>
          <w:sz w:val="21"/>
          <w:szCs w:val="21"/>
        </w:rPr>
        <w:t>Client</w:t>
      </w:r>
      <w:r>
        <w:rPr>
          <w:color w:val="000000"/>
          <w:sz w:val="21"/>
          <w:szCs w:val="21"/>
        </w:rPr>
        <w:t>.</w:t>
      </w:r>
    </w:p>
    <w:p w14:paraId="0BB2FBDA"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supply any or all the Specially Written Software, the software elements of the New IPR Items and the Software Supporting Materials in a form</w:t>
      </w:r>
      <w:r>
        <w:rPr>
          <w:color w:val="000000"/>
          <w:sz w:val="21"/>
          <w:szCs w:val="21"/>
        </w:rPr>
        <w:t xml:space="preserve">at suitable for publication under an Open Licence (the Open Licence Publication Material) within 30 Working Days of written request from the </w:t>
      </w:r>
      <w:r>
        <w:rPr>
          <w:i/>
          <w:iCs/>
          <w:color w:val="000000"/>
          <w:sz w:val="21"/>
          <w:szCs w:val="21"/>
        </w:rPr>
        <w:t>Client</w:t>
      </w:r>
      <w:r>
        <w:rPr>
          <w:color w:val="000000"/>
          <w:sz w:val="21"/>
          <w:szCs w:val="21"/>
        </w:rPr>
        <w:t xml:space="preserve"> (Client Open Licence Request).</w:t>
      </w:r>
    </w:p>
    <w:p w14:paraId="6C7491A4"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may within ten (10) working days of a Client Open Licence Request under Paragraph 6.5 request in writing that the </w:t>
      </w:r>
      <w:r>
        <w:rPr>
          <w:i/>
          <w:iCs/>
          <w:color w:val="000000"/>
          <w:sz w:val="21"/>
          <w:szCs w:val="21"/>
        </w:rPr>
        <w:t>Client</w:t>
      </w:r>
      <w:r>
        <w:rPr>
          <w:color w:val="000000"/>
          <w:sz w:val="21"/>
          <w:szCs w:val="21"/>
        </w:rPr>
        <w:t xml:space="preserve"> excludes all or part of:</w:t>
      </w:r>
    </w:p>
    <w:p w14:paraId="4F042A4D"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the Specially Written Software, the software elements of the New IPR Items and the Software Supporting Materi</w:t>
      </w:r>
      <w:r>
        <w:rPr>
          <w:color w:val="000000"/>
          <w:sz w:val="21"/>
          <w:szCs w:val="21"/>
        </w:rPr>
        <w:t>als; or</w:t>
      </w:r>
    </w:p>
    <w:p w14:paraId="6DD7B133" w14:textId="77777777" w:rsidR="007960A8" w:rsidRDefault="00A26397">
      <w:pPr>
        <w:widowControl/>
        <w:numPr>
          <w:ilvl w:val="2"/>
          <w:numId w:val="123"/>
        </w:numPr>
        <w:pBdr>
          <w:top w:val="nil"/>
          <w:left w:val="nil"/>
          <w:bottom w:val="nil"/>
          <w:right w:val="nil"/>
          <w:between w:val="nil"/>
        </w:pBdr>
        <w:spacing w:after="240"/>
        <w:jc w:val="both"/>
      </w:pPr>
      <w:r>
        <w:rPr>
          <w:color w:val="000000"/>
          <w:sz w:val="21"/>
          <w:szCs w:val="21"/>
        </w:rPr>
        <w:t xml:space="preserve">Service Provider Existing IPR or Third Party IPR that would otherwise be included in the Open Licence Publication Material supplied to the </w:t>
      </w:r>
      <w:r>
        <w:rPr>
          <w:i/>
          <w:iCs/>
          <w:color w:val="000000"/>
          <w:sz w:val="21"/>
          <w:szCs w:val="21"/>
        </w:rPr>
        <w:t>Client</w:t>
      </w:r>
      <w:r>
        <w:rPr>
          <w:color w:val="000000"/>
          <w:sz w:val="21"/>
          <w:szCs w:val="21"/>
        </w:rPr>
        <w:t xml:space="preserve"> pursuant to Paragraph 6.4,</w:t>
      </w:r>
    </w:p>
    <w:p w14:paraId="06B5DA95" w14:textId="77777777" w:rsidR="007960A8" w:rsidRDefault="00A26397">
      <w:pPr>
        <w:widowControl/>
        <w:pBdr>
          <w:top w:val="nil"/>
          <w:left w:val="nil"/>
          <w:bottom w:val="nil"/>
          <w:right w:val="nil"/>
          <w:between w:val="nil"/>
        </w:pBdr>
        <w:spacing w:after="120" w:line="480" w:lineRule="auto"/>
        <w:jc w:val="both"/>
        <w:rPr>
          <w:color w:val="000000"/>
          <w:sz w:val="21"/>
          <w:szCs w:val="21"/>
        </w:rPr>
      </w:pPr>
      <w:r>
        <w:rPr>
          <w:color w:val="000000"/>
          <w:sz w:val="21"/>
          <w:szCs w:val="21"/>
        </w:rPr>
        <w:t>from Open Licence publication.</w:t>
      </w:r>
    </w:p>
    <w:p w14:paraId="098F2CB8"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Provider’s</w:t>
      </w:r>
      <w:r>
        <w:rPr>
          <w:color w:val="000000"/>
          <w:sz w:val="21"/>
          <w:szCs w:val="21"/>
        </w:rPr>
        <w:t xml:space="preserve"> request under Paragraph 6.6 must include the </w:t>
      </w:r>
      <w:r>
        <w:rPr>
          <w:i/>
          <w:iCs/>
          <w:color w:val="000000"/>
          <w:sz w:val="21"/>
          <w:szCs w:val="21"/>
        </w:rPr>
        <w:t>Service Provider’s</w:t>
      </w:r>
      <w:r>
        <w:rPr>
          <w:color w:val="000000"/>
          <w:sz w:val="21"/>
          <w:szCs w:val="21"/>
        </w:rPr>
        <w:t xml:space="preserve"> assessment of the impact the </w:t>
      </w:r>
      <w:r>
        <w:rPr>
          <w:i/>
          <w:iCs/>
          <w:color w:val="000000"/>
          <w:sz w:val="21"/>
          <w:szCs w:val="21"/>
        </w:rPr>
        <w:t>Client’s</w:t>
      </w:r>
      <w:r>
        <w:rPr>
          <w:color w:val="000000"/>
          <w:sz w:val="21"/>
          <w:szCs w:val="21"/>
        </w:rPr>
        <w:t xml:space="preserve"> agreeing to the request would have on its ability to publish other the Specially Written Software, the software elements of the New IPR Items and the Sof</w:t>
      </w:r>
      <w:r>
        <w:rPr>
          <w:color w:val="000000"/>
          <w:sz w:val="21"/>
          <w:szCs w:val="21"/>
        </w:rPr>
        <w:t>tware Supporting Materials Items under an Open Licence.</w:t>
      </w:r>
    </w:p>
    <w:p w14:paraId="54B35739"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Any decision to Approve any such request from the </w:t>
      </w:r>
      <w:r>
        <w:rPr>
          <w:i/>
          <w:iCs/>
          <w:color w:val="000000"/>
          <w:sz w:val="21"/>
          <w:szCs w:val="21"/>
        </w:rPr>
        <w:t>Service Provider</w:t>
      </w:r>
      <w:r>
        <w:rPr>
          <w:color w:val="000000"/>
          <w:sz w:val="21"/>
          <w:szCs w:val="21"/>
        </w:rPr>
        <w:t xml:space="preserve"> under Paragraph 6.6 shall be at the Client’s sole discretion, not to be unreasonably withheld or delayed, or made subject to unreason</w:t>
      </w:r>
      <w:r>
        <w:rPr>
          <w:color w:val="000000"/>
          <w:sz w:val="21"/>
          <w:szCs w:val="21"/>
        </w:rPr>
        <w:t>able conditions.</w:t>
      </w:r>
    </w:p>
    <w:p w14:paraId="7F261160" w14:textId="77777777" w:rsidR="007960A8" w:rsidRDefault="00A26397">
      <w:pPr>
        <w:keepNext/>
        <w:keepLines/>
        <w:widowControl/>
        <w:numPr>
          <w:ilvl w:val="0"/>
          <w:numId w:val="123"/>
        </w:numPr>
        <w:pBdr>
          <w:top w:val="nil"/>
          <w:left w:val="nil"/>
          <w:bottom w:val="nil"/>
          <w:right w:val="nil"/>
          <w:between w:val="nil"/>
        </w:pBdr>
        <w:spacing w:after="240"/>
        <w:jc w:val="both"/>
      </w:pPr>
      <w:r>
        <w:rPr>
          <w:b/>
          <w:bCs/>
          <w:color w:val="000000"/>
          <w:sz w:val="21"/>
          <w:szCs w:val="21"/>
        </w:rPr>
        <w:t>Patents</w:t>
      </w:r>
    </w:p>
    <w:p w14:paraId="727590C0" w14:textId="77777777" w:rsidR="007960A8" w:rsidRDefault="00A26397">
      <w:pPr>
        <w:widowControl/>
        <w:numPr>
          <w:ilvl w:val="1"/>
          <w:numId w:val="123"/>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Specially Written Software or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w:t>
      </w:r>
      <w:r>
        <w:rPr>
          <w:i/>
          <w:iCs/>
          <w:color w:val="000000"/>
          <w:sz w:val="21"/>
          <w:szCs w:val="21"/>
        </w:rPr>
        <w:t>Service Provider</w:t>
      </w:r>
      <w:r>
        <w:rPr>
          <w:color w:val="000000"/>
          <w:sz w:val="21"/>
          <w:szCs w:val="21"/>
        </w:rPr>
        <w:t xml:space="preserve"> a non-exclusive, irrevocable, royalty-free, worldwide patent licence to use the infringing methods, materials or software.</w:t>
      </w:r>
    </w:p>
    <w:p w14:paraId="233EFFC7" w14:textId="77777777" w:rsidR="007960A8" w:rsidRDefault="007960A8">
      <w:pPr>
        <w:spacing w:after="240" w:line="276" w:lineRule="auto"/>
        <w:sectPr w:rsidR="007960A8">
          <w:pgSz w:w="11910" w:h="16840"/>
          <w:pgMar w:top="1440" w:right="1440" w:bottom="1440" w:left="1440" w:header="706" w:footer="706" w:gutter="0"/>
          <w:cols w:space="720"/>
          <w:titlePg/>
        </w:sectPr>
      </w:pPr>
    </w:p>
    <w:p w14:paraId="42E729AB" w14:textId="77777777" w:rsidR="007960A8" w:rsidRDefault="00A26397">
      <w:pPr>
        <w:spacing w:after="240" w:line="276" w:lineRule="auto"/>
        <w:rPr>
          <w:b/>
          <w:bCs/>
          <w:i/>
          <w:iCs/>
        </w:rPr>
      </w:pPr>
      <w:r>
        <w:rPr>
          <w:b/>
          <w:bCs/>
          <w:i/>
          <w:iCs/>
          <w:highlight w:val="yellow"/>
        </w:rPr>
        <w:t>[Guidance: For IPR Option B2: Client owns all New IPR and Specially Written Softwar</w:t>
      </w:r>
      <w:r>
        <w:rPr>
          <w:b/>
          <w:bCs/>
          <w:i/>
          <w:iCs/>
          <w:highlight w:val="yellow"/>
        </w:rPr>
        <w:t>e with non-exclusive Service Provider rights, please include the following drafting:]</w:t>
      </w:r>
    </w:p>
    <w:p w14:paraId="39365DB0" w14:textId="77777777" w:rsidR="007960A8" w:rsidRDefault="00A26397">
      <w:pPr>
        <w:spacing w:after="240" w:line="276" w:lineRule="auto"/>
        <w:rPr>
          <w:sz w:val="28"/>
          <w:szCs w:val="28"/>
        </w:rPr>
      </w:pPr>
      <w:r>
        <w:rPr>
          <w:sz w:val="28"/>
          <w:szCs w:val="28"/>
        </w:rPr>
        <w:t>IPR Option B2</w:t>
      </w:r>
    </w:p>
    <w:p w14:paraId="75B4F73C"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Intellectual Property Rights – General Provisions</w:t>
      </w:r>
    </w:p>
    <w:p w14:paraId="3A7DB1E2"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Each party keeps ownership of its own Existing IPR.</w:t>
      </w:r>
    </w:p>
    <w:p w14:paraId="031DF2F6"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the requirements of this Schedule, it must assign in writing the Intellectual Property Rights concerned to the other party on the other pa</w:t>
      </w:r>
      <w:r>
        <w:rPr>
          <w:color w:val="000000"/>
          <w:sz w:val="21"/>
          <w:szCs w:val="21"/>
        </w:rPr>
        <w:t>rty’s request (whenever made).</w:t>
      </w:r>
    </w:p>
    <w:p w14:paraId="2EFE8243"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trademarks, except as expressly granted elsewhere under the Contract or otherwise agreed in writing.</w:t>
      </w:r>
    </w:p>
    <w:p w14:paraId="74D81556"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Except as e</w:t>
      </w:r>
      <w:r>
        <w:rPr>
          <w:color w:val="000000"/>
          <w:sz w:val="21"/>
          <w:szCs w:val="21"/>
        </w:rPr>
        <w:t>xpressly granted elsewhere under the Contract, neither party acquires any right, title or interest in or to the IPR owned by the other party or any third party.</w:t>
      </w:r>
    </w:p>
    <w:p w14:paraId="20B782A6"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becomes aware at any time, including after the Services Period, that, in r</w:t>
      </w:r>
      <w:r>
        <w:rPr>
          <w:color w:val="000000"/>
          <w:sz w:val="21"/>
          <w:szCs w:val="21"/>
        </w:rPr>
        <w:t xml:space="preserve">espect of any </w:t>
      </w:r>
      <w:r>
        <w:rPr>
          <w:i/>
          <w:iCs/>
          <w:color w:val="000000"/>
          <w:sz w:val="21"/>
          <w:szCs w:val="21"/>
        </w:rPr>
        <w:t>services</w:t>
      </w:r>
      <w:r>
        <w:rPr>
          <w:color w:val="000000"/>
          <w:sz w:val="21"/>
          <w:szCs w:val="21"/>
        </w:rPr>
        <w:t xml:space="preserve">, the </w:t>
      </w:r>
      <w:r>
        <w:rPr>
          <w:i/>
          <w:iCs/>
          <w:color w:val="000000"/>
          <w:sz w:val="21"/>
          <w:szCs w:val="21"/>
        </w:rPr>
        <w:t>Client</w:t>
      </w:r>
      <w:r>
        <w:rPr>
          <w:color w:val="000000"/>
          <w:sz w:val="21"/>
          <w:szCs w:val="21"/>
        </w:rPr>
        <w:t xml:space="preserve"> has not received the licences to Service Provider Existing IPRs or Third Party IPRs required by Paragraphs 3 and 4, the </w:t>
      </w:r>
      <w:r>
        <w:rPr>
          <w:i/>
          <w:iCs/>
          <w:color w:val="000000"/>
          <w:sz w:val="21"/>
          <w:szCs w:val="21"/>
        </w:rPr>
        <w:t>Service Provider</w:t>
      </w:r>
      <w:r>
        <w:rPr>
          <w:color w:val="000000"/>
          <w:sz w:val="21"/>
          <w:szCs w:val="21"/>
        </w:rPr>
        <w:t xml:space="preserve"> must, within ten (10) working days notify the </w:t>
      </w:r>
      <w:r>
        <w:rPr>
          <w:i/>
          <w:iCs/>
          <w:color w:val="000000"/>
          <w:sz w:val="21"/>
          <w:szCs w:val="21"/>
        </w:rPr>
        <w:t>Client</w:t>
      </w:r>
      <w:r>
        <w:rPr>
          <w:color w:val="000000"/>
          <w:sz w:val="21"/>
          <w:szCs w:val="21"/>
        </w:rPr>
        <w:t>:</w:t>
      </w:r>
    </w:p>
    <w:p w14:paraId="3B1BDE44"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the specific Intellectual Prop</w:t>
      </w:r>
      <w:r>
        <w:rPr>
          <w:color w:val="000000"/>
          <w:sz w:val="21"/>
          <w:szCs w:val="21"/>
        </w:rPr>
        <w:t xml:space="preserve">erty Rights the </w:t>
      </w:r>
      <w:r>
        <w:rPr>
          <w:i/>
          <w:iCs/>
          <w:color w:val="000000"/>
          <w:sz w:val="21"/>
          <w:szCs w:val="21"/>
        </w:rPr>
        <w:t>Client</w:t>
      </w:r>
      <w:r>
        <w:rPr>
          <w:color w:val="000000"/>
          <w:sz w:val="21"/>
          <w:szCs w:val="21"/>
        </w:rPr>
        <w:t xml:space="preserve"> has not received licences to; and</w:t>
      </w:r>
    </w:p>
    <w:p w14:paraId="372AA6E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7A50C6D9"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For the avoidance of doubt</w:t>
      </w:r>
    </w:p>
    <w:p w14:paraId="07E96D1E" w14:textId="77777777" w:rsidR="007960A8" w:rsidRDefault="00A26397">
      <w:pPr>
        <w:widowControl/>
        <w:pBdr>
          <w:top w:val="nil"/>
          <w:left w:val="nil"/>
          <w:bottom w:val="nil"/>
          <w:right w:val="nil"/>
          <w:between w:val="nil"/>
        </w:pBdr>
        <w:spacing w:after="240"/>
        <w:ind w:left="1440"/>
        <w:jc w:val="both"/>
        <w:rPr>
          <w:color w:val="000000"/>
          <w:sz w:val="21"/>
          <w:szCs w:val="21"/>
        </w:rPr>
      </w:pPr>
      <w:r>
        <w:rPr>
          <w:color w:val="000000"/>
          <w:sz w:val="21"/>
          <w:szCs w:val="21"/>
        </w:rPr>
        <w:t>except as provided for in Paragraphs 4.3.3.2(a) or 3.1.6.2 and 3.1.4, the expiry or termination of the Contract does not of itself terminate the lice</w:t>
      </w:r>
      <w:r>
        <w:rPr>
          <w:color w:val="000000"/>
          <w:sz w:val="21"/>
          <w:szCs w:val="21"/>
        </w:rPr>
        <w:t xml:space="preserve">nces granted to the </w:t>
      </w:r>
      <w:r>
        <w:rPr>
          <w:i/>
          <w:iCs/>
          <w:color w:val="000000"/>
          <w:sz w:val="21"/>
          <w:szCs w:val="21"/>
        </w:rPr>
        <w:t>Client</w:t>
      </w:r>
      <w:r>
        <w:rPr>
          <w:color w:val="000000"/>
          <w:sz w:val="21"/>
          <w:szCs w:val="21"/>
        </w:rPr>
        <w:t xml:space="preserve"> under Paragraphs 3 and 4.</w:t>
      </w:r>
    </w:p>
    <w:p w14:paraId="210BDC29"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Ownership and delivery of IPR created under the Contract</w:t>
      </w:r>
    </w:p>
    <w:p w14:paraId="5F09D694"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Any New IPR and Specially Written Software is owned by the </w:t>
      </w:r>
      <w:r>
        <w:rPr>
          <w:i/>
          <w:iCs/>
          <w:color w:val="000000"/>
          <w:sz w:val="21"/>
          <w:szCs w:val="21"/>
        </w:rPr>
        <w:t>Client</w:t>
      </w:r>
      <w:r>
        <w:rPr>
          <w:color w:val="000000"/>
          <w:sz w:val="21"/>
          <w:szCs w:val="21"/>
        </w:rPr>
        <w:t>, including:</w:t>
      </w:r>
    </w:p>
    <w:p w14:paraId="1779C2C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the Documentation, Source Code and the Object Code of the Specially Written Software and any software elements of the New IPR; and</w:t>
      </w:r>
    </w:p>
    <w:p w14:paraId="353161E5"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all build instructions, test instructions, test scripts, test data, operating instructions and other documents and tools nece</w:t>
      </w:r>
      <w:r>
        <w:rPr>
          <w:color w:val="000000"/>
          <w:sz w:val="21"/>
          <w:szCs w:val="21"/>
        </w:rPr>
        <w:t>ssary for maintaining and supporting the Specially Written Software and the New IPR,</w:t>
      </w:r>
    </w:p>
    <w:p w14:paraId="42856ABA"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(together, the Software Supporting Materials).</w:t>
      </w:r>
    </w:p>
    <w:p w14:paraId="135C47ED"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deliver to the </w:t>
      </w:r>
      <w:r>
        <w:rPr>
          <w:i/>
          <w:iCs/>
          <w:color w:val="000000"/>
          <w:sz w:val="21"/>
          <w:szCs w:val="21"/>
        </w:rPr>
        <w:t>Client</w:t>
      </w:r>
      <w:r>
        <w:rPr>
          <w:color w:val="000000"/>
          <w:sz w:val="21"/>
          <w:szCs w:val="21"/>
        </w:rPr>
        <w:t>:</w:t>
      </w:r>
    </w:p>
    <w:p w14:paraId="5640073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Specially Written Software; </w:t>
      </w:r>
    </w:p>
    <w:p w14:paraId="7161CB0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any software elements of the New IPR;</w:t>
      </w:r>
    </w:p>
    <w:p w14:paraId="4FB7BE8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relevant Documentation; and</w:t>
      </w:r>
    </w:p>
    <w:p w14:paraId="57148D1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all related Software Supporting Materials,</w:t>
      </w:r>
    </w:p>
    <w:p w14:paraId="4A769675"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within seven days of initial release or deployment.</w:t>
      </w:r>
    </w:p>
    <w:p w14:paraId="4276E92F"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and</w:t>
      </w:r>
    </w:p>
    <w:p w14:paraId="66DC926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each subsequent release or deployment of the Specially Written Software and any software elements of the New IPR.</w:t>
      </w:r>
    </w:p>
    <w:p w14:paraId="36E87911"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delivers materials to the </w:t>
      </w:r>
      <w:r>
        <w:rPr>
          <w:i/>
          <w:iCs/>
          <w:color w:val="000000"/>
          <w:sz w:val="21"/>
          <w:szCs w:val="21"/>
        </w:rPr>
        <w:t>Client</w:t>
      </w:r>
      <w:r>
        <w:rPr>
          <w:color w:val="000000"/>
          <w:sz w:val="21"/>
          <w:szCs w:val="21"/>
        </w:rPr>
        <w:t xml:space="preserve"> under Paragraph 2.2, it must do so in a format specified by the </w:t>
      </w:r>
      <w:r>
        <w:rPr>
          <w:i/>
          <w:iCs/>
          <w:color w:val="000000"/>
          <w:sz w:val="21"/>
          <w:szCs w:val="21"/>
        </w:rPr>
        <w:t>Client</w:t>
      </w:r>
      <w:r>
        <w:rPr>
          <w:color w:val="000000"/>
          <w:sz w:val="21"/>
          <w:szCs w:val="21"/>
        </w:rPr>
        <w:t xml:space="preserve">. Where the </w:t>
      </w:r>
      <w:r>
        <w:rPr>
          <w:i/>
          <w:iCs/>
          <w:color w:val="000000"/>
          <w:sz w:val="21"/>
          <w:szCs w:val="21"/>
        </w:rPr>
        <w:t>Client</w:t>
      </w:r>
      <w:r>
        <w:rPr>
          <w:color w:val="000000"/>
          <w:sz w:val="21"/>
          <w:szCs w:val="21"/>
        </w:rPr>
        <w:t xml:space="preserve"> specifies the material is to be delivered on media, the </w:t>
      </w:r>
      <w:r>
        <w:rPr>
          <w:i/>
          <w:iCs/>
          <w:color w:val="000000"/>
          <w:sz w:val="21"/>
          <w:szCs w:val="21"/>
        </w:rPr>
        <w:t>Client</w:t>
      </w:r>
      <w:r>
        <w:rPr>
          <w:color w:val="000000"/>
          <w:sz w:val="21"/>
          <w:szCs w:val="21"/>
        </w:rPr>
        <w:t xml:space="preserve"> becomes the owner of the media containing the material on delivery.</w:t>
      </w:r>
    </w:p>
    <w:p w14:paraId="0F795540"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Specially Written Software and</w:t>
      </w:r>
      <w:r>
        <w:rPr>
          <w:color w:val="000000"/>
          <w:sz w:val="21"/>
          <w:szCs w:val="21"/>
        </w:rPr>
        <w:t xml:space="preserve"> New IPR in the table at Annex 1 to this Schedule and keep this updated throughout the Contract Period.</w:t>
      </w:r>
    </w:p>
    <w:p w14:paraId="3CC82415"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 xml:space="preserve">Use of Service Provider Existing IPRs and Third Party IPRs </w:t>
      </w:r>
    </w:p>
    <w:p w14:paraId="651D1D6E"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w:t>
      </w:r>
    </w:p>
    <w:p w14:paraId="28FF031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embed Service Provider Existing IPRs or Third Party IPRs in the </w:t>
      </w:r>
      <w:r>
        <w:rPr>
          <w:i/>
          <w:iCs/>
          <w:color w:val="000000"/>
          <w:sz w:val="21"/>
          <w:szCs w:val="21"/>
        </w:rPr>
        <w:t>services</w:t>
      </w:r>
      <w:r>
        <w:rPr>
          <w:color w:val="000000"/>
          <w:sz w:val="21"/>
          <w:szCs w:val="21"/>
        </w:rPr>
        <w:t>;</w:t>
      </w:r>
    </w:p>
    <w:p w14:paraId="5A25718D"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services</w:t>
      </w:r>
      <w:r>
        <w:rPr>
          <w:color w:val="000000"/>
          <w:sz w:val="21"/>
          <w:szCs w:val="21"/>
        </w:rPr>
        <w:t xml:space="preserve"> that requires Service Provider Existing IPRs or Third Party IPRs to use the </w:t>
      </w:r>
      <w:r>
        <w:rPr>
          <w:i/>
          <w:iCs/>
          <w:color w:val="000000"/>
          <w:sz w:val="21"/>
          <w:szCs w:val="21"/>
        </w:rPr>
        <w:t>services</w:t>
      </w:r>
      <w:r>
        <w:rPr>
          <w:color w:val="000000"/>
          <w:sz w:val="21"/>
          <w:szCs w:val="21"/>
        </w:rPr>
        <w:t xml:space="preserve"> for any of the purposes set out in Paragraph 4.4; or</w:t>
      </w:r>
    </w:p>
    <w:p w14:paraId="698207E9"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services</w:t>
      </w:r>
      <w:r>
        <w:rPr>
          <w:color w:val="000000"/>
          <w:sz w:val="21"/>
          <w:szCs w:val="21"/>
        </w:rPr>
        <w:t xml:space="preserve"> that are a customisation or adaptation of those Service Provider Existing IPRs or Third Party IPRs,</w:t>
      </w:r>
    </w:p>
    <w:p w14:paraId="3C765FBE" w14:textId="77777777" w:rsidR="007960A8" w:rsidRDefault="00A26397">
      <w:pPr>
        <w:widowControl/>
        <w:pBdr>
          <w:top w:val="nil"/>
          <w:left w:val="nil"/>
          <w:bottom w:val="nil"/>
          <w:right w:val="nil"/>
          <w:between w:val="nil"/>
        </w:pBdr>
        <w:spacing w:after="120" w:line="480" w:lineRule="auto"/>
        <w:ind w:left="1797" w:firstLine="720"/>
        <w:jc w:val="both"/>
        <w:rPr>
          <w:color w:val="000000"/>
          <w:sz w:val="21"/>
          <w:szCs w:val="21"/>
        </w:rPr>
      </w:pPr>
      <w:r>
        <w:rPr>
          <w:color w:val="000000"/>
          <w:sz w:val="21"/>
          <w:szCs w:val="21"/>
        </w:rPr>
        <w:t>unless one or more of the following conditions apply:</w:t>
      </w:r>
    </w:p>
    <w:p w14:paraId="2443DDA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for any Service Provider Existing IPRs or Third Party IPRs that are not COTS Software, the </w:t>
      </w:r>
      <w:r>
        <w:rPr>
          <w:i/>
          <w:iCs/>
          <w:color w:val="000000"/>
          <w:sz w:val="21"/>
          <w:szCs w:val="21"/>
        </w:rPr>
        <w:t>Client</w:t>
      </w:r>
      <w:r>
        <w:rPr>
          <w:color w:val="000000"/>
          <w:sz w:val="21"/>
          <w:szCs w:val="21"/>
        </w:rPr>
        <w:t xml:space="preserve"> provides Approval after receiving full details of the Service Provider Existing IPRs or Third Party IPRs and their relationship to the </w:t>
      </w:r>
      <w:r>
        <w:rPr>
          <w:i/>
          <w:iCs/>
          <w:color w:val="000000"/>
          <w:sz w:val="21"/>
          <w:szCs w:val="21"/>
        </w:rPr>
        <w:t>services</w:t>
      </w:r>
      <w:r>
        <w:rPr>
          <w:color w:val="000000"/>
          <w:sz w:val="21"/>
          <w:szCs w:val="21"/>
        </w:rPr>
        <w:t xml:space="preserve">; </w:t>
      </w:r>
    </w:p>
    <w:p w14:paraId="5A9B438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in the case </w:t>
      </w:r>
      <w:r>
        <w:rPr>
          <w:color w:val="000000"/>
          <w:sz w:val="21"/>
          <w:szCs w:val="21"/>
        </w:rPr>
        <w:t>of Service Provider Existing IPRs or Third Party IPRs that are, in each case, COTS Software all the following conditions are met:</w:t>
      </w:r>
    </w:p>
    <w:p w14:paraId="1179A507"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w:t>
      </w:r>
      <w:r>
        <w:rPr>
          <w:color w:val="000000"/>
          <w:sz w:val="21"/>
          <w:szCs w:val="21"/>
        </w:rPr>
        <w:t xml:space="preserve"> </w:t>
      </w:r>
      <w:r>
        <w:rPr>
          <w:i/>
          <w:iCs/>
          <w:color w:val="000000"/>
          <w:sz w:val="21"/>
          <w:szCs w:val="21"/>
        </w:rPr>
        <w:t>Provider</w:t>
      </w:r>
      <w:r>
        <w:rPr>
          <w:color w:val="000000"/>
          <w:sz w:val="21"/>
          <w:szCs w:val="21"/>
        </w:rPr>
        <w:t xml:space="preserve"> has provided the </w:t>
      </w:r>
      <w:r>
        <w:rPr>
          <w:i/>
          <w:iCs/>
          <w:color w:val="000000"/>
          <w:sz w:val="21"/>
          <w:szCs w:val="21"/>
        </w:rPr>
        <w:t>Client</w:t>
      </w:r>
      <w:r>
        <w:rPr>
          <w:color w:val="000000"/>
          <w:sz w:val="21"/>
          <w:szCs w:val="21"/>
        </w:rPr>
        <w:t xml:space="preserve"> with the applicable terms for the Service Provider Existing IPRs or Third Party I</w:t>
      </w:r>
      <w:r>
        <w:rPr>
          <w:color w:val="000000"/>
          <w:sz w:val="21"/>
          <w:szCs w:val="21"/>
        </w:rPr>
        <w:t>PRs that are, in each case, COTS Software (which must be at a price and on terms no less favourable than those standard commercial terms on which such software is usually made commercially available); and</w:t>
      </w:r>
    </w:p>
    <w:p w14:paraId="02BCA602"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(in its absolute discretion) rej</w:t>
      </w:r>
      <w:r>
        <w:rPr>
          <w:color w:val="000000"/>
          <w:sz w:val="21"/>
          <w:szCs w:val="21"/>
        </w:rPr>
        <w:t xml:space="preserve">ected those licence terms within ten (10) working days of the date on which they were provided to the </w:t>
      </w:r>
      <w:r>
        <w:rPr>
          <w:i/>
          <w:iCs/>
          <w:color w:val="000000"/>
          <w:sz w:val="21"/>
          <w:szCs w:val="21"/>
        </w:rPr>
        <w:t>Client</w:t>
      </w:r>
      <w:r>
        <w:rPr>
          <w:color w:val="000000"/>
          <w:sz w:val="21"/>
          <w:szCs w:val="21"/>
        </w:rPr>
        <w:t>; and/or</w:t>
      </w:r>
    </w:p>
    <w:p w14:paraId="1A395180"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in the case of Third Party IPRs that are not COTS Software, the </w:t>
      </w:r>
      <w:r>
        <w:rPr>
          <w:i/>
          <w:iCs/>
          <w:color w:val="000000"/>
          <w:sz w:val="21"/>
          <w:szCs w:val="21"/>
        </w:rPr>
        <w:t>Client</w:t>
      </w:r>
      <w:r>
        <w:rPr>
          <w:color w:val="000000"/>
          <w:sz w:val="21"/>
          <w:szCs w:val="21"/>
        </w:rPr>
        <w:t xml:space="preserve"> provides approval under Paragraph 3.1.4 and one of the following con</w:t>
      </w:r>
      <w:r>
        <w:rPr>
          <w:color w:val="000000"/>
          <w:sz w:val="21"/>
          <w:szCs w:val="21"/>
        </w:rPr>
        <w:t>ditions is met:</w:t>
      </w:r>
    </w:p>
    <w:p w14:paraId="23F86CE0"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4.3, as if:</w:t>
      </w:r>
    </w:p>
    <w:p w14:paraId="0C75A1E6"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the term Third Party IPRs were substituted for the term Service Provider Existing IPR; and</w:t>
      </w:r>
    </w:p>
    <w:p w14:paraId="17D0A3D6"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3A2A13D2"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in each place they occur; or</w:t>
      </w:r>
    </w:p>
    <w:p w14:paraId="7B473946"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w:t>
      </w:r>
      <w:r>
        <w:rPr>
          <w:color w:val="000000"/>
          <w:sz w:val="21"/>
          <w:szCs w:val="21"/>
        </w:rPr>
        <w:t xml:space="preserve">eavours, obtain for the </w:t>
      </w:r>
      <w:r>
        <w:rPr>
          <w:i/>
          <w:iCs/>
          <w:color w:val="000000"/>
          <w:sz w:val="21"/>
          <w:szCs w:val="21"/>
        </w:rPr>
        <w:t>Client</w:t>
      </w:r>
      <w:r>
        <w:rPr>
          <w:color w:val="000000"/>
          <w:sz w:val="21"/>
          <w:szCs w:val="21"/>
        </w:rPr>
        <w:t xml:space="preserve"> a Third Party IPR licence as set out in Paragraph 3.1.6.1, all the following conditions are met:</w:t>
      </w:r>
    </w:p>
    <w:p w14:paraId="766D3866"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57199890" w14:textId="77777777" w:rsidR="007960A8" w:rsidRDefault="00A26397">
      <w:pPr>
        <w:widowControl/>
        <w:numPr>
          <w:ilvl w:val="4"/>
          <w:numId w:val="4"/>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0BFEC1BB"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475AC83F"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Approves the licence terms of one of those</w:t>
      </w:r>
      <w:r>
        <w:rPr>
          <w:color w:val="000000"/>
          <w:sz w:val="21"/>
          <w:szCs w:val="21"/>
        </w:rPr>
        <w:t xml:space="preserve"> third parties; and</w:t>
      </w:r>
    </w:p>
    <w:p w14:paraId="00C10443"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the owner and authorised licensor of the Third Party IPR has granted a direct licence of the Third Party IPR to the </w:t>
      </w:r>
      <w:r>
        <w:rPr>
          <w:i/>
          <w:iCs/>
          <w:color w:val="000000"/>
          <w:sz w:val="21"/>
          <w:szCs w:val="21"/>
        </w:rPr>
        <w:t>Client</w:t>
      </w:r>
      <w:r>
        <w:rPr>
          <w:color w:val="000000"/>
          <w:sz w:val="21"/>
          <w:szCs w:val="21"/>
        </w:rPr>
        <w:t xml:space="preserve"> on those terms.</w:t>
      </w:r>
    </w:p>
    <w:p w14:paraId="07CD3CFC"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rejected Service Provider Existing IPRs or Third Party IPRs that are, in each case, COTS Software, the </w:t>
      </w:r>
      <w:r>
        <w:rPr>
          <w:i/>
          <w:iCs/>
          <w:color w:val="000000"/>
          <w:sz w:val="21"/>
          <w:szCs w:val="21"/>
        </w:rPr>
        <w:t>Service Provider</w:t>
      </w:r>
      <w:r>
        <w:rPr>
          <w:color w:val="000000"/>
          <w:sz w:val="21"/>
          <w:szCs w:val="21"/>
        </w:rPr>
        <w:t xml:space="preserve"> must notify the </w:t>
      </w:r>
      <w:r>
        <w:rPr>
          <w:i/>
          <w:iCs/>
          <w:color w:val="000000"/>
          <w:sz w:val="21"/>
          <w:szCs w:val="21"/>
        </w:rPr>
        <w:t>Client</w:t>
      </w:r>
      <w:r>
        <w:rPr>
          <w:color w:val="000000"/>
          <w:sz w:val="21"/>
          <w:szCs w:val="21"/>
        </w:rPr>
        <w:t xml:space="preserve"> within 5 Working Days of becoming aware that any of that COTS Software will in the next thirty-six (36) </w:t>
      </w:r>
      <w:r>
        <w:rPr>
          <w:color w:val="000000"/>
          <w:sz w:val="21"/>
          <w:szCs w:val="21"/>
        </w:rPr>
        <w:t>months no longer be:</w:t>
      </w:r>
    </w:p>
    <w:p w14:paraId="67A93D54"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maintained or supported by the developer; or</w:t>
      </w:r>
    </w:p>
    <w:p w14:paraId="62A2A42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made commercially available.</w:t>
      </w:r>
    </w:p>
    <w:p w14:paraId="14816702"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Licences in respect of Service Provider Existing IPR that is not COTS Software</w:t>
      </w:r>
    </w:p>
    <w:p w14:paraId="43597997"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Subject to the </w:t>
      </w:r>
      <w:r>
        <w:rPr>
          <w:i/>
          <w:iCs/>
          <w:color w:val="000000"/>
          <w:sz w:val="21"/>
          <w:szCs w:val="21"/>
        </w:rPr>
        <w:t>Client</w:t>
      </w:r>
      <w:r>
        <w:rPr>
          <w:color w:val="000000"/>
          <w:sz w:val="21"/>
          <w:szCs w:val="21"/>
        </w:rPr>
        <w:t xml:space="preserve"> approving the use of Service Provider Existing IPR under Par</w:t>
      </w:r>
      <w:r>
        <w:rPr>
          <w:color w:val="000000"/>
          <w:sz w:val="21"/>
          <w:szCs w:val="21"/>
        </w:rPr>
        <w:t xml:space="preserve">agraph 3, 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Existing IPR Licence on the terms set out in Paragraph 4.3 in respect of each </w:t>
      </w:r>
      <w:r>
        <w:rPr>
          <w:i/>
          <w:iCs/>
          <w:color w:val="000000"/>
          <w:sz w:val="21"/>
          <w:szCs w:val="21"/>
        </w:rPr>
        <w:t>service</w:t>
      </w:r>
      <w:r>
        <w:rPr>
          <w:color w:val="000000"/>
          <w:sz w:val="21"/>
          <w:szCs w:val="21"/>
        </w:rPr>
        <w:t xml:space="preserve"> where:</w:t>
      </w:r>
    </w:p>
    <w:p w14:paraId="5A9A62BB"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Service Provider Existing IPR that is not COTS Software is embedded in the </w:t>
      </w:r>
      <w:r>
        <w:rPr>
          <w:i/>
          <w:iCs/>
          <w:color w:val="000000"/>
          <w:sz w:val="21"/>
          <w:szCs w:val="21"/>
        </w:rPr>
        <w:t>services</w:t>
      </w:r>
      <w:r>
        <w:rPr>
          <w:color w:val="000000"/>
          <w:sz w:val="21"/>
          <w:szCs w:val="21"/>
        </w:rPr>
        <w:t>;</w:t>
      </w:r>
    </w:p>
    <w:p w14:paraId="6FCA87B5"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the Se</w:t>
      </w:r>
      <w:r>
        <w:rPr>
          <w:color w:val="000000"/>
          <w:sz w:val="21"/>
          <w:szCs w:val="21"/>
        </w:rPr>
        <w:t xml:space="preserve">rvice Provider Existing IPR that is not COTS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any of the purposes set out in Paragraph 4.4; or</w:t>
      </w:r>
    </w:p>
    <w:p w14:paraId="47C51A8C"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are a customisation or adaptation of Service Provider Existing IPR that is not COTS Soft</w:t>
      </w:r>
      <w:r>
        <w:rPr>
          <w:color w:val="000000"/>
          <w:sz w:val="21"/>
          <w:szCs w:val="21"/>
        </w:rPr>
        <w:t>ware.</w:t>
      </w:r>
    </w:p>
    <w:p w14:paraId="6F9846FF"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The categories of Service Provider Existing IPR that is not COTS Software set out in Paragraph 4.1 are mutually exclusive.</w:t>
      </w:r>
    </w:p>
    <w:p w14:paraId="3FE8922F"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Service Provider Existing IPR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 perpetual, royalty-</w:t>
      </w:r>
      <w:r>
        <w:rPr>
          <w:color w:val="000000"/>
          <w:sz w:val="21"/>
          <w:szCs w:val="21"/>
        </w:rPr>
        <w:t>free, irrevocable, transferable, sub-licensable, worldwide licence that:</w:t>
      </w:r>
    </w:p>
    <w:p w14:paraId="583CDE2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in the case of Service Provider Existing IPR that is not COTS Software embedded in a </w:t>
      </w:r>
      <w:r>
        <w:rPr>
          <w:i/>
          <w:iCs/>
          <w:color w:val="000000"/>
          <w:sz w:val="21"/>
          <w:szCs w:val="21"/>
        </w:rPr>
        <w:t>service</w:t>
      </w:r>
      <w:r>
        <w:rPr>
          <w:color w:val="000000"/>
          <w:sz w:val="21"/>
          <w:szCs w:val="21"/>
        </w:rPr>
        <w:t>:</w:t>
      </w:r>
    </w:p>
    <w:p w14:paraId="322275A6"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has no restriction on the identity of any transferee or sub-licensee;</w:t>
      </w:r>
    </w:p>
    <w:p w14:paraId="6F083D17"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is sub-licensable solely for any of purposes in Paragraph 4.4;</w:t>
      </w:r>
    </w:p>
    <w:p w14:paraId="2A1C88C1"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copy and adapt the Service Provider Existing IPR that is not COTS Software for any of the purposes in Paragraph 4.4; and</w:t>
      </w:r>
    </w:p>
    <w:p w14:paraId="23B70F15"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in the case of Service Provider Exiting IPR that is not COTS Software that is necessary for</w:t>
      </w:r>
      <w:r>
        <w:rPr>
          <w:color w:val="000000"/>
          <w:sz w:val="21"/>
          <w:szCs w:val="21"/>
        </w:rPr>
        <w:t xml:space="preserve">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its intended purpose or has been customised or adapted to provide the </w:t>
      </w:r>
      <w:r>
        <w:rPr>
          <w:i/>
          <w:iCs/>
          <w:color w:val="000000"/>
          <w:sz w:val="21"/>
          <w:szCs w:val="21"/>
        </w:rPr>
        <w:t>services</w:t>
      </w:r>
      <w:r>
        <w:rPr>
          <w:color w:val="000000"/>
          <w:sz w:val="21"/>
          <w:szCs w:val="21"/>
        </w:rPr>
        <w:t>:</w:t>
      </w:r>
    </w:p>
    <w:p w14:paraId="40CA7098"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Service Pro</w:t>
      </w:r>
      <w:r>
        <w:rPr>
          <w:color w:val="000000"/>
          <w:sz w:val="21"/>
          <w:szCs w:val="21"/>
        </w:rPr>
        <w:t>vider Existing IPRs that is not COTS Software for the purposes set out in Paragraphs 4.4;</w:t>
      </w:r>
    </w:p>
    <w:p w14:paraId="314E5A80"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is transferrable to only:</w:t>
      </w:r>
    </w:p>
    <w:p w14:paraId="25F2ADD4"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w:t>
      </w:r>
      <w:r>
        <w:rPr>
          <w:color w:val="000000"/>
          <w:sz w:val="21"/>
          <w:szCs w:val="21"/>
        </w:rPr>
        <w:t>performed or carried out; or</w:t>
      </w:r>
    </w:p>
    <w:p w14:paraId="6A0362DF"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1EF50272" w14:textId="77777777" w:rsidR="007960A8" w:rsidRDefault="00A26397">
      <w:pPr>
        <w:widowControl/>
        <w:numPr>
          <w:ilvl w:val="4"/>
          <w:numId w:val="3"/>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386B8570" w14:textId="77777777" w:rsidR="007960A8" w:rsidRDefault="00A26397">
      <w:pPr>
        <w:widowControl/>
        <w:numPr>
          <w:ilvl w:val="4"/>
          <w:numId w:val="3"/>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w:t>
      </w:r>
    </w:p>
    <w:p w14:paraId="0FEAF21B"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is sub-licensable to the Replacement Service Provider (including where the Replacement Service Provider is a co</w:t>
      </w:r>
      <w:r>
        <w:rPr>
          <w:color w:val="000000"/>
          <w:sz w:val="21"/>
          <w:szCs w:val="21"/>
        </w:rPr>
        <w:t xml:space="preserve">mpetitor of the </w:t>
      </w:r>
      <w:r>
        <w:rPr>
          <w:i/>
          <w:iCs/>
          <w:color w:val="000000"/>
          <w:sz w:val="21"/>
          <w:szCs w:val="21"/>
        </w:rPr>
        <w:t>Service Provider</w:t>
      </w:r>
      <w:r>
        <w:rPr>
          <w:color w:val="000000"/>
          <w:sz w:val="21"/>
          <w:szCs w:val="21"/>
        </w:rPr>
        <w:t>);</w:t>
      </w:r>
    </w:p>
    <w:p w14:paraId="4356B62C"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where the Replacement Service Provider either:</w:t>
      </w:r>
    </w:p>
    <w:p w14:paraId="709790F2"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01A08163"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w:t>
      </w:r>
      <w:r>
        <w:rPr>
          <w:color w:val="000000"/>
          <w:sz w:val="21"/>
          <w:szCs w:val="21"/>
        </w:rPr>
        <w:t xml:space="preserve"> parties, acting reasonably; and</w:t>
      </w:r>
    </w:p>
    <w:p w14:paraId="059074FB"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includes a perpetual, royalty-free, non-exclusive licence to use, copy and adapt any Know-How, trade secrets or Confidential Information of the </w:t>
      </w:r>
      <w:r>
        <w:rPr>
          <w:i/>
          <w:iCs/>
          <w:color w:val="000000"/>
          <w:sz w:val="21"/>
          <w:szCs w:val="21"/>
        </w:rPr>
        <w:t>Service Provider</w:t>
      </w:r>
      <w:r>
        <w:rPr>
          <w:color w:val="000000"/>
          <w:sz w:val="21"/>
          <w:szCs w:val="21"/>
        </w:rPr>
        <w:t xml:space="preserve"> contained within any </w:t>
      </w:r>
      <w:r>
        <w:rPr>
          <w:i/>
          <w:iCs/>
          <w:color w:val="000000"/>
          <w:sz w:val="21"/>
          <w:szCs w:val="21"/>
        </w:rPr>
        <w:t>services</w:t>
      </w:r>
      <w:r>
        <w:rPr>
          <w:color w:val="000000"/>
          <w:sz w:val="21"/>
          <w:szCs w:val="21"/>
        </w:rPr>
        <w:t>; and</w:t>
      </w:r>
    </w:p>
    <w:p w14:paraId="11E475A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is subject to the restrictions that:</w:t>
      </w:r>
    </w:p>
    <w:p w14:paraId="0481B2E3"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no sub-licence granted to the Service Provider Existing IPR that is not COTS Software shall purport to provide the sub-licensee with any wider rights than those granted to the </w:t>
      </w:r>
      <w:r>
        <w:rPr>
          <w:i/>
          <w:iCs/>
          <w:color w:val="000000"/>
          <w:sz w:val="21"/>
          <w:szCs w:val="21"/>
        </w:rPr>
        <w:t>Client</w:t>
      </w:r>
      <w:r>
        <w:rPr>
          <w:color w:val="000000"/>
          <w:sz w:val="21"/>
          <w:szCs w:val="21"/>
        </w:rPr>
        <w:t xml:space="preserve"> under this Paragraph; and</w:t>
      </w:r>
    </w:p>
    <w:p w14:paraId="7EB8594D"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any transf</w:t>
      </w:r>
      <w:r>
        <w:rPr>
          <w:color w:val="000000"/>
          <w:sz w:val="21"/>
          <w:szCs w:val="21"/>
        </w:rPr>
        <w:t>eree or sublicensee of the Service Provider Existing IPR Licence must either:</w:t>
      </w:r>
    </w:p>
    <w:p w14:paraId="0146E322"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enter into a direct arrangement with the </w:t>
      </w:r>
      <w:r>
        <w:rPr>
          <w:i/>
          <w:iCs/>
          <w:color w:val="000000"/>
          <w:sz w:val="21"/>
          <w:szCs w:val="21"/>
        </w:rPr>
        <w:t>Service Provider</w:t>
      </w:r>
      <w:r>
        <w:rPr>
          <w:color w:val="000000"/>
          <w:sz w:val="21"/>
          <w:szCs w:val="21"/>
        </w:rPr>
        <w:t xml:space="preserve"> in the form set out in Annex 2; or</w:t>
      </w:r>
    </w:p>
    <w:p w14:paraId="1784344B"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enter into a confidentiality arrangement with the </w:t>
      </w:r>
      <w:r>
        <w:rPr>
          <w:i/>
          <w:iCs/>
          <w:color w:val="000000"/>
          <w:sz w:val="21"/>
          <w:szCs w:val="21"/>
        </w:rPr>
        <w:t>Client</w:t>
      </w:r>
      <w:r>
        <w:rPr>
          <w:color w:val="000000"/>
          <w:sz w:val="21"/>
          <w:szCs w:val="21"/>
        </w:rPr>
        <w:t xml:space="preserve"> in terms agreed between the </w:t>
      </w:r>
      <w:r>
        <w:rPr>
          <w:color w:val="000000"/>
          <w:sz w:val="21"/>
          <w:szCs w:val="21"/>
        </w:rPr>
        <w:t>parties, acting reasonably.</w:t>
      </w:r>
    </w:p>
    <w:p w14:paraId="45D6E9C7"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For the purposes of Paragraphs 4.1 and 4.3, the relevant purposes are:</w:t>
      </w:r>
    </w:p>
    <w:p w14:paraId="60D3560A"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w:t>
      </w:r>
    </w:p>
    <w:p w14:paraId="26989E9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to commercially exploit (including by publication under Open Licence) the Specially Written Software, the New IPR and New IPR Items; and</w:t>
      </w:r>
    </w:p>
    <w:p w14:paraId="4808E25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for any purpose relating to the exercise of the </w:t>
      </w:r>
      <w:r>
        <w:rPr>
          <w:i/>
          <w:iCs/>
          <w:color w:val="000000"/>
          <w:sz w:val="21"/>
          <w:szCs w:val="21"/>
        </w:rPr>
        <w:t>Client’s</w:t>
      </w:r>
      <w:r>
        <w:rPr>
          <w:color w:val="000000"/>
          <w:sz w:val="21"/>
          <w:szCs w:val="21"/>
        </w:rPr>
        <w:t xml:space="preserve"> (or, if the </w:t>
      </w:r>
      <w:r>
        <w:rPr>
          <w:i/>
          <w:iCs/>
          <w:color w:val="000000"/>
          <w:sz w:val="21"/>
          <w:szCs w:val="21"/>
        </w:rPr>
        <w:t>Client</w:t>
      </w:r>
      <w:r>
        <w:rPr>
          <w:color w:val="000000"/>
          <w:sz w:val="21"/>
          <w:szCs w:val="21"/>
        </w:rPr>
        <w:t xml:space="preserve"> is a Public Sector Body, any other Public </w:t>
      </w:r>
      <w:r>
        <w:rPr>
          <w:color w:val="000000"/>
          <w:sz w:val="21"/>
          <w:szCs w:val="21"/>
        </w:rPr>
        <w:t>Sector Body’s) business or function.</w:t>
      </w:r>
    </w:p>
    <w:p w14:paraId="17E01B7E"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Licences granted by the Client</w:t>
      </w:r>
    </w:p>
    <w:p w14:paraId="0B8B7C3B"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Subject to Paragraph 6 (in the case of New IPR and Specially Written Software), the </w:t>
      </w:r>
      <w:r>
        <w:rPr>
          <w:i/>
          <w:iCs/>
          <w:color w:val="000000"/>
          <w:sz w:val="21"/>
          <w:szCs w:val="21"/>
        </w:rPr>
        <w:t>Client</w:t>
      </w:r>
      <w:r>
        <w:rPr>
          <w:color w:val="000000"/>
          <w:sz w:val="21"/>
          <w:szCs w:val="21"/>
        </w:rPr>
        <w:t xml:space="preserve"> grants the </w:t>
      </w:r>
      <w:r>
        <w:rPr>
          <w:i/>
          <w:iCs/>
          <w:color w:val="000000"/>
          <w:sz w:val="21"/>
          <w:szCs w:val="21"/>
        </w:rPr>
        <w:t>Service Provider</w:t>
      </w:r>
      <w:r>
        <w:rPr>
          <w:color w:val="000000"/>
          <w:sz w:val="21"/>
          <w:szCs w:val="21"/>
        </w:rPr>
        <w:t xml:space="preserve"> a licence to the New IPR, Specially Written Software and Client Exist</w:t>
      </w:r>
      <w:r>
        <w:rPr>
          <w:color w:val="000000"/>
          <w:sz w:val="21"/>
          <w:szCs w:val="21"/>
        </w:rPr>
        <w:t>ing IPR that:</w:t>
      </w:r>
    </w:p>
    <w:p w14:paraId="0129938B"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is non-exclusive, royalty-free and non-transferable;</w:t>
      </w:r>
    </w:p>
    <w:p w14:paraId="330DE02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is sub-licensable to any Sub-contractor where:</w:t>
      </w:r>
    </w:p>
    <w:p w14:paraId="365C71BD"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by the parties, acting reasonably; and</w:t>
      </w:r>
    </w:p>
    <w:p w14:paraId="13842888"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sub-licence does not purport to provide the sub-licensee with any wider rights than those granted to the </w:t>
      </w:r>
      <w:r>
        <w:rPr>
          <w:i/>
          <w:iCs/>
          <w:color w:val="000000"/>
          <w:sz w:val="21"/>
          <w:szCs w:val="21"/>
        </w:rPr>
        <w:t>Service Provider</w:t>
      </w:r>
      <w:r>
        <w:rPr>
          <w:color w:val="000000"/>
          <w:sz w:val="21"/>
          <w:szCs w:val="21"/>
        </w:rPr>
        <w:t xml:space="preserve"> under this Paragraph;</w:t>
      </w:r>
    </w:p>
    <w:p w14:paraId="5013A280"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in the case of Client Existing IPR:</w:t>
      </w:r>
    </w:p>
    <w:p w14:paraId="1C4DF214"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w:t>
      </w:r>
      <w:r>
        <w:rPr>
          <w:i/>
          <w:iCs/>
          <w:color w:val="000000"/>
          <w:sz w:val="21"/>
          <w:szCs w:val="21"/>
        </w:rPr>
        <w:t>ce Provider</w:t>
      </w:r>
      <w:r>
        <w:rPr>
          <w:color w:val="000000"/>
          <w:sz w:val="21"/>
          <w:szCs w:val="21"/>
        </w:rPr>
        <w:t xml:space="preserve"> and any sub-licensee to use, copy and adapt any Client Existing IPR for the purpose of:</w:t>
      </w:r>
    </w:p>
    <w:p w14:paraId="754C9A1E"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fulfilling its obligations under the Contract; and</w:t>
      </w:r>
    </w:p>
    <w:p w14:paraId="16C15B39"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where terms are agreed by the </w:t>
      </w:r>
      <w:r>
        <w:rPr>
          <w:i/>
          <w:iCs/>
          <w:color w:val="000000"/>
          <w:sz w:val="21"/>
          <w:szCs w:val="21"/>
        </w:rPr>
        <w:t>Client</w:t>
      </w:r>
      <w:r>
        <w:rPr>
          <w:color w:val="000000"/>
          <w:sz w:val="21"/>
          <w:szCs w:val="21"/>
        </w:rPr>
        <w:t xml:space="preserve"> and </w:t>
      </w:r>
      <w:r>
        <w:rPr>
          <w:i/>
          <w:iCs/>
          <w:color w:val="000000"/>
          <w:sz w:val="21"/>
          <w:szCs w:val="21"/>
        </w:rPr>
        <w:t>Service Provider</w:t>
      </w:r>
      <w:r>
        <w:rPr>
          <w:color w:val="000000"/>
          <w:sz w:val="21"/>
          <w:szCs w:val="21"/>
        </w:rPr>
        <w:t xml:space="preserve"> under Paragraph 6, commercially exploiting the </w:t>
      </w:r>
      <w:r>
        <w:rPr>
          <w:color w:val="000000"/>
          <w:sz w:val="21"/>
          <w:szCs w:val="21"/>
        </w:rPr>
        <w:t xml:space="preserve">New IPR and Specially Written Software; and </w:t>
      </w:r>
    </w:p>
    <w:p w14:paraId="12D569F5"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terminates at the later of:</w:t>
      </w:r>
    </w:p>
    <w:p w14:paraId="204EA416"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the end of the s</w:t>
      </w:r>
      <w:r>
        <w:rPr>
          <w:i/>
          <w:iCs/>
          <w:color w:val="000000"/>
          <w:sz w:val="21"/>
          <w:szCs w:val="21"/>
        </w:rPr>
        <w:t>ervice period</w:t>
      </w:r>
      <w:r>
        <w:rPr>
          <w:color w:val="000000"/>
          <w:sz w:val="21"/>
          <w:szCs w:val="21"/>
        </w:rPr>
        <w:t>; or</w:t>
      </w:r>
    </w:p>
    <w:p w14:paraId="03F9AFCB" w14:textId="77777777" w:rsidR="007960A8" w:rsidRDefault="00A26397">
      <w:pPr>
        <w:widowControl/>
        <w:numPr>
          <w:ilvl w:val="4"/>
          <w:numId w:val="125"/>
        </w:numPr>
        <w:pBdr>
          <w:top w:val="nil"/>
          <w:left w:val="nil"/>
          <w:bottom w:val="nil"/>
          <w:right w:val="nil"/>
          <w:between w:val="nil"/>
        </w:pBdr>
        <w:spacing w:after="240"/>
        <w:jc w:val="both"/>
      </w:pPr>
      <w:r>
        <w:rPr>
          <w:color w:val="000000"/>
          <w:sz w:val="21"/>
          <w:szCs w:val="21"/>
        </w:rPr>
        <w:t xml:space="preserve">the occurrence of any condition, or on the date, specified by the </w:t>
      </w:r>
      <w:r>
        <w:rPr>
          <w:i/>
          <w:iCs/>
          <w:color w:val="000000"/>
          <w:sz w:val="21"/>
          <w:szCs w:val="21"/>
        </w:rPr>
        <w:t>Client</w:t>
      </w:r>
      <w:r>
        <w:rPr>
          <w:color w:val="000000"/>
          <w:sz w:val="21"/>
          <w:szCs w:val="21"/>
        </w:rPr>
        <w:t>; and</w:t>
      </w:r>
    </w:p>
    <w:p w14:paraId="1CD9C362"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in the case of New IPR and Specially Written Software is:</w:t>
      </w:r>
    </w:p>
    <w:p w14:paraId="692948C3"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where terms are agreed by the </w:t>
      </w:r>
      <w:r>
        <w:rPr>
          <w:i/>
          <w:iCs/>
          <w:color w:val="000000"/>
          <w:sz w:val="21"/>
          <w:szCs w:val="21"/>
        </w:rPr>
        <w:t>Client</w:t>
      </w:r>
      <w:r>
        <w:rPr>
          <w:color w:val="000000"/>
          <w:sz w:val="21"/>
          <w:szCs w:val="21"/>
        </w:rPr>
        <w:t xml:space="preserve"> and </w:t>
      </w:r>
      <w:r>
        <w:rPr>
          <w:i/>
          <w:iCs/>
          <w:color w:val="000000"/>
          <w:sz w:val="21"/>
          <w:szCs w:val="21"/>
        </w:rPr>
        <w:t>Service Provider</w:t>
      </w:r>
      <w:r>
        <w:rPr>
          <w:color w:val="000000"/>
          <w:sz w:val="21"/>
          <w:szCs w:val="21"/>
        </w:rPr>
        <w:t xml:space="preserve"> under Paragraph 6, on those terms; or</w:t>
      </w:r>
    </w:p>
    <w:p w14:paraId="6FD94996"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where terms are not agreed by the </w:t>
      </w:r>
      <w:r>
        <w:rPr>
          <w:i/>
          <w:iCs/>
          <w:color w:val="000000"/>
          <w:sz w:val="21"/>
          <w:szCs w:val="21"/>
        </w:rPr>
        <w:t>Client</w:t>
      </w:r>
      <w:r>
        <w:rPr>
          <w:color w:val="000000"/>
          <w:sz w:val="21"/>
          <w:szCs w:val="21"/>
        </w:rPr>
        <w:t xml:space="preserve"> and </w:t>
      </w:r>
      <w:r>
        <w:rPr>
          <w:i/>
          <w:iCs/>
          <w:color w:val="000000"/>
          <w:sz w:val="21"/>
          <w:szCs w:val="21"/>
        </w:rPr>
        <w:t>Service Provider</w:t>
      </w:r>
      <w:r>
        <w:rPr>
          <w:color w:val="000000"/>
          <w:sz w:val="21"/>
          <w:szCs w:val="21"/>
        </w:rPr>
        <w:t xml:space="preserve"> under Paragraph 6, on the same terms as Client Existing IPR under Paragraph 5.1.3.</w:t>
      </w:r>
    </w:p>
    <w:p w14:paraId="7DE8FD25"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When the licence granted under Paragraph 5.1 terminates, the </w:t>
      </w:r>
      <w:r>
        <w:rPr>
          <w:i/>
          <w:iCs/>
          <w:color w:val="000000"/>
          <w:sz w:val="21"/>
          <w:szCs w:val="21"/>
        </w:rPr>
        <w:t>Service Provider</w:t>
      </w:r>
      <w:r>
        <w:rPr>
          <w:color w:val="000000"/>
          <w:sz w:val="21"/>
          <w:szCs w:val="21"/>
        </w:rPr>
        <w:t xml:space="preserve"> must, and must ensure that each Sub-contractor granted a sub-licence under Paragraph 5.1.2:</w:t>
      </w:r>
    </w:p>
    <w:p w14:paraId="6E4465C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im</w:t>
      </w:r>
      <w:r>
        <w:rPr>
          <w:color w:val="000000"/>
          <w:sz w:val="21"/>
          <w:szCs w:val="21"/>
        </w:rPr>
        <w:t>mediately cease all use of the Client Existing IPR, New IPR or Specially Written Software (including the Government Data within which the Client Existing IPR, New IPR or Specially Written Software may subsist);</w:t>
      </w:r>
    </w:p>
    <w:p w14:paraId="5102894B"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either:</w:t>
      </w:r>
    </w:p>
    <w:p w14:paraId="6959ED04"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at the discretion of the </w:t>
      </w:r>
      <w:r>
        <w:rPr>
          <w:i/>
          <w:iCs/>
          <w:color w:val="000000"/>
          <w:sz w:val="21"/>
          <w:szCs w:val="21"/>
        </w:rPr>
        <w:t>Client</w:t>
      </w:r>
      <w:r>
        <w:rPr>
          <w:color w:val="000000"/>
          <w:sz w:val="21"/>
          <w:szCs w:val="21"/>
        </w:rPr>
        <w:t>, retu</w:t>
      </w:r>
      <w:r>
        <w:rPr>
          <w:color w:val="000000"/>
          <w:sz w:val="21"/>
          <w:szCs w:val="21"/>
        </w:rPr>
        <w:t xml:space="preserve">rn or destroy documents and other tangible materials that contain any of the Client Existing IPR, New IPR, Specially Written Software and the Government Data; or </w:t>
      </w:r>
    </w:p>
    <w:p w14:paraId="39E6AC70"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has not made an election within six months of the termination of the licence, d</w:t>
      </w:r>
      <w:r>
        <w:rPr>
          <w:color w:val="000000"/>
          <w:sz w:val="21"/>
          <w:szCs w:val="21"/>
        </w:rPr>
        <w:t>estroy the documents and other tangible materials that contain any of the Client Existing IPR, the New IPR, the Specially Written Software and the Government Data (as the case may be); and</w:t>
      </w:r>
    </w:p>
    <w:p w14:paraId="6172136F"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ensure, so far as reasonably practicable, that any Client Existing </w:t>
      </w:r>
      <w:r>
        <w:rPr>
          <w:color w:val="000000"/>
          <w:sz w:val="21"/>
          <w:szCs w:val="21"/>
        </w:rPr>
        <w:t xml:space="preserve">IPR, New IPR, the Specially Written Software and Government Data held in electronic, digital or other machine-readable form ceases to be readily accessible from any computer, word processor, voicemail system or any other device of the </w:t>
      </w:r>
      <w:r>
        <w:rPr>
          <w:i/>
          <w:iCs/>
          <w:color w:val="000000"/>
          <w:sz w:val="21"/>
          <w:szCs w:val="21"/>
        </w:rPr>
        <w:t>Service Provider</w:t>
      </w:r>
      <w:r>
        <w:rPr>
          <w:color w:val="000000"/>
          <w:sz w:val="21"/>
          <w:szCs w:val="21"/>
        </w:rPr>
        <w:t>.</w:t>
      </w:r>
    </w:p>
    <w:p w14:paraId="706085DA"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Client approval for Service Provider to exploit New IPR and Specially Written Software</w:t>
      </w:r>
    </w:p>
    <w:p w14:paraId="41FBF80D"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Before using, copying or adapting any Client Existing IPR, New IPR or Specially Written Software for any purpose other than fulfilling its obligations under the Contract</w:t>
      </w:r>
      <w:r>
        <w:rPr>
          <w:color w:val="000000"/>
          <w:sz w:val="21"/>
          <w:szCs w:val="21"/>
        </w:rPr>
        <w:t xml:space="preserve">, the </w:t>
      </w:r>
      <w:r>
        <w:rPr>
          <w:i/>
          <w:iCs/>
          <w:color w:val="000000"/>
          <w:sz w:val="21"/>
          <w:szCs w:val="21"/>
        </w:rPr>
        <w:t>Service Provider</w:t>
      </w:r>
      <w:r>
        <w:rPr>
          <w:color w:val="000000"/>
          <w:sz w:val="21"/>
          <w:szCs w:val="21"/>
        </w:rPr>
        <w:t xml:space="preserve"> must seek the approval of the </w:t>
      </w:r>
      <w:r>
        <w:rPr>
          <w:i/>
          <w:iCs/>
          <w:color w:val="000000"/>
          <w:sz w:val="21"/>
          <w:szCs w:val="21"/>
        </w:rPr>
        <w:t>Client</w:t>
      </w:r>
      <w:r>
        <w:rPr>
          <w:color w:val="000000"/>
          <w:sz w:val="21"/>
          <w:szCs w:val="21"/>
        </w:rPr>
        <w:t xml:space="preserve"> in accordance with the provisions of this Paragraph.</w:t>
      </w:r>
    </w:p>
    <w:p w14:paraId="7A67EE4D"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terminate any licence it grants under this Paragraph by notice in writing with immediate effect where the </w:t>
      </w:r>
      <w:r>
        <w:rPr>
          <w:i/>
          <w:iCs/>
          <w:color w:val="000000"/>
          <w:sz w:val="21"/>
          <w:szCs w:val="21"/>
        </w:rPr>
        <w:t>Service Provider</w:t>
      </w:r>
      <w:r>
        <w:rPr>
          <w:color w:val="000000"/>
          <w:sz w:val="21"/>
          <w:szCs w:val="21"/>
        </w:rPr>
        <w:t xml:space="preserve"> breac</w:t>
      </w:r>
      <w:r>
        <w:rPr>
          <w:color w:val="000000"/>
          <w:sz w:val="21"/>
          <w:szCs w:val="21"/>
        </w:rPr>
        <w:t>hes any condition in that licence.</w:t>
      </w:r>
    </w:p>
    <w:p w14:paraId="002DE92D"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detailed proposal setting out:</w:t>
      </w:r>
    </w:p>
    <w:p w14:paraId="7C5717B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the purpose for which it proposes to use the Client Existing IPR, New IPR or Specially Written Software;</w:t>
      </w:r>
    </w:p>
    <w:p w14:paraId="3435ECC6"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Client Existing IPR, New IPR or Specially Written Software;</w:t>
      </w:r>
    </w:p>
    <w:p w14:paraId="13C9449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its pro</w:t>
      </w:r>
      <w:r>
        <w:rPr>
          <w:color w:val="000000"/>
          <w:sz w:val="21"/>
          <w:szCs w:val="21"/>
        </w:rPr>
        <w:t>posed business plan, including:</w:t>
      </w:r>
    </w:p>
    <w:p w14:paraId="2B5A2F53"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goods or </w:t>
      </w:r>
      <w:r>
        <w:rPr>
          <w:i/>
          <w:iCs/>
          <w:color w:val="000000"/>
          <w:sz w:val="21"/>
          <w:szCs w:val="21"/>
        </w:rPr>
        <w:t>services</w:t>
      </w:r>
      <w:r>
        <w:rPr>
          <w:color w:val="000000"/>
          <w:sz w:val="21"/>
          <w:szCs w:val="21"/>
        </w:rPr>
        <w:t xml:space="preserve"> to be offered by the </w:t>
      </w:r>
      <w:r>
        <w:rPr>
          <w:i/>
          <w:iCs/>
          <w:color w:val="000000"/>
          <w:sz w:val="21"/>
          <w:szCs w:val="21"/>
        </w:rPr>
        <w:t>Service Provider</w:t>
      </w:r>
      <w:r>
        <w:rPr>
          <w:color w:val="000000"/>
          <w:sz w:val="21"/>
          <w:szCs w:val="21"/>
        </w:rPr>
        <w:t xml:space="preserve"> that use or incorporate the Client Existing IPR, New IPR or Specially Written Software;</w:t>
      </w:r>
    </w:p>
    <w:p w14:paraId="3DD65965"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the relationship between the Client Existing IPR, New IPR or Specially Written Software and any Service Provider Existing IPR or Third Party IPR to be incorporated int</w:t>
      </w:r>
      <w:r>
        <w:rPr>
          <w:color w:val="000000"/>
          <w:sz w:val="21"/>
          <w:szCs w:val="21"/>
        </w:rPr>
        <w:t xml:space="preserve">o, or used to provide, those goods or </w:t>
      </w:r>
      <w:r>
        <w:rPr>
          <w:i/>
          <w:iCs/>
          <w:color w:val="000000"/>
          <w:sz w:val="21"/>
          <w:szCs w:val="21"/>
        </w:rPr>
        <w:t>services</w:t>
      </w:r>
      <w:r>
        <w:rPr>
          <w:color w:val="000000"/>
          <w:sz w:val="21"/>
          <w:szCs w:val="21"/>
        </w:rPr>
        <w:t>;</w:t>
      </w:r>
    </w:p>
    <w:p w14:paraId="63305427"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target markets for those goods or </w:t>
      </w:r>
      <w:r>
        <w:rPr>
          <w:i/>
          <w:iCs/>
          <w:color w:val="000000"/>
          <w:sz w:val="21"/>
          <w:szCs w:val="21"/>
        </w:rPr>
        <w:t>services</w:t>
      </w:r>
      <w:r>
        <w:rPr>
          <w:color w:val="000000"/>
          <w:sz w:val="21"/>
          <w:szCs w:val="21"/>
        </w:rPr>
        <w:t>;</w:t>
      </w:r>
    </w:p>
    <w:p w14:paraId="50193B8D"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the estimated level of orders;</w:t>
      </w:r>
    </w:p>
    <w:p w14:paraId="730E72D3"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its marketing strategy;</w:t>
      </w:r>
    </w:p>
    <w:p w14:paraId="0C580A5B"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details of the estimated costs, prices, revenues and profits; and</w:t>
      </w:r>
    </w:p>
    <w:p w14:paraId="289208B8"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 xml:space="preserve">the proposed financial benefit to the </w:t>
      </w:r>
      <w:r>
        <w:rPr>
          <w:i/>
          <w:iCs/>
          <w:color w:val="000000"/>
          <w:sz w:val="21"/>
          <w:szCs w:val="21"/>
        </w:rPr>
        <w:t>C</w:t>
      </w:r>
      <w:r>
        <w:rPr>
          <w:i/>
          <w:iCs/>
          <w:color w:val="000000"/>
          <w:sz w:val="21"/>
          <w:szCs w:val="21"/>
        </w:rPr>
        <w:t>lient</w:t>
      </w:r>
      <w:r>
        <w:rPr>
          <w:color w:val="000000"/>
          <w:sz w:val="21"/>
          <w:szCs w:val="21"/>
        </w:rPr>
        <w:t>;</w:t>
      </w:r>
    </w:p>
    <w:p w14:paraId="0565558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impact of the proposal on the </w:t>
      </w:r>
      <w:r>
        <w:rPr>
          <w:i/>
          <w:iCs/>
          <w:color w:val="000000"/>
          <w:sz w:val="21"/>
          <w:szCs w:val="21"/>
        </w:rPr>
        <w:t>services</w:t>
      </w:r>
      <w:r>
        <w:rPr>
          <w:color w:val="000000"/>
          <w:sz w:val="21"/>
          <w:szCs w:val="21"/>
        </w:rPr>
        <w:t xml:space="preserve"> the </w:t>
      </w:r>
      <w:r>
        <w:rPr>
          <w:i/>
          <w:iCs/>
          <w:color w:val="000000"/>
          <w:sz w:val="21"/>
          <w:szCs w:val="21"/>
        </w:rPr>
        <w:t>Service Provider</w:t>
      </w:r>
      <w:r>
        <w:rPr>
          <w:color w:val="000000"/>
          <w:sz w:val="21"/>
          <w:szCs w:val="21"/>
        </w:rPr>
        <w:t xml:space="preserve"> provides under the Contract;</w:t>
      </w:r>
    </w:p>
    <w:p w14:paraId="1B8E2DD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an analysis of the likely terms, including financial terms, on which the </w:t>
      </w:r>
      <w:r>
        <w:rPr>
          <w:i/>
          <w:iCs/>
          <w:color w:val="000000"/>
          <w:sz w:val="21"/>
          <w:szCs w:val="21"/>
        </w:rPr>
        <w:t>Service Provider</w:t>
      </w:r>
      <w:r>
        <w:rPr>
          <w:color w:val="000000"/>
          <w:sz w:val="21"/>
          <w:szCs w:val="21"/>
        </w:rPr>
        <w:t xml:space="preserve"> would be able to obtain access to intellectual property equivalent</w:t>
      </w:r>
      <w:r>
        <w:rPr>
          <w:color w:val="000000"/>
          <w:sz w:val="21"/>
          <w:szCs w:val="21"/>
        </w:rPr>
        <w:t xml:space="preserve"> to the Client Existing IPR, New IPR or Specially Written Software were it to enter into an arm’s length commercial relationship with a third-party;</w:t>
      </w:r>
    </w:p>
    <w:p w14:paraId="3880CA1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any proposed changes to the Contract; </w:t>
      </w:r>
    </w:p>
    <w:p w14:paraId="3FD50D40"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any additional agreement the </w:t>
      </w:r>
      <w:r>
        <w:rPr>
          <w:i/>
          <w:iCs/>
          <w:color w:val="000000"/>
          <w:sz w:val="21"/>
          <w:szCs w:val="21"/>
        </w:rPr>
        <w:t>Service Provider</w:t>
      </w:r>
      <w:r>
        <w:rPr>
          <w:color w:val="000000"/>
          <w:sz w:val="21"/>
          <w:szCs w:val="21"/>
        </w:rPr>
        <w:t xml:space="preserve"> proposes that it and t</w:t>
      </w:r>
      <w:r>
        <w:rPr>
          <w:color w:val="000000"/>
          <w:sz w:val="21"/>
          <w:szCs w:val="21"/>
        </w:rPr>
        <w:t xml:space="preserve">he </w:t>
      </w:r>
      <w:r>
        <w:rPr>
          <w:i/>
          <w:iCs/>
          <w:color w:val="000000"/>
          <w:sz w:val="21"/>
          <w:szCs w:val="21"/>
        </w:rPr>
        <w:t>Client</w:t>
      </w:r>
      <w:r>
        <w:rPr>
          <w:color w:val="000000"/>
          <w:sz w:val="21"/>
          <w:szCs w:val="21"/>
        </w:rPr>
        <w:t xml:space="preserve"> enter into;</w:t>
      </w:r>
    </w:p>
    <w:p w14:paraId="6B6A1BA0"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any other information the </w:t>
      </w:r>
      <w:r>
        <w:rPr>
          <w:i/>
          <w:iCs/>
          <w:color w:val="000000"/>
          <w:sz w:val="21"/>
          <w:szCs w:val="21"/>
        </w:rPr>
        <w:t>Client</w:t>
      </w:r>
      <w:r>
        <w:rPr>
          <w:color w:val="000000"/>
          <w:sz w:val="21"/>
          <w:szCs w:val="21"/>
        </w:rPr>
        <w:t xml:space="preserve"> requires to properly assess the </w:t>
      </w:r>
      <w:r>
        <w:rPr>
          <w:i/>
          <w:iCs/>
          <w:color w:val="000000"/>
          <w:sz w:val="21"/>
          <w:szCs w:val="21"/>
        </w:rPr>
        <w:t>Service Provider’s</w:t>
      </w:r>
      <w:r>
        <w:rPr>
          <w:color w:val="000000"/>
          <w:sz w:val="21"/>
          <w:szCs w:val="21"/>
        </w:rPr>
        <w:t xml:space="preserve"> proposal; and</w:t>
      </w:r>
    </w:p>
    <w:p w14:paraId="60B2BEFC"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any other information required by the </w:t>
      </w:r>
      <w:r>
        <w:rPr>
          <w:i/>
          <w:iCs/>
          <w:color w:val="000000"/>
          <w:sz w:val="21"/>
          <w:szCs w:val="21"/>
        </w:rPr>
        <w:t>Client</w:t>
      </w:r>
      <w:r>
        <w:rPr>
          <w:color w:val="000000"/>
          <w:sz w:val="21"/>
          <w:szCs w:val="21"/>
        </w:rPr>
        <w:t>.</w:t>
      </w:r>
    </w:p>
    <w:p w14:paraId="4455BF1C"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the proposed financial benefit to the </w:t>
      </w:r>
      <w:r>
        <w:rPr>
          <w:i/>
          <w:iCs/>
          <w:color w:val="000000"/>
          <w:sz w:val="21"/>
          <w:szCs w:val="21"/>
        </w:rPr>
        <w:t>Client</w:t>
      </w:r>
      <w:r>
        <w:rPr>
          <w:color w:val="000000"/>
          <w:sz w:val="21"/>
          <w:szCs w:val="21"/>
        </w:rPr>
        <w:t xml:space="preserve"> under Paragraph 6.3.3.7 is, in whole or part, a reduction in the Prices under the Contract, the </w:t>
      </w:r>
      <w:r>
        <w:rPr>
          <w:i/>
          <w:iCs/>
          <w:color w:val="000000"/>
          <w:sz w:val="21"/>
          <w:szCs w:val="21"/>
        </w:rPr>
        <w:t>Service Provider</w:t>
      </w:r>
      <w:r>
        <w:rPr>
          <w:color w:val="000000"/>
          <w:sz w:val="21"/>
          <w:szCs w:val="21"/>
        </w:rPr>
        <w:t xml:space="preserve"> must set out how it proposes to apply the revenues and profits received to the Prices payable by the </w:t>
      </w:r>
      <w:r>
        <w:rPr>
          <w:i/>
          <w:iCs/>
          <w:color w:val="000000"/>
          <w:sz w:val="21"/>
          <w:szCs w:val="21"/>
        </w:rPr>
        <w:t>Client</w:t>
      </w:r>
      <w:r>
        <w:rPr>
          <w:color w:val="000000"/>
          <w:sz w:val="21"/>
          <w:szCs w:val="21"/>
        </w:rPr>
        <w:t xml:space="preserve"> and other End Users.</w:t>
      </w:r>
    </w:p>
    <w:p w14:paraId="28916ECA"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Provider’s</w:t>
      </w:r>
      <w:r>
        <w:rPr>
          <w:color w:val="000000"/>
          <w:sz w:val="21"/>
          <w:szCs w:val="21"/>
        </w:rPr>
        <w:t xml:space="preserve"> proposal provides for the development of new goods, </w:t>
      </w:r>
      <w:r>
        <w:rPr>
          <w:i/>
          <w:iCs/>
          <w:color w:val="000000"/>
          <w:sz w:val="21"/>
          <w:szCs w:val="21"/>
        </w:rPr>
        <w:t>services</w:t>
      </w:r>
      <w:r>
        <w:rPr>
          <w:color w:val="000000"/>
          <w:sz w:val="21"/>
          <w:szCs w:val="21"/>
        </w:rPr>
        <w:t xml:space="preserve"> or software and those goods, </w:t>
      </w:r>
      <w:r>
        <w:rPr>
          <w:i/>
          <w:iCs/>
          <w:color w:val="000000"/>
          <w:sz w:val="21"/>
          <w:szCs w:val="21"/>
        </w:rPr>
        <w:t>services</w:t>
      </w:r>
      <w:r>
        <w:rPr>
          <w:color w:val="000000"/>
          <w:sz w:val="21"/>
          <w:szCs w:val="21"/>
        </w:rPr>
        <w:t xml:space="preserve"> or software are subsequently purchased by the </w:t>
      </w:r>
      <w:r>
        <w:rPr>
          <w:i/>
          <w:iCs/>
          <w:color w:val="000000"/>
          <w:sz w:val="21"/>
          <w:szCs w:val="21"/>
        </w:rPr>
        <w:t>Client</w:t>
      </w:r>
      <w:r>
        <w:rPr>
          <w:color w:val="000000"/>
          <w:sz w:val="21"/>
          <w:szCs w:val="21"/>
        </w:rPr>
        <w:t xml:space="preserve"> (by whatever means), the terms of that purchase must:</w:t>
      </w:r>
    </w:p>
    <w:p w14:paraId="6E53F826"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provide for the licencing of the New IPR and Specially Written Software to the </w:t>
      </w:r>
      <w:r>
        <w:rPr>
          <w:i/>
          <w:iCs/>
          <w:color w:val="000000"/>
          <w:sz w:val="21"/>
          <w:szCs w:val="21"/>
        </w:rPr>
        <w:t>Client</w:t>
      </w:r>
      <w:r>
        <w:rPr>
          <w:color w:val="000000"/>
          <w:sz w:val="21"/>
          <w:szCs w:val="21"/>
        </w:rPr>
        <w:t xml:space="preserve"> on the same terms as in the Contract; and</w:t>
      </w:r>
    </w:p>
    <w:p w14:paraId="2663AF8F"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include a price that reflects the Prices.</w:t>
      </w:r>
    </w:p>
    <w:p w14:paraId="5952CE33"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acknowledges that:</w:t>
      </w:r>
    </w:p>
    <w:p w14:paraId="58BD5EC8"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refuse or require changes to t</w:t>
      </w:r>
      <w:r>
        <w:rPr>
          <w:color w:val="000000"/>
          <w:sz w:val="21"/>
          <w:szCs w:val="21"/>
        </w:rPr>
        <w:t xml:space="preserve">he </w:t>
      </w:r>
      <w:r>
        <w:rPr>
          <w:i/>
          <w:iCs/>
          <w:color w:val="000000"/>
          <w:sz w:val="21"/>
          <w:szCs w:val="21"/>
        </w:rPr>
        <w:t>Service Provider’s</w:t>
      </w:r>
      <w:r>
        <w:rPr>
          <w:color w:val="000000"/>
          <w:sz w:val="21"/>
          <w:szCs w:val="21"/>
        </w:rPr>
        <w:t xml:space="preserve"> proposal in its sole discretion and for any reason; and</w:t>
      </w:r>
    </w:p>
    <w:p w14:paraId="73E9F9D7"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in considering the </w:t>
      </w:r>
      <w:r>
        <w:rPr>
          <w:i/>
          <w:iCs/>
          <w:color w:val="000000"/>
          <w:sz w:val="21"/>
          <w:szCs w:val="21"/>
        </w:rPr>
        <w:t>Service Provider’s</w:t>
      </w:r>
      <w:r>
        <w:rPr>
          <w:color w:val="000000"/>
          <w:sz w:val="21"/>
          <w:szCs w:val="21"/>
        </w:rPr>
        <w:t xml:space="preserve"> proposal, the </w:t>
      </w:r>
      <w:r>
        <w:rPr>
          <w:i/>
          <w:iCs/>
          <w:color w:val="000000"/>
          <w:sz w:val="21"/>
          <w:szCs w:val="21"/>
        </w:rPr>
        <w:t>Client</w:t>
      </w:r>
      <w:r>
        <w:rPr>
          <w:color w:val="000000"/>
          <w:sz w:val="21"/>
          <w:szCs w:val="21"/>
        </w:rPr>
        <w:t xml:space="preserve"> must comply with Law relating to:</w:t>
      </w:r>
    </w:p>
    <w:p w14:paraId="7222AF7A"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public procurement; and</w:t>
      </w:r>
    </w:p>
    <w:p w14:paraId="37B2DD9F" w14:textId="77777777" w:rsidR="007960A8" w:rsidRDefault="00A26397">
      <w:pPr>
        <w:widowControl/>
        <w:numPr>
          <w:ilvl w:val="3"/>
          <w:numId w:val="125"/>
        </w:numPr>
        <w:pBdr>
          <w:top w:val="nil"/>
          <w:left w:val="nil"/>
          <w:bottom w:val="nil"/>
          <w:right w:val="nil"/>
          <w:between w:val="nil"/>
        </w:pBdr>
        <w:spacing w:after="240"/>
        <w:jc w:val="both"/>
      </w:pPr>
      <w:r>
        <w:rPr>
          <w:color w:val="000000"/>
          <w:sz w:val="21"/>
          <w:szCs w:val="21"/>
        </w:rPr>
        <w:t>subsidy control.</w:t>
      </w:r>
    </w:p>
    <w:p w14:paraId="63ECF1CE"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agrees to the </w:t>
      </w:r>
      <w:r>
        <w:rPr>
          <w:i/>
          <w:iCs/>
          <w:color w:val="000000"/>
          <w:sz w:val="21"/>
          <w:szCs w:val="21"/>
        </w:rPr>
        <w:t>Service Provi</w:t>
      </w:r>
      <w:r>
        <w:rPr>
          <w:i/>
          <w:iCs/>
          <w:color w:val="000000"/>
          <w:sz w:val="21"/>
          <w:szCs w:val="21"/>
        </w:rPr>
        <w:t>der’s</w:t>
      </w:r>
      <w:r>
        <w:rPr>
          <w:color w:val="000000"/>
          <w:sz w:val="21"/>
          <w:szCs w:val="21"/>
        </w:rPr>
        <w:t xml:space="preserve"> proposal, with or without changes, the </w:t>
      </w:r>
      <w:r>
        <w:rPr>
          <w:i/>
          <w:iCs/>
          <w:color w:val="000000"/>
          <w:sz w:val="21"/>
          <w:szCs w:val="21"/>
        </w:rPr>
        <w:t>Service Provider</w:t>
      </w:r>
      <w:r>
        <w:rPr>
          <w:color w:val="000000"/>
          <w:sz w:val="21"/>
          <w:szCs w:val="21"/>
        </w:rPr>
        <w:t xml:space="preserve"> may not use, copy or adapt any Client Existing IPR other than for the purpose of fulfilling its obligations under the Contract unless and until the </w:t>
      </w:r>
      <w:r>
        <w:rPr>
          <w:i/>
          <w:iCs/>
          <w:color w:val="000000"/>
          <w:sz w:val="21"/>
          <w:szCs w:val="21"/>
        </w:rPr>
        <w:t>Client</w:t>
      </w:r>
      <w:r>
        <w:rPr>
          <w:color w:val="000000"/>
          <w:sz w:val="21"/>
          <w:szCs w:val="21"/>
        </w:rPr>
        <w:t xml:space="preserve"> and the </w:t>
      </w:r>
      <w:r>
        <w:rPr>
          <w:i/>
          <w:iCs/>
          <w:color w:val="000000"/>
          <w:sz w:val="21"/>
          <w:szCs w:val="21"/>
        </w:rPr>
        <w:t>Service Provider</w:t>
      </w:r>
      <w:r>
        <w:rPr>
          <w:color w:val="000000"/>
          <w:sz w:val="21"/>
          <w:szCs w:val="21"/>
        </w:rPr>
        <w:t xml:space="preserve"> enter into:</w:t>
      </w:r>
    </w:p>
    <w:p w14:paraId="14054BE6"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any additional agreement to give effect to the proposal; or</w:t>
      </w:r>
    </w:p>
    <w:p w14:paraId="2A3D64C9"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any consequential variation to the Contract.</w:t>
      </w:r>
    </w:p>
    <w:p w14:paraId="10504FA2"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Provision of information on New IPR and Specially Written Software</w:t>
      </w:r>
    </w:p>
    <w:p w14:paraId="740BC0CE"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01F09F91"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 Specially Written Software; and</w:t>
      </w:r>
    </w:p>
    <w:p w14:paraId="0726338E"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Contract, with or in</w:t>
      </w:r>
      <w:r>
        <w:rPr>
          <w:color w:val="000000"/>
          <w:sz w:val="21"/>
          <w:szCs w:val="21"/>
        </w:rPr>
        <w:t xml:space="preserve"> respect of the New IPR and Specially Written Software.</w:t>
      </w:r>
    </w:p>
    <w:p w14:paraId="5F9472B4"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information required by the </w:t>
      </w:r>
      <w:r>
        <w:rPr>
          <w:i/>
          <w:iCs/>
          <w:color w:val="000000"/>
          <w:sz w:val="21"/>
          <w:szCs w:val="21"/>
        </w:rPr>
        <w:t>Client</w:t>
      </w:r>
      <w:r>
        <w:rPr>
          <w:color w:val="000000"/>
          <w:sz w:val="21"/>
          <w:szCs w:val="21"/>
        </w:rPr>
        <w:t>:</w:t>
      </w:r>
    </w:p>
    <w:p w14:paraId="5D0142FD"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within twenty (20) working days of the date of the requirement; and</w:t>
      </w:r>
    </w:p>
    <w:p w14:paraId="1473CC23" w14:textId="77777777" w:rsidR="007960A8" w:rsidRDefault="00A26397">
      <w:pPr>
        <w:widowControl/>
        <w:numPr>
          <w:ilvl w:val="2"/>
          <w:numId w:val="125"/>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396B2798" w14:textId="77777777" w:rsidR="007960A8" w:rsidRDefault="00A26397">
      <w:pPr>
        <w:keepNext/>
        <w:keepLines/>
        <w:widowControl/>
        <w:numPr>
          <w:ilvl w:val="0"/>
          <w:numId w:val="125"/>
        </w:numPr>
        <w:pBdr>
          <w:top w:val="nil"/>
          <w:left w:val="nil"/>
          <w:bottom w:val="nil"/>
          <w:right w:val="nil"/>
          <w:between w:val="nil"/>
        </w:pBdr>
        <w:spacing w:after="240"/>
        <w:jc w:val="both"/>
      </w:pPr>
      <w:r>
        <w:rPr>
          <w:b/>
          <w:bCs/>
          <w:color w:val="000000"/>
          <w:sz w:val="21"/>
          <w:szCs w:val="21"/>
        </w:rPr>
        <w:t>Patents</w:t>
      </w:r>
    </w:p>
    <w:p w14:paraId="5EDAB3A1" w14:textId="77777777" w:rsidR="007960A8" w:rsidRDefault="00A26397">
      <w:pPr>
        <w:widowControl/>
        <w:numPr>
          <w:ilvl w:val="1"/>
          <w:numId w:val="125"/>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Specially Written Software or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Service Provider a non-exclusive, irrevocable, royalty-free, worldwide patent licence to use the infringing methods, materials or software.</w:t>
      </w:r>
    </w:p>
    <w:p w14:paraId="072A1749" w14:textId="77777777" w:rsidR="007960A8" w:rsidRDefault="007960A8">
      <w:pPr>
        <w:spacing w:after="240" w:line="276" w:lineRule="auto"/>
        <w:sectPr w:rsidR="007960A8">
          <w:pgSz w:w="11910" w:h="16840"/>
          <w:pgMar w:top="1440" w:right="1440" w:bottom="1440" w:left="1440" w:header="706" w:footer="706" w:gutter="0"/>
          <w:cols w:space="720"/>
          <w:titlePg/>
        </w:sectPr>
      </w:pPr>
    </w:p>
    <w:p w14:paraId="74CBFF4B" w14:textId="77777777" w:rsidR="007960A8" w:rsidRDefault="00A26397">
      <w:pPr>
        <w:spacing w:after="240" w:line="276" w:lineRule="auto"/>
        <w:rPr>
          <w:b/>
          <w:bCs/>
          <w:i/>
          <w:iCs/>
        </w:rPr>
      </w:pPr>
      <w:r>
        <w:rPr>
          <w:b/>
          <w:bCs/>
          <w:i/>
          <w:iCs/>
          <w:highlight w:val="yellow"/>
        </w:rPr>
        <w:t>[Guidance: For IPR Option B3: Service Provider ownership of all New IPR and Special</w:t>
      </w:r>
      <w:r>
        <w:rPr>
          <w:b/>
          <w:bCs/>
          <w:i/>
          <w:iCs/>
          <w:highlight w:val="yellow"/>
        </w:rPr>
        <w:t>ly Written Software with Client rights for the current contract only, please include the following drafting:]</w:t>
      </w:r>
    </w:p>
    <w:p w14:paraId="510DCDCA" w14:textId="77777777" w:rsidR="007960A8" w:rsidRDefault="00A26397">
      <w:pPr>
        <w:spacing w:after="240" w:line="276" w:lineRule="auto"/>
        <w:rPr>
          <w:sz w:val="28"/>
          <w:szCs w:val="28"/>
        </w:rPr>
      </w:pPr>
      <w:r>
        <w:rPr>
          <w:sz w:val="28"/>
          <w:szCs w:val="28"/>
        </w:rPr>
        <w:t>IPR Option B3</w:t>
      </w:r>
    </w:p>
    <w:p w14:paraId="199CADCE"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Intellectual Property Rights – General Provisions</w:t>
      </w:r>
    </w:p>
    <w:p w14:paraId="2AC46F22"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Each Party keeps ownership of its own Existing IPR.</w:t>
      </w:r>
    </w:p>
    <w:p w14:paraId="4CE8472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the requirements of this Schedule, it must assign in writing the Intellectual Property</w:t>
      </w:r>
      <w:r>
        <w:rPr>
          <w:color w:val="000000"/>
          <w:sz w:val="21"/>
          <w:szCs w:val="21"/>
        </w:rPr>
        <w:t xml:space="preserve"> Rights concerned to the other party on the other party’s request (whenever made).</w:t>
      </w:r>
    </w:p>
    <w:p w14:paraId="05FDF71D"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Neither party has the right to use the other party’s IPR, including any use of the other party’s names, logos or trademarks, except as expressly granted elsewhere under the </w:t>
      </w:r>
      <w:r>
        <w:rPr>
          <w:color w:val="000000"/>
          <w:sz w:val="21"/>
          <w:szCs w:val="21"/>
        </w:rPr>
        <w:t>Contract or otherwise agreed in writing.</w:t>
      </w:r>
    </w:p>
    <w:p w14:paraId="7AFDCE80"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Except as expressly granted elsewhere under the Contract, neither party acquires any right, title or interest in or to the IPR owned by the other party or any third party.</w:t>
      </w:r>
    </w:p>
    <w:p w14:paraId="75E802D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including after the </w:t>
      </w:r>
      <w:r>
        <w:rPr>
          <w:i/>
          <w:iCs/>
          <w:color w:val="000000"/>
          <w:sz w:val="21"/>
          <w:szCs w:val="21"/>
        </w:rPr>
        <w:t>service period</w:t>
      </w:r>
      <w:r>
        <w:rPr>
          <w:color w:val="000000"/>
          <w:sz w:val="21"/>
          <w:szCs w:val="21"/>
        </w:rPr>
        <w:t xml:space="preserve">, that, in respect of any </w:t>
      </w:r>
      <w:r>
        <w:rPr>
          <w:i/>
          <w:iCs/>
          <w:color w:val="000000"/>
          <w:sz w:val="21"/>
          <w:szCs w:val="21"/>
        </w:rPr>
        <w:t>service</w:t>
      </w:r>
      <w:r>
        <w:rPr>
          <w:color w:val="000000"/>
          <w:sz w:val="21"/>
          <w:szCs w:val="21"/>
        </w:rPr>
        <w:t xml:space="preserve">, the </w:t>
      </w:r>
      <w:r>
        <w:rPr>
          <w:i/>
          <w:iCs/>
          <w:color w:val="000000"/>
          <w:sz w:val="21"/>
          <w:szCs w:val="21"/>
        </w:rPr>
        <w:t>Client</w:t>
      </w:r>
      <w:r>
        <w:rPr>
          <w:color w:val="000000"/>
          <w:sz w:val="21"/>
          <w:szCs w:val="21"/>
        </w:rPr>
        <w:t xml:space="preserve"> has not received the licences to Service Provider Existing IPRs or Third Party IPRs required by Paragraphs 4 and 5, the </w:t>
      </w:r>
      <w:r>
        <w:rPr>
          <w:i/>
          <w:iCs/>
          <w:color w:val="000000"/>
          <w:sz w:val="21"/>
          <w:szCs w:val="21"/>
        </w:rPr>
        <w:t>Service Provider</w:t>
      </w:r>
      <w:r>
        <w:rPr>
          <w:color w:val="000000"/>
          <w:sz w:val="21"/>
          <w:szCs w:val="21"/>
        </w:rPr>
        <w:t xml:space="preserve"> must, withi</w:t>
      </w:r>
      <w:r>
        <w:rPr>
          <w:color w:val="000000"/>
          <w:sz w:val="21"/>
          <w:szCs w:val="21"/>
        </w:rPr>
        <w:t xml:space="preserve">n 10 working days notify the </w:t>
      </w:r>
      <w:r>
        <w:rPr>
          <w:i/>
          <w:iCs/>
          <w:color w:val="000000"/>
          <w:sz w:val="21"/>
          <w:szCs w:val="21"/>
        </w:rPr>
        <w:t>Client</w:t>
      </w:r>
      <w:r>
        <w:rPr>
          <w:color w:val="000000"/>
          <w:sz w:val="21"/>
          <w:szCs w:val="21"/>
        </w:rPr>
        <w:t>:</w:t>
      </w:r>
    </w:p>
    <w:p w14:paraId="60C16272"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specific Intellectual Property Rights the </w:t>
      </w:r>
      <w:r>
        <w:rPr>
          <w:i/>
          <w:iCs/>
          <w:color w:val="000000"/>
          <w:sz w:val="21"/>
          <w:szCs w:val="21"/>
        </w:rPr>
        <w:t>Client</w:t>
      </w:r>
      <w:r>
        <w:rPr>
          <w:color w:val="000000"/>
          <w:sz w:val="21"/>
          <w:szCs w:val="21"/>
        </w:rPr>
        <w:t xml:space="preserve"> has not received licences to; and</w:t>
      </w:r>
    </w:p>
    <w:p w14:paraId="75EA8AC0"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41D9D1B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For the avoidance of doubt except as provided for in Paragraphs 5.3.2.2(c)(1) or 4.1.6.2 and 4.1.4, the expir</w:t>
      </w:r>
      <w:r>
        <w:rPr>
          <w:color w:val="000000"/>
          <w:sz w:val="21"/>
          <w:szCs w:val="21"/>
        </w:rPr>
        <w:t xml:space="preserve">y or termination of the Contract does not of itself terminate the licences granted to the </w:t>
      </w:r>
      <w:r>
        <w:rPr>
          <w:i/>
          <w:iCs/>
          <w:color w:val="000000"/>
          <w:sz w:val="21"/>
          <w:szCs w:val="21"/>
        </w:rPr>
        <w:t>Client</w:t>
      </w:r>
      <w:r>
        <w:rPr>
          <w:color w:val="000000"/>
          <w:sz w:val="21"/>
          <w:szCs w:val="21"/>
        </w:rPr>
        <w:t xml:space="preserve"> under Paragraphs 4 and 5.</w:t>
      </w:r>
    </w:p>
    <w:p w14:paraId="5C4E93DF"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Ownership and delivery of IPR created under the Contract</w:t>
      </w:r>
    </w:p>
    <w:p w14:paraId="4D8BB5AA"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Any New IPR and Specially Written Software is owned by the </w:t>
      </w:r>
      <w:r>
        <w:rPr>
          <w:i/>
          <w:iCs/>
          <w:color w:val="000000"/>
          <w:sz w:val="21"/>
          <w:szCs w:val="21"/>
        </w:rPr>
        <w:t>Service Provider</w:t>
      </w:r>
      <w:r>
        <w:rPr>
          <w:color w:val="000000"/>
          <w:sz w:val="21"/>
          <w:szCs w:val="21"/>
        </w:rPr>
        <w:t>,</w:t>
      </w:r>
      <w:r>
        <w:rPr>
          <w:color w:val="000000"/>
          <w:sz w:val="21"/>
          <w:szCs w:val="21"/>
        </w:rPr>
        <w:t xml:space="preserve"> including:</w:t>
      </w:r>
    </w:p>
    <w:p w14:paraId="03C52AEE"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the Documentation, Source Code and the Object Code of the Specially Written Software and any software elements of the New IPR; and</w:t>
      </w:r>
    </w:p>
    <w:p w14:paraId="3E0C9CB7"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all build instructions, test instructions, test scripts, test data, operating instructions and other documents an</w:t>
      </w:r>
      <w:r>
        <w:rPr>
          <w:color w:val="000000"/>
          <w:sz w:val="21"/>
          <w:szCs w:val="21"/>
        </w:rPr>
        <w:t>d tools necessary for maintaining and supporting the Specially Written Software and the New IPR,</w:t>
      </w:r>
    </w:p>
    <w:p w14:paraId="04E4F16D" w14:textId="77777777" w:rsidR="007960A8" w:rsidRDefault="00A26397">
      <w:pPr>
        <w:widowControl/>
        <w:pBdr>
          <w:top w:val="nil"/>
          <w:left w:val="nil"/>
          <w:bottom w:val="nil"/>
          <w:right w:val="nil"/>
          <w:between w:val="nil"/>
        </w:pBdr>
        <w:spacing w:after="120" w:line="480" w:lineRule="auto"/>
        <w:ind w:left="720"/>
        <w:jc w:val="both"/>
        <w:rPr>
          <w:color w:val="000000"/>
          <w:sz w:val="21"/>
          <w:szCs w:val="21"/>
        </w:rPr>
      </w:pPr>
      <w:r>
        <w:rPr>
          <w:color w:val="000000"/>
          <w:sz w:val="21"/>
          <w:szCs w:val="21"/>
        </w:rPr>
        <w:t>(together, the Software Supporting Materials).</w:t>
      </w:r>
    </w:p>
    <w:p w14:paraId="5E0E870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Specially Written Software and New IPR in the table at Annex 1 to this Schedule and keep this updated throughout the Services Period.</w:t>
      </w:r>
    </w:p>
    <w:p w14:paraId="6E5E6291"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Licence of New IPR and Specially Written Software</w:t>
      </w:r>
    </w:p>
    <w:p w14:paraId="35F844C5"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New IPR and Sp</w:t>
      </w:r>
      <w:r>
        <w:rPr>
          <w:color w:val="000000"/>
          <w:sz w:val="21"/>
          <w:szCs w:val="21"/>
        </w:rPr>
        <w:t xml:space="preserve">ecially Written Software Licence on the terms set out in Paragraph 3.3 in respect of each </w:t>
      </w:r>
      <w:r>
        <w:rPr>
          <w:i/>
          <w:iCs/>
          <w:color w:val="000000"/>
          <w:sz w:val="21"/>
          <w:szCs w:val="21"/>
        </w:rPr>
        <w:t>service</w:t>
      </w:r>
      <w:r>
        <w:rPr>
          <w:color w:val="000000"/>
          <w:sz w:val="21"/>
          <w:szCs w:val="21"/>
        </w:rPr>
        <w:t xml:space="preserve"> where:</w:t>
      </w:r>
    </w:p>
    <w:p w14:paraId="10730938"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New IPR or Specially Written Software is embedded in the </w:t>
      </w:r>
      <w:r>
        <w:rPr>
          <w:i/>
          <w:iCs/>
          <w:color w:val="000000"/>
          <w:sz w:val="21"/>
          <w:szCs w:val="21"/>
        </w:rPr>
        <w:t>services</w:t>
      </w:r>
      <w:r>
        <w:rPr>
          <w:color w:val="000000"/>
          <w:sz w:val="21"/>
          <w:szCs w:val="21"/>
        </w:rPr>
        <w:t>;</w:t>
      </w:r>
    </w:p>
    <w:p w14:paraId="2835600B"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New IPR or Specially Written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or</w:t>
      </w:r>
    </w:p>
    <w:p w14:paraId="22B25067"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New IPR or Specially Written Software us used to provide the </w:t>
      </w:r>
      <w:r>
        <w:rPr>
          <w:i/>
          <w:iCs/>
          <w:color w:val="000000"/>
          <w:sz w:val="21"/>
          <w:szCs w:val="21"/>
        </w:rPr>
        <w:t>services</w:t>
      </w:r>
      <w:r>
        <w:rPr>
          <w:color w:val="000000"/>
          <w:sz w:val="21"/>
          <w:szCs w:val="21"/>
        </w:rPr>
        <w:t>.</w:t>
      </w:r>
    </w:p>
    <w:p w14:paraId="2DC3410E"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The categories of New IPR or Specially Written Software set out in Paragraph 3.1 are mu</w:t>
      </w:r>
      <w:r>
        <w:rPr>
          <w:color w:val="000000"/>
          <w:sz w:val="21"/>
          <w:szCs w:val="21"/>
        </w:rPr>
        <w:t>tually exclusive.</w:t>
      </w:r>
    </w:p>
    <w:p w14:paraId="36A3946C"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New IPR and Specially Written Software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 royalty-free, irrevocable, transferable, sub-licensable, worldwide licence that:</w:t>
      </w:r>
    </w:p>
    <w:p w14:paraId="3C81C103"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in the case of New IPR or Specially Writ</w:t>
      </w:r>
      <w:r>
        <w:rPr>
          <w:color w:val="000000"/>
          <w:sz w:val="21"/>
          <w:szCs w:val="21"/>
        </w:rPr>
        <w:t xml:space="preserve">ten Software embedded in a </w:t>
      </w:r>
      <w:r>
        <w:rPr>
          <w:i/>
          <w:iCs/>
          <w:color w:val="000000"/>
          <w:sz w:val="21"/>
          <w:szCs w:val="21"/>
        </w:rPr>
        <w:t>service</w:t>
      </w:r>
      <w:r>
        <w:rPr>
          <w:color w:val="000000"/>
          <w:sz w:val="21"/>
          <w:szCs w:val="21"/>
        </w:rPr>
        <w:t xml:space="preserve"> or is used to provide the </w:t>
      </w:r>
      <w:r>
        <w:rPr>
          <w:i/>
          <w:iCs/>
          <w:color w:val="000000"/>
          <w:sz w:val="21"/>
          <w:szCs w:val="21"/>
        </w:rPr>
        <w:t>services</w:t>
      </w:r>
      <w:r>
        <w:rPr>
          <w:color w:val="000000"/>
          <w:sz w:val="21"/>
          <w:szCs w:val="21"/>
        </w:rPr>
        <w:t>:</w:t>
      </w:r>
    </w:p>
    <w:p w14:paraId="58D6586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sub-licensable;</w:t>
      </w:r>
    </w:p>
    <w:p w14:paraId="3209FF6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has no restriction on the identity of any transferee or sub-licensee; and</w:t>
      </w:r>
    </w:p>
    <w:p w14:paraId="4497A453"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copy and adapt the New IPR or S</w:t>
      </w:r>
      <w:r>
        <w:rPr>
          <w:color w:val="000000"/>
          <w:sz w:val="21"/>
          <w:szCs w:val="21"/>
        </w:rPr>
        <w:t>pecially Written Software for any of the purposes set out in Paragraph 3.4;</w:t>
      </w:r>
    </w:p>
    <w:p w14:paraId="0887EDCE"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in the case of New IPR or Specially Written Software that is necessary for the </w:t>
      </w:r>
      <w:r>
        <w:rPr>
          <w:i/>
          <w:iCs/>
          <w:color w:val="000000"/>
          <w:sz w:val="21"/>
          <w:szCs w:val="21"/>
        </w:rPr>
        <w:t>Client</w:t>
      </w:r>
      <w:r>
        <w:rPr>
          <w:color w:val="000000"/>
          <w:sz w:val="21"/>
          <w:szCs w:val="21"/>
        </w:rPr>
        <w:t xml:space="preserve"> to receive or use the </w:t>
      </w:r>
      <w:r>
        <w:rPr>
          <w:i/>
          <w:iCs/>
          <w:color w:val="000000"/>
          <w:sz w:val="21"/>
          <w:szCs w:val="21"/>
        </w:rPr>
        <w:t>services</w:t>
      </w:r>
      <w:r>
        <w:rPr>
          <w:color w:val="000000"/>
          <w:sz w:val="21"/>
          <w:szCs w:val="21"/>
        </w:rPr>
        <w:t>:</w:t>
      </w:r>
    </w:p>
    <w:p w14:paraId="61BAAFA8"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New IPR or Specially Written Software for any of the purposes set out in Paragraph 3.4;</w:t>
      </w:r>
    </w:p>
    <w:p w14:paraId="51F1A63C"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transferrable to only:</w:t>
      </w:r>
    </w:p>
    <w:p w14:paraId="3E831C58"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any body (including any privat</w:t>
      </w:r>
      <w:r>
        <w:rPr>
          <w:color w:val="000000"/>
          <w:sz w:val="21"/>
          <w:szCs w:val="21"/>
        </w:rPr>
        <w:t xml:space="preserve">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46E33FEC"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1718266A" w14:textId="77777777" w:rsidR="007960A8" w:rsidRDefault="00A26397">
      <w:pPr>
        <w:widowControl/>
        <w:numPr>
          <w:ilvl w:val="4"/>
          <w:numId w:val="6"/>
        </w:numPr>
        <w:pBdr>
          <w:top w:val="nil"/>
          <w:left w:val="nil"/>
          <w:bottom w:val="nil"/>
          <w:right w:val="nil"/>
          <w:between w:val="nil"/>
        </w:pBdr>
        <w:spacing w:after="240"/>
        <w:ind w:left="4678"/>
        <w:jc w:val="both"/>
      </w:pPr>
      <w:r>
        <w:rPr>
          <w:color w:val="000000"/>
          <w:sz w:val="21"/>
          <w:szCs w:val="21"/>
        </w:rPr>
        <w:t>enters i</w:t>
      </w:r>
      <w:r>
        <w:rPr>
          <w:color w:val="000000"/>
          <w:sz w:val="21"/>
          <w:szCs w:val="21"/>
        </w:rPr>
        <w:t xml:space="preserve">nto a direct arrangement with the </w:t>
      </w:r>
      <w:r>
        <w:rPr>
          <w:i/>
          <w:iCs/>
          <w:color w:val="000000"/>
          <w:sz w:val="21"/>
          <w:szCs w:val="21"/>
        </w:rPr>
        <w:t>Service Provider</w:t>
      </w:r>
      <w:r>
        <w:rPr>
          <w:color w:val="000000"/>
          <w:sz w:val="21"/>
          <w:szCs w:val="21"/>
        </w:rPr>
        <w:t xml:space="preserve"> in the form set out in Annex 2; or</w:t>
      </w:r>
    </w:p>
    <w:p w14:paraId="148676A5"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by the parties, acting reasonably; </w:t>
      </w:r>
    </w:p>
    <w:p w14:paraId="05824C0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is sub-licensable to the Replacement Service Provider (including where the Replacement Service Provider is a competitor of the </w:t>
      </w:r>
      <w:r>
        <w:rPr>
          <w:i/>
          <w:iCs/>
          <w:color w:val="000000"/>
          <w:sz w:val="21"/>
          <w:szCs w:val="21"/>
        </w:rPr>
        <w:t>Service Provider</w:t>
      </w:r>
      <w:r>
        <w:rPr>
          <w:color w:val="000000"/>
          <w:sz w:val="21"/>
          <w:szCs w:val="21"/>
        </w:rPr>
        <w:t>) where the Replacement Service Provider either:</w:t>
      </w:r>
    </w:p>
    <w:p w14:paraId="72AB1881"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w:t>
      </w:r>
      <w:r>
        <w:rPr>
          <w:color w:val="000000"/>
          <w:sz w:val="21"/>
          <w:szCs w:val="21"/>
        </w:rPr>
        <w:t>e form set out in Annex 2; or</w:t>
      </w:r>
    </w:p>
    <w:p w14:paraId="28D81203"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0437CE64"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continues in effect following the expiry or earlier termination of the Contract; and</w:t>
      </w:r>
    </w:p>
    <w:p w14:paraId="6BF588E0"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is subject to the restrictions that:</w:t>
      </w:r>
    </w:p>
    <w:p w14:paraId="4590DC3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each transferee or sub-licensee either:</w:t>
      </w:r>
    </w:p>
    <w:p w14:paraId="615CA735"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3A8780CF"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7B6555E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no sub-licence granted to the New IPR or Specially Written Software shall purport to provide the sub-licensee with any wider rights than t</w:t>
      </w:r>
      <w:r>
        <w:rPr>
          <w:color w:val="000000"/>
          <w:sz w:val="21"/>
          <w:szCs w:val="21"/>
        </w:rPr>
        <w:t xml:space="preserve">hose granted to the </w:t>
      </w:r>
      <w:r>
        <w:rPr>
          <w:i/>
          <w:iCs/>
          <w:color w:val="000000"/>
          <w:sz w:val="21"/>
          <w:szCs w:val="21"/>
        </w:rPr>
        <w:t>Client</w:t>
      </w:r>
      <w:r>
        <w:rPr>
          <w:color w:val="000000"/>
          <w:sz w:val="21"/>
          <w:szCs w:val="21"/>
        </w:rPr>
        <w:t xml:space="preserve"> under this Paragraph.</w:t>
      </w:r>
    </w:p>
    <w:p w14:paraId="799D2414"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For the purposes of Paragraphs 3.1 and 3.3, the relevant purpose is:</w:t>
      </w:r>
    </w:p>
    <w:p w14:paraId="1C7E1711"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w:t>
      </w:r>
    </w:p>
    <w:p w14:paraId="2C47AE22"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Where the legal status of the </w:t>
      </w:r>
      <w:r>
        <w:rPr>
          <w:i/>
          <w:iCs/>
          <w:color w:val="000000"/>
          <w:sz w:val="21"/>
          <w:szCs w:val="21"/>
        </w:rPr>
        <w:t>Client</w:t>
      </w:r>
      <w:r>
        <w:rPr>
          <w:color w:val="000000"/>
          <w:sz w:val="21"/>
          <w:szCs w:val="21"/>
        </w:rPr>
        <w:t xml:space="preserve"> changes:</w:t>
      </w:r>
    </w:p>
    <w:p w14:paraId="54F028B7"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the New IPR and Specially Written Software Licence is unaffected; and</w:t>
      </w:r>
    </w:p>
    <w:p w14:paraId="1C56D092"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any successor body of the </w:t>
      </w:r>
      <w:r>
        <w:rPr>
          <w:i/>
          <w:iCs/>
          <w:color w:val="000000"/>
          <w:sz w:val="21"/>
          <w:szCs w:val="21"/>
        </w:rPr>
        <w:t>Client</w:t>
      </w:r>
      <w:r>
        <w:rPr>
          <w:color w:val="000000"/>
          <w:sz w:val="21"/>
          <w:szCs w:val="21"/>
        </w:rPr>
        <w:t xml:space="preserve"> shall have the benefit of the New IPR and Specially Written Software Licence.</w:t>
      </w:r>
    </w:p>
    <w:p w14:paraId="498C2D95"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Use of Service Provider Existing IPRs and Third Party IPRs</w:t>
      </w:r>
    </w:p>
    <w:p w14:paraId="21BD7DFB"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w:t>
      </w:r>
    </w:p>
    <w:p w14:paraId="7D96B948"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embed Service Provider Existing IPRs or Third Party IPRs in a Deliverable;</w:t>
      </w:r>
    </w:p>
    <w:p w14:paraId="1A4EFAB7"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provide any</w:t>
      </w:r>
      <w:r>
        <w:rPr>
          <w:color w:val="000000"/>
          <w:sz w:val="21"/>
          <w:szCs w:val="21"/>
        </w:rPr>
        <w:t xml:space="preserve"> </w:t>
      </w:r>
      <w:r>
        <w:rPr>
          <w:i/>
          <w:iCs/>
          <w:color w:val="000000"/>
          <w:sz w:val="21"/>
          <w:szCs w:val="21"/>
        </w:rPr>
        <w:t>service</w:t>
      </w:r>
      <w:r>
        <w:rPr>
          <w:color w:val="000000"/>
          <w:sz w:val="21"/>
          <w:szCs w:val="21"/>
        </w:rPr>
        <w:t xml:space="preserve"> that requires Service Provider Existing IPRs or Third Party IPRs to use that </w:t>
      </w:r>
      <w:r>
        <w:rPr>
          <w:i/>
          <w:iCs/>
          <w:color w:val="000000"/>
          <w:sz w:val="21"/>
          <w:szCs w:val="21"/>
        </w:rPr>
        <w:t>service</w:t>
      </w:r>
      <w:r>
        <w:rPr>
          <w:color w:val="000000"/>
          <w:sz w:val="21"/>
          <w:szCs w:val="21"/>
        </w:rPr>
        <w:t xml:space="preserve"> its intended purpose; or</w:t>
      </w:r>
    </w:p>
    <w:p w14:paraId="62F5062F"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services</w:t>
      </w:r>
      <w:r>
        <w:rPr>
          <w:color w:val="000000"/>
          <w:sz w:val="21"/>
          <w:szCs w:val="21"/>
        </w:rPr>
        <w:t xml:space="preserve"> that are a customisation or adaptation of those Service Provider Existing IPRs or Third Party IPRs,</w:t>
      </w:r>
    </w:p>
    <w:p w14:paraId="6CFB32C1" w14:textId="77777777" w:rsidR="007960A8" w:rsidRDefault="00A26397">
      <w:pPr>
        <w:widowControl/>
        <w:pBdr>
          <w:top w:val="nil"/>
          <w:left w:val="nil"/>
          <w:bottom w:val="nil"/>
          <w:right w:val="nil"/>
          <w:between w:val="nil"/>
        </w:pBdr>
        <w:spacing w:after="120" w:line="480" w:lineRule="auto"/>
        <w:ind w:left="1797" w:firstLine="720"/>
        <w:jc w:val="both"/>
        <w:rPr>
          <w:color w:val="000000"/>
          <w:sz w:val="21"/>
          <w:szCs w:val="21"/>
        </w:rPr>
      </w:pPr>
      <w:r>
        <w:rPr>
          <w:color w:val="000000"/>
          <w:sz w:val="21"/>
          <w:szCs w:val="21"/>
        </w:rPr>
        <w:t>unless one or more of the following conditions apply:</w:t>
      </w:r>
    </w:p>
    <w:p w14:paraId="7BD715B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for any Service Provider Existing IPRs or Third Party IPRs that are not COTS Software, the </w:t>
      </w:r>
      <w:r>
        <w:rPr>
          <w:i/>
          <w:iCs/>
          <w:color w:val="000000"/>
          <w:sz w:val="21"/>
          <w:szCs w:val="21"/>
        </w:rPr>
        <w:t>Client</w:t>
      </w:r>
      <w:r>
        <w:rPr>
          <w:color w:val="000000"/>
          <w:sz w:val="21"/>
          <w:szCs w:val="21"/>
        </w:rPr>
        <w:t xml:space="preserve"> provides Approval after receiving full details of the Service Provider Existing IPRs or Third Party IPRs</w:t>
      </w:r>
      <w:r>
        <w:rPr>
          <w:color w:val="000000"/>
          <w:sz w:val="21"/>
          <w:szCs w:val="21"/>
        </w:rPr>
        <w:t xml:space="preserve"> and their relationship to the </w:t>
      </w:r>
      <w:r>
        <w:rPr>
          <w:i/>
          <w:iCs/>
          <w:color w:val="000000"/>
          <w:sz w:val="21"/>
          <w:szCs w:val="21"/>
        </w:rPr>
        <w:t>services</w:t>
      </w:r>
      <w:r>
        <w:rPr>
          <w:color w:val="000000"/>
          <w:sz w:val="21"/>
          <w:szCs w:val="21"/>
        </w:rPr>
        <w:t xml:space="preserve">; </w:t>
      </w:r>
    </w:p>
    <w:p w14:paraId="0568F43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in the case of Service Provider Existing IPRs or Third Party IPRs that are, in each case, COTS Software all the following conditions are met:</w:t>
      </w:r>
    </w:p>
    <w:p w14:paraId="266D704B"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the applicable terms f</w:t>
      </w:r>
      <w:r>
        <w:rPr>
          <w:color w:val="000000"/>
          <w:sz w:val="21"/>
          <w:szCs w:val="21"/>
        </w:rPr>
        <w:t>or the Service Provider Existing IPRs or Third Party IPRs that are, in each case, COTS Software (which must be at a price and on terms no less favourable than those standard commercial terms on which such software is usually made commercially available); a</w:t>
      </w:r>
      <w:r>
        <w:rPr>
          <w:color w:val="000000"/>
          <w:sz w:val="21"/>
          <w:szCs w:val="21"/>
        </w:rPr>
        <w:t>nd</w:t>
      </w:r>
    </w:p>
    <w:p w14:paraId="4F79BB52"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(in its absolute discretion) rejected those licence terms within ten (10) working days of the date on which they were provided to the </w:t>
      </w:r>
      <w:r>
        <w:rPr>
          <w:i/>
          <w:iCs/>
          <w:color w:val="000000"/>
          <w:sz w:val="21"/>
          <w:szCs w:val="21"/>
        </w:rPr>
        <w:t>Client</w:t>
      </w:r>
      <w:r>
        <w:rPr>
          <w:color w:val="000000"/>
          <w:sz w:val="21"/>
          <w:szCs w:val="21"/>
        </w:rPr>
        <w:t>; and/or</w:t>
      </w:r>
    </w:p>
    <w:p w14:paraId="0C141CF9"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in the case of Third Party IPRs that are not COTS Software, the </w:t>
      </w:r>
      <w:r>
        <w:rPr>
          <w:i/>
          <w:iCs/>
          <w:color w:val="000000"/>
          <w:sz w:val="21"/>
          <w:szCs w:val="21"/>
        </w:rPr>
        <w:t>Client</w:t>
      </w:r>
      <w:r>
        <w:rPr>
          <w:color w:val="000000"/>
          <w:sz w:val="21"/>
          <w:szCs w:val="21"/>
        </w:rPr>
        <w:t xml:space="preserve"> provides appro</w:t>
      </w:r>
      <w:r>
        <w:rPr>
          <w:color w:val="000000"/>
          <w:sz w:val="21"/>
          <w:szCs w:val="21"/>
        </w:rPr>
        <w:t>val under Paragraph 4.1.4 and one of the following conditions is met:</w:t>
      </w:r>
    </w:p>
    <w:p w14:paraId="7AA82A4F"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3.3, as if:</w:t>
      </w:r>
    </w:p>
    <w:p w14:paraId="206C1F33"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the term Third Party IPRs were substituted for the term Service Provider Existing IPR; and</w:t>
      </w:r>
    </w:p>
    <w:p w14:paraId="6EF59CCC"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5F8D43EE"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in each place they occur; or</w:t>
      </w:r>
    </w:p>
    <w:p w14:paraId="4973EB2F"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w:t>
      </w:r>
      <w:r>
        <w:rPr>
          <w:color w:val="000000"/>
          <w:sz w:val="21"/>
          <w:szCs w:val="21"/>
        </w:rPr>
        <w:t xml:space="preserve">eavours, obtain for the </w:t>
      </w:r>
      <w:r>
        <w:rPr>
          <w:i/>
          <w:iCs/>
          <w:color w:val="000000"/>
          <w:sz w:val="21"/>
          <w:szCs w:val="21"/>
        </w:rPr>
        <w:t>Client</w:t>
      </w:r>
      <w:r>
        <w:rPr>
          <w:color w:val="000000"/>
          <w:sz w:val="21"/>
          <w:szCs w:val="21"/>
        </w:rPr>
        <w:t xml:space="preserve"> a Third Party IPR licence as set out in Paragraph 4.1.6.1, all the following conditions are met:</w:t>
      </w:r>
    </w:p>
    <w:p w14:paraId="7F124F39"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7C764626" w14:textId="77777777" w:rsidR="007960A8" w:rsidRDefault="00A26397">
      <w:pPr>
        <w:widowControl/>
        <w:numPr>
          <w:ilvl w:val="4"/>
          <w:numId w:val="10"/>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606E172A"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7A7B8DBB"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Approves the licence terms of one of those</w:t>
      </w:r>
      <w:r>
        <w:rPr>
          <w:color w:val="000000"/>
          <w:sz w:val="21"/>
          <w:szCs w:val="21"/>
        </w:rPr>
        <w:t xml:space="preserve"> third parties; and</w:t>
      </w:r>
    </w:p>
    <w:p w14:paraId="70F93937"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the owner and authorised licensor of the Third Party IPR has granted a direct licence of the Third Party IPR to the </w:t>
      </w:r>
      <w:r>
        <w:rPr>
          <w:i/>
          <w:iCs/>
          <w:color w:val="000000"/>
          <w:sz w:val="21"/>
          <w:szCs w:val="21"/>
        </w:rPr>
        <w:t>Client</w:t>
      </w:r>
      <w:r>
        <w:rPr>
          <w:color w:val="000000"/>
          <w:sz w:val="21"/>
          <w:szCs w:val="21"/>
        </w:rPr>
        <w:t xml:space="preserve"> on those terms.</w:t>
      </w:r>
    </w:p>
    <w:p w14:paraId="2414DD9B"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rejected Service Provider Existing IPRs or Third Party IPRs that are, in each case, COTS Software, the </w:t>
      </w:r>
      <w:r>
        <w:rPr>
          <w:i/>
          <w:iCs/>
          <w:color w:val="000000"/>
          <w:sz w:val="21"/>
          <w:szCs w:val="21"/>
        </w:rPr>
        <w:t>Service Provider</w:t>
      </w:r>
      <w:r>
        <w:rPr>
          <w:color w:val="000000"/>
          <w:sz w:val="21"/>
          <w:szCs w:val="21"/>
        </w:rPr>
        <w:t xml:space="preserve"> must notify the </w:t>
      </w:r>
      <w:r>
        <w:rPr>
          <w:i/>
          <w:iCs/>
          <w:color w:val="000000"/>
          <w:sz w:val="21"/>
          <w:szCs w:val="21"/>
        </w:rPr>
        <w:t>Client</w:t>
      </w:r>
      <w:r>
        <w:rPr>
          <w:color w:val="000000"/>
          <w:sz w:val="21"/>
          <w:szCs w:val="21"/>
        </w:rPr>
        <w:t xml:space="preserve"> within five (5) Working Days of becoming aware that any of that COTS Software will in the next thirty-si</w:t>
      </w:r>
      <w:r>
        <w:rPr>
          <w:color w:val="000000"/>
          <w:sz w:val="21"/>
          <w:szCs w:val="21"/>
        </w:rPr>
        <w:t>x (36) months no longer be:</w:t>
      </w:r>
    </w:p>
    <w:p w14:paraId="4F864911"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maintained or supported by the developer; or</w:t>
      </w:r>
    </w:p>
    <w:p w14:paraId="6DADEF22"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made commercially available.</w:t>
      </w:r>
    </w:p>
    <w:p w14:paraId="44BBE303"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Licences in respect of Service Provider Existing IPR that is not COTS Software</w:t>
      </w:r>
    </w:p>
    <w:p w14:paraId="7700C71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Subject to the </w:t>
      </w:r>
      <w:r>
        <w:rPr>
          <w:i/>
          <w:iCs/>
          <w:color w:val="000000"/>
          <w:sz w:val="21"/>
          <w:szCs w:val="21"/>
        </w:rPr>
        <w:t>Client</w:t>
      </w:r>
      <w:r>
        <w:rPr>
          <w:color w:val="000000"/>
          <w:sz w:val="21"/>
          <w:szCs w:val="21"/>
        </w:rPr>
        <w:t xml:space="preserve"> approving the use of Service Provider Existing IPR under Paragraph 4, 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Existing IPR Licence on the terms set out in Paragraph 5.3 in respect of each </w:t>
      </w:r>
      <w:r>
        <w:rPr>
          <w:i/>
          <w:iCs/>
          <w:color w:val="000000"/>
          <w:sz w:val="21"/>
          <w:szCs w:val="21"/>
        </w:rPr>
        <w:t>service</w:t>
      </w:r>
      <w:r>
        <w:rPr>
          <w:color w:val="000000"/>
          <w:sz w:val="21"/>
          <w:szCs w:val="21"/>
        </w:rPr>
        <w:t xml:space="preserve"> where:</w:t>
      </w:r>
    </w:p>
    <w:p w14:paraId="73E20DB3"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Service Provider Existing IPR </w:t>
      </w:r>
      <w:r>
        <w:rPr>
          <w:color w:val="000000"/>
          <w:sz w:val="21"/>
          <w:szCs w:val="21"/>
        </w:rPr>
        <w:t xml:space="preserve">that is not COTS Software is embedded in the </w:t>
      </w:r>
      <w:r>
        <w:rPr>
          <w:i/>
          <w:iCs/>
          <w:color w:val="000000"/>
          <w:sz w:val="21"/>
          <w:szCs w:val="21"/>
        </w:rPr>
        <w:t>services</w:t>
      </w:r>
      <w:r>
        <w:rPr>
          <w:color w:val="000000"/>
          <w:sz w:val="21"/>
          <w:szCs w:val="21"/>
        </w:rPr>
        <w:t>;</w:t>
      </w:r>
    </w:p>
    <w:p w14:paraId="4234782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Service Provider Existing IPR that is not COTS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any of the purposes set out in Paragraph 5.4; or</w:t>
      </w:r>
    </w:p>
    <w:p w14:paraId="71F227D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are a customisation or adap</w:t>
      </w:r>
      <w:r>
        <w:rPr>
          <w:color w:val="000000"/>
          <w:sz w:val="21"/>
          <w:szCs w:val="21"/>
        </w:rPr>
        <w:t>tation of Service Provider Existing IPR that is not COTS Software.</w:t>
      </w:r>
    </w:p>
    <w:p w14:paraId="71EF3B5E"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The categories of Service Provider Existing IPR that is not COTS Software set out in Paragraph 5.1 are mutually exclusive.</w:t>
      </w:r>
    </w:p>
    <w:p w14:paraId="01C58475"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Service Provider Existing IPR Licence granted by the </w:t>
      </w:r>
      <w:r>
        <w:rPr>
          <w:i/>
          <w:iCs/>
          <w:color w:val="000000"/>
          <w:sz w:val="21"/>
          <w:szCs w:val="21"/>
        </w:rPr>
        <w:t>Service P</w:t>
      </w:r>
      <w:r>
        <w:rPr>
          <w:i/>
          <w:iCs/>
          <w:color w:val="000000"/>
          <w:sz w:val="21"/>
          <w:szCs w:val="21"/>
        </w:rPr>
        <w:t>rovider</w:t>
      </w:r>
      <w:r>
        <w:rPr>
          <w:color w:val="000000"/>
          <w:sz w:val="21"/>
          <w:szCs w:val="21"/>
        </w:rPr>
        <w:t xml:space="preserve"> to the </w:t>
      </w:r>
      <w:r>
        <w:rPr>
          <w:i/>
          <w:iCs/>
          <w:color w:val="000000"/>
          <w:sz w:val="21"/>
          <w:szCs w:val="21"/>
        </w:rPr>
        <w:t>Client</w:t>
      </w:r>
      <w:r>
        <w:rPr>
          <w:color w:val="000000"/>
          <w:sz w:val="21"/>
          <w:szCs w:val="21"/>
        </w:rPr>
        <w:t xml:space="preserve"> is a non-exclusive, royalty-free, irrevocable, transferable, sub-licensable, worldwide licence that:</w:t>
      </w:r>
    </w:p>
    <w:p w14:paraId="117720FF"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in the case of Service Provider Existing IPR that is not COTS Software embedded in a </w:t>
      </w:r>
      <w:r>
        <w:rPr>
          <w:i/>
          <w:iCs/>
          <w:color w:val="000000"/>
          <w:sz w:val="21"/>
          <w:szCs w:val="21"/>
        </w:rPr>
        <w:t>services</w:t>
      </w:r>
      <w:r>
        <w:rPr>
          <w:color w:val="000000"/>
          <w:sz w:val="21"/>
          <w:szCs w:val="21"/>
        </w:rPr>
        <w:t>:</w:t>
      </w:r>
    </w:p>
    <w:p w14:paraId="22399BBA"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has no restriction on the identity of any transferee or sub-licensee;</w:t>
      </w:r>
    </w:p>
    <w:p w14:paraId="1717E4D2"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sub-licensable for any of the purposes set out in Paragraph 5.4;</w:t>
      </w:r>
    </w:p>
    <w:p w14:paraId="0AB21340"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w:t>
      </w:r>
      <w:r>
        <w:rPr>
          <w:color w:val="000000"/>
          <w:sz w:val="21"/>
          <w:szCs w:val="21"/>
        </w:rPr>
        <w:t>ny transferee or sub-licensee to use, copy and adapt the Service Provider Existing IPR that is not COTS Software for any of the purposes set out in Paragraph 5.4; and</w:t>
      </w:r>
    </w:p>
    <w:p w14:paraId="6C99323F"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subject to the restriction that no sub-licence granted to the Service Provider Existin</w:t>
      </w:r>
      <w:r>
        <w:rPr>
          <w:color w:val="000000"/>
          <w:sz w:val="21"/>
          <w:szCs w:val="21"/>
        </w:rPr>
        <w:t xml:space="preserve">g IPR that is not COTS Software shall purport to provide the sub-licensee with any wider rights than those granted to the </w:t>
      </w:r>
      <w:r>
        <w:rPr>
          <w:i/>
          <w:iCs/>
          <w:color w:val="000000"/>
          <w:sz w:val="21"/>
          <w:szCs w:val="21"/>
        </w:rPr>
        <w:t>Client</w:t>
      </w:r>
      <w:r>
        <w:rPr>
          <w:color w:val="000000"/>
          <w:sz w:val="21"/>
          <w:szCs w:val="21"/>
        </w:rPr>
        <w:t xml:space="preserve"> under this Paragraph;</w:t>
      </w:r>
    </w:p>
    <w:p w14:paraId="4C299D5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in the case of Service Provider Exiting IPR that is not COTS Software that is necessary for the </w:t>
      </w:r>
      <w:r>
        <w:rPr>
          <w:i/>
          <w:iCs/>
          <w:color w:val="000000"/>
          <w:sz w:val="21"/>
          <w:szCs w:val="21"/>
        </w:rPr>
        <w:t>Client</w:t>
      </w:r>
      <w:r>
        <w:rPr>
          <w:color w:val="000000"/>
          <w:sz w:val="21"/>
          <w:szCs w:val="21"/>
        </w:rPr>
        <w:t xml:space="preserve"> to</w:t>
      </w:r>
      <w:r>
        <w:rPr>
          <w:color w:val="000000"/>
          <w:sz w:val="21"/>
          <w:szCs w:val="21"/>
        </w:rPr>
        <w:t xml:space="preserve"> use the </w:t>
      </w:r>
      <w:r>
        <w:rPr>
          <w:i/>
          <w:iCs/>
          <w:color w:val="000000"/>
          <w:sz w:val="21"/>
          <w:szCs w:val="21"/>
        </w:rPr>
        <w:t>services</w:t>
      </w:r>
      <w:r>
        <w:rPr>
          <w:color w:val="000000"/>
          <w:sz w:val="21"/>
          <w:szCs w:val="21"/>
        </w:rPr>
        <w:t xml:space="preserve"> for its intended purpose or has been customised or adapted to provide the </w:t>
      </w:r>
      <w:r>
        <w:rPr>
          <w:i/>
          <w:iCs/>
          <w:color w:val="000000"/>
          <w:sz w:val="21"/>
          <w:szCs w:val="21"/>
        </w:rPr>
        <w:t>services</w:t>
      </w:r>
      <w:r>
        <w:rPr>
          <w:color w:val="000000"/>
          <w:sz w:val="21"/>
          <w:szCs w:val="21"/>
        </w:rPr>
        <w:t>:</w:t>
      </w:r>
    </w:p>
    <w:p w14:paraId="7385CF38"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Service Provider Existing</w:t>
      </w:r>
      <w:r>
        <w:rPr>
          <w:color w:val="000000"/>
          <w:sz w:val="21"/>
          <w:szCs w:val="21"/>
        </w:rPr>
        <w:t xml:space="preserve"> IPRs that is not COTS Software for any of the purposes set out in Paragraph 5.4;</w:t>
      </w:r>
    </w:p>
    <w:p w14:paraId="6F6B958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transferrable to only:</w:t>
      </w:r>
    </w:p>
    <w:p w14:paraId="0D540B07"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w:t>
      </w:r>
      <w:r>
        <w:rPr>
          <w:color w:val="000000"/>
          <w:sz w:val="21"/>
          <w:szCs w:val="21"/>
        </w:rPr>
        <w:t>d or carried out; or</w:t>
      </w:r>
    </w:p>
    <w:p w14:paraId="6C37BAD2"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3106FBBB" w14:textId="77777777" w:rsidR="007960A8" w:rsidRDefault="00A26397">
      <w:pPr>
        <w:widowControl/>
        <w:numPr>
          <w:ilvl w:val="4"/>
          <w:numId w:val="8"/>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73F40F12" w14:textId="77777777" w:rsidR="007960A8" w:rsidRDefault="00A26397">
      <w:pPr>
        <w:widowControl/>
        <w:numPr>
          <w:ilvl w:val="4"/>
          <w:numId w:val="7"/>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74F31315"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sub-licensable to the Replacement Service Provider (including where the Replacement Service Provider is</w:t>
      </w:r>
      <w:r>
        <w:rPr>
          <w:color w:val="000000"/>
          <w:sz w:val="21"/>
          <w:szCs w:val="21"/>
        </w:rPr>
        <w:t xml:space="preserve"> a competitor of the </w:t>
      </w:r>
      <w:r>
        <w:rPr>
          <w:i/>
          <w:iCs/>
          <w:color w:val="000000"/>
          <w:sz w:val="21"/>
          <w:szCs w:val="21"/>
        </w:rPr>
        <w:t>Service Provider</w:t>
      </w:r>
      <w:r>
        <w:rPr>
          <w:color w:val="000000"/>
          <w:sz w:val="21"/>
          <w:szCs w:val="21"/>
        </w:rPr>
        <w:t>) where the Replacement Service Provider either:</w:t>
      </w:r>
    </w:p>
    <w:p w14:paraId="2C2FFC0C"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47E53618"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3F591979"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is subject to the restrictions that:</w:t>
      </w:r>
    </w:p>
    <w:p w14:paraId="5833203B"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no sub-licence granted to the Service Provider Existing IPR that is not COTS Software shall purport to pr</w:t>
      </w:r>
      <w:r>
        <w:rPr>
          <w:color w:val="000000"/>
          <w:sz w:val="21"/>
          <w:szCs w:val="21"/>
        </w:rPr>
        <w:t xml:space="preserve">ovide the sub-licensee with any wider rights than those granted to the </w:t>
      </w:r>
      <w:r>
        <w:rPr>
          <w:i/>
          <w:iCs/>
          <w:color w:val="000000"/>
          <w:sz w:val="21"/>
          <w:szCs w:val="21"/>
        </w:rPr>
        <w:t>Client</w:t>
      </w:r>
      <w:r>
        <w:rPr>
          <w:color w:val="000000"/>
          <w:sz w:val="21"/>
          <w:szCs w:val="21"/>
        </w:rPr>
        <w:t xml:space="preserve"> under this Paragraph; and</w:t>
      </w:r>
    </w:p>
    <w:p w14:paraId="3C685924" w14:textId="77777777" w:rsidR="007960A8" w:rsidRDefault="00A26397">
      <w:pPr>
        <w:widowControl/>
        <w:numPr>
          <w:ilvl w:val="4"/>
          <w:numId w:val="5"/>
        </w:numPr>
        <w:pBdr>
          <w:top w:val="nil"/>
          <w:left w:val="nil"/>
          <w:bottom w:val="nil"/>
          <w:right w:val="nil"/>
          <w:between w:val="nil"/>
        </w:pBdr>
        <w:spacing w:after="240"/>
        <w:jc w:val="both"/>
      </w:pPr>
      <w:r>
        <w:rPr>
          <w:color w:val="000000"/>
          <w:sz w:val="21"/>
          <w:szCs w:val="21"/>
        </w:rPr>
        <w:t>any sublicensee or transferee either:</w:t>
      </w:r>
    </w:p>
    <w:p w14:paraId="0A308E87" w14:textId="77777777" w:rsidR="007960A8" w:rsidRDefault="00A26397">
      <w:pPr>
        <w:widowControl/>
        <w:numPr>
          <w:ilvl w:val="4"/>
          <w:numId w:val="9"/>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03D8795C" w14:textId="77777777" w:rsidR="007960A8" w:rsidRDefault="00A26397">
      <w:pPr>
        <w:widowControl/>
        <w:numPr>
          <w:ilvl w:val="4"/>
          <w:numId w:val="7"/>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22B46743"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expires at the end of the Services Period.</w:t>
      </w:r>
    </w:p>
    <w:p w14:paraId="7DEA2896"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For the purposes of Paragraphs 5.1 and 5.3, the relevant purposes are to allow the </w:t>
      </w:r>
      <w:r>
        <w:rPr>
          <w:i/>
          <w:iCs/>
          <w:color w:val="000000"/>
          <w:sz w:val="21"/>
          <w:szCs w:val="21"/>
        </w:rPr>
        <w:t>Client</w:t>
      </w:r>
      <w:r>
        <w:rPr>
          <w:color w:val="000000"/>
          <w:sz w:val="21"/>
          <w:szCs w:val="21"/>
        </w:rPr>
        <w:t xml:space="preserve"> or an</w:t>
      </w:r>
      <w:r>
        <w:rPr>
          <w:color w:val="000000"/>
          <w:sz w:val="21"/>
          <w:szCs w:val="21"/>
        </w:rPr>
        <w:t xml:space="preserve">y End User to receive and use the </w:t>
      </w:r>
      <w:r>
        <w:rPr>
          <w:i/>
          <w:iCs/>
          <w:color w:val="000000"/>
          <w:sz w:val="21"/>
          <w:szCs w:val="21"/>
        </w:rPr>
        <w:t>services</w:t>
      </w:r>
      <w:r>
        <w:rPr>
          <w:color w:val="000000"/>
          <w:sz w:val="21"/>
          <w:szCs w:val="21"/>
        </w:rPr>
        <w:t>.</w:t>
      </w:r>
    </w:p>
    <w:p w14:paraId="1B240BFD"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Licences to COTS software</w:t>
      </w:r>
    </w:p>
    <w:p w14:paraId="50ECA860"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with licences to Service Provider Existing IPR and Third Party IPR that is, in each case, COTS Software at a price and on terms no less favourable than those standard commercial terms on which such software is usually made commercially available.</w:t>
      </w:r>
    </w:p>
    <w:p w14:paraId="22043EF2"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Licences</w:t>
      </w:r>
      <w:r>
        <w:rPr>
          <w:b/>
          <w:bCs/>
          <w:color w:val="000000"/>
          <w:sz w:val="21"/>
          <w:szCs w:val="21"/>
        </w:rPr>
        <w:t xml:space="preserve"> granted by the Client</w:t>
      </w:r>
    </w:p>
    <w:p w14:paraId="17EF9C1D"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Subject to Paragraph 8, the </w:t>
      </w:r>
      <w:r>
        <w:rPr>
          <w:i/>
          <w:iCs/>
          <w:color w:val="000000"/>
          <w:sz w:val="21"/>
          <w:szCs w:val="21"/>
        </w:rPr>
        <w:t>Client</w:t>
      </w:r>
      <w:r>
        <w:rPr>
          <w:color w:val="000000"/>
          <w:sz w:val="21"/>
          <w:szCs w:val="21"/>
        </w:rPr>
        <w:t xml:space="preserve"> grants the </w:t>
      </w:r>
      <w:r>
        <w:rPr>
          <w:i/>
          <w:iCs/>
          <w:color w:val="000000"/>
          <w:sz w:val="21"/>
          <w:szCs w:val="21"/>
        </w:rPr>
        <w:t>Service Provider</w:t>
      </w:r>
      <w:r>
        <w:rPr>
          <w:color w:val="000000"/>
          <w:sz w:val="21"/>
          <w:szCs w:val="21"/>
        </w:rPr>
        <w:t xml:space="preserve"> a licence to the Client Existing IPR that:</w:t>
      </w:r>
    </w:p>
    <w:p w14:paraId="5E44C1FA"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is non-exclusive, royalty-free and non-transferable;</w:t>
      </w:r>
    </w:p>
    <w:p w14:paraId="0ED26B91"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is sub-licensable to any Sub-contractor where:</w:t>
      </w:r>
    </w:p>
    <w:p w14:paraId="397541B0"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between the parties, acting reasonably; and</w:t>
      </w:r>
    </w:p>
    <w:p w14:paraId="6265D6A0"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 xml:space="preserve"> the sub-licence does not purport to provide the sub-licensee with any wider rights than those granted to the </w:t>
      </w:r>
      <w:r>
        <w:rPr>
          <w:i/>
          <w:iCs/>
          <w:color w:val="000000"/>
          <w:sz w:val="21"/>
          <w:szCs w:val="21"/>
        </w:rPr>
        <w:t>Service Provider</w:t>
      </w:r>
      <w:r>
        <w:rPr>
          <w:color w:val="000000"/>
          <w:sz w:val="21"/>
          <w:szCs w:val="21"/>
        </w:rPr>
        <w:t xml:space="preserve"> under this Paragraph;</w:t>
      </w:r>
    </w:p>
    <w:p w14:paraId="77E7A238"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sub-licensee to use, copy and adapt any Client Existing IPR for the pur</w:t>
      </w:r>
      <w:r>
        <w:rPr>
          <w:color w:val="000000"/>
          <w:sz w:val="21"/>
          <w:szCs w:val="21"/>
        </w:rPr>
        <w:t>pose of:</w:t>
      </w:r>
    </w:p>
    <w:p w14:paraId="0C474658"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fulfilling its obligations under the Contract; and</w:t>
      </w:r>
    </w:p>
    <w:p w14:paraId="25624528" w14:textId="77777777" w:rsidR="007960A8" w:rsidRDefault="00A26397">
      <w:pPr>
        <w:widowControl/>
        <w:numPr>
          <w:ilvl w:val="3"/>
          <w:numId w:val="5"/>
        </w:numPr>
        <w:pBdr>
          <w:top w:val="nil"/>
          <w:left w:val="nil"/>
          <w:bottom w:val="nil"/>
          <w:right w:val="nil"/>
          <w:between w:val="nil"/>
        </w:pBdr>
        <w:spacing w:after="240"/>
        <w:jc w:val="both"/>
      </w:pPr>
      <w:r>
        <w:rPr>
          <w:color w:val="000000"/>
          <w:sz w:val="21"/>
          <w:szCs w:val="21"/>
        </w:rPr>
        <w:t>commercially exploiting the New IPR and Specially Written Software; and</w:t>
      </w:r>
    </w:p>
    <w:p w14:paraId="4603E94C"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unless otherwise agreed in accordance with Paragraph 8, terminates at the earlier of the End Date or date of termination of </w:t>
      </w:r>
      <w:r>
        <w:rPr>
          <w:color w:val="000000"/>
          <w:sz w:val="21"/>
          <w:szCs w:val="21"/>
        </w:rPr>
        <w:t xml:space="preserve">the Contract. </w:t>
      </w:r>
    </w:p>
    <w:p w14:paraId="1F19D351"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Client approval for Service Provider to exploit Client Existing IPR</w:t>
      </w:r>
    </w:p>
    <w:p w14:paraId="3CCC819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Before using </w:t>
      </w:r>
      <w:r>
        <w:rPr>
          <w:i/>
          <w:iCs/>
          <w:color w:val="000000"/>
          <w:sz w:val="21"/>
          <w:szCs w:val="21"/>
        </w:rPr>
        <w:t>Client</w:t>
      </w:r>
      <w:r>
        <w:rPr>
          <w:color w:val="000000"/>
          <w:sz w:val="21"/>
          <w:szCs w:val="21"/>
        </w:rPr>
        <w:t xml:space="preserve"> existing IPR for any purpose other than fulfilling its obligations under the Contract, the </w:t>
      </w:r>
      <w:r>
        <w:rPr>
          <w:i/>
          <w:iCs/>
          <w:color w:val="000000"/>
          <w:sz w:val="21"/>
          <w:szCs w:val="21"/>
        </w:rPr>
        <w:t>Service Provider</w:t>
      </w:r>
      <w:r>
        <w:rPr>
          <w:color w:val="000000"/>
          <w:sz w:val="21"/>
          <w:szCs w:val="21"/>
        </w:rPr>
        <w:t xml:space="preserve"> must seek the approval of the </w:t>
      </w:r>
      <w:r>
        <w:rPr>
          <w:i/>
          <w:iCs/>
          <w:color w:val="000000"/>
          <w:sz w:val="21"/>
          <w:szCs w:val="21"/>
        </w:rPr>
        <w:t>Client</w:t>
      </w:r>
      <w:r>
        <w:rPr>
          <w:color w:val="000000"/>
          <w:sz w:val="21"/>
          <w:szCs w:val="21"/>
        </w:rPr>
        <w:t xml:space="preserve"> in accordance with the provisions of this Paragraph.</w:t>
      </w:r>
    </w:p>
    <w:p w14:paraId="0C93B242"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terminate any licence it grants under this</w:t>
      </w:r>
      <w:r>
        <w:rPr>
          <w:color w:val="000000"/>
          <w:sz w:val="21"/>
          <w:szCs w:val="21"/>
        </w:rPr>
        <w:t xml:space="preserve"> Paragraph by notice in writing with immediate effect where the </w:t>
      </w:r>
      <w:r>
        <w:rPr>
          <w:i/>
          <w:iCs/>
          <w:color w:val="000000"/>
          <w:sz w:val="21"/>
          <w:szCs w:val="21"/>
        </w:rPr>
        <w:t>Service Provider</w:t>
      </w:r>
      <w:r>
        <w:rPr>
          <w:color w:val="000000"/>
          <w:sz w:val="21"/>
          <w:szCs w:val="21"/>
        </w:rPr>
        <w:t xml:space="preserve"> breaches any condition in the licence.</w:t>
      </w:r>
    </w:p>
    <w:p w14:paraId="192A36E4"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proposal setting out:</w:t>
      </w:r>
    </w:p>
    <w:p w14:paraId="0388830D"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the purpose for which it proposes to use the New IPR or Specially Written Soft</w:t>
      </w:r>
      <w:r>
        <w:rPr>
          <w:color w:val="000000"/>
          <w:sz w:val="21"/>
          <w:szCs w:val="21"/>
        </w:rPr>
        <w:t>ware;</w:t>
      </w:r>
    </w:p>
    <w:p w14:paraId="2718425F"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New IPR or Specially Written Software; and</w:t>
      </w:r>
    </w:p>
    <w:p w14:paraId="68B6F64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such further information as the </w:t>
      </w:r>
      <w:r>
        <w:rPr>
          <w:i/>
          <w:iCs/>
          <w:color w:val="000000"/>
          <w:sz w:val="21"/>
          <w:szCs w:val="21"/>
        </w:rPr>
        <w:t>Client</w:t>
      </w:r>
      <w:r>
        <w:rPr>
          <w:color w:val="000000"/>
          <w:sz w:val="21"/>
          <w:szCs w:val="21"/>
        </w:rPr>
        <w:t xml:space="preserve"> may reasonably require to properly consider the proposal.</w:t>
      </w:r>
    </w:p>
    <w:p w14:paraId="4E12CB5F"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only refuse the Client’s proposal where it considers that if the </w:t>
      </w:r>
      <w:r>
        <w:rPr>
          <w:i/>
          <w:iCs/>
          <w:color w:val="000000"/>
          <w:sz w:val="21"/>
          <w:szCs w:val="21"/>
        </w:rPr>
        <w:t>Service Provider</w:t>
      </w:r>
      <w:r>
        <w:rPr>
          <w:color w:val="000000"/>
          <w:sz w:val="21"/>
          <w:szCs w:val="21"/>
        </w:rPr>
        <w:t xml:space="preserve"> were to implement the proposal it would harm:</w:t>
      </w:r>
    </w:p>
    <w:p w14:paraId="4210E39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reputation; or</w:t>
      </w:r>
    </w:p>
    <w:p w14:paraId="1CF7D6CC"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interests.</w:t>
      </w:r>
    </w:p>
    <w:p w14:paraId="6AF819C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w:t>
      </w:r>
    </w:p>
    <w:p w14:paraId="4B013CE2"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approved or declined the proposal; or</w:t>
      </w:r>
    </w:p>
    <w:p w14:paraId="09898B70"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require</w:t>
      </w:r>
      <w:r>
        <w:rPr>
          <w:color w:val="000000"/>
          <w:sz w:val="21"/>
          <w:szCs w:val="21"/>
        </w:rPr>
        <w:t>d further information,</w:t>
      </w:r>
    </w:p>
    <w:p w14:paraId="7CB6F949"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within 20 working days of the later of:</w:t>
      </w:r>
    </w:p>
    <w:p w14:paraId="12866F2A"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date the proposal was first provided to the </w:t>
      </w:r>
      <w:r>
        <w:rPr>
          <w:i/>
          <w:iCs/>
          <w:color w:val="000000"/>
          <w:sz w:val="21"/>
          <w:szCs w:val="21"/>
        </w:rPr>
        <w:t>Client</w:t>
      </w:r>
      <w:r>
        <w:rPr>
          <w:color w:val="000000"/>
          <w:sz w:val="21"/>
          <w:szCs w:val="21"/>
        </w:rPr>
        <w:t>; or</w:t>
      </w:r>
    </w:p>
    <w:p w14:paraId="4A636BA9"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date on which further information was provided to the </w:t>
      </w:r>
      <w:r>
        <w:rPr>
          <w:i/>
          <w:iCs/>
          <w:color w:val="000000"/>
          <w:sz w:val="21"/>
          <w:szCs w:val="21"/>
        </w:rPr>
        <w:t>Client</w:t>
      </w:r>
      <w:r>
        <w:rPr>
          <w:color w:val="000000"/>
          <w:sz w:val="21"/>
          <w:szCs w:val="21"/>
        </w:rPr>
        <w:t>,</w:t>
      </w:r>
    </w:p>
    <w:p w14:paraId="6325FE38"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then the proposal is, for the purposes of the Contract, approved.</w:t>
      </w:r>
    </w:p>
    <w:p w14:paraId="4396A3A7"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Provision of information on New IPR and Specially Written Software</w:t>
      </w:r>
    </w:p>
    <w:p w14:paraId="05111A6F"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7C2FC2DA"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 Specially Written Software; and</w:t>
      </w:r>
    </w:p>
    <w:p w14:paraId="4F531DAE"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Contract, with or in respect of the New IPR and </w:t>
      </w:r>
      <w:r>
        <w:rPr>
          <w:color w:val="000000"/>
          <w:sz w:val="21"/>
          <w:szCs w:val="21"/>
        </w:rPr>
        <w:t>Specially Written Software.</w:t>
      </w:r>
    </w:p>
    <w:p w14:paraId="42A6790C"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information required by the </w:t>
      </w:r>
      <w:r>
        <w:rPr>
          <w:i/>
          <w:iCs/>
          <w:color w:val="000000"/>
          <w:sz w:val="21"/>
          <w:szCs w:val="21"/>
        </w:rPr>
        <w:t>Client</w:t>
      </w:r>
      <w:r>
        <w:rPr>
          <w:color w:val="000000"/>
          <w:sz w:val="21"/>
          <w:szCs w:val="21"/>
        </w:rPr>
        <w:t>:</w:t>
      </w:r>
    </w:p>
    <w:p w14:paraId="077E9D3A"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within 20 working days of the date of the requirement; and</w:t>
      </w:r>
    </w:p>
    <w:p w14:paraId="1F6261B6" w14:textId="77777777" w:rsidR="007960A8" w:rsidRDefault="00A26397">
      <w:pPr>
        <w:widowControl/>
        <w:numPr>
          <w:ilvl w:val="2"/>
          <w:numId w:val="5"/>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1C4B39F8" w14:textId="77777777" w:rsidR="007960A8" w:rsidRDefault="00A26397">
      <w:pPr>
        <w:keepNext/>
        <w:keepLines/>
        <w:widowControl/>
        <w:numPr>
          <w:ilvl w:val="0"/>
          <w:numId w:val="5"/>
        </w:numPr>
        <w:pBdr>
          <w:top w:val="nil"/>
          <w:left w:val="nil"/>
          <w:bottom w:val="nil"/>
          <w:right w:val="nil"/>
          <w:between w:val="nil"/>
        </w:pBdr>
        <w:spacing w:after="240"/>
        <w:jc w:val="both"/>
      </w:pPr>
      <w:r>
        <w:rPr>
          <w:b/>
          <w:bCs/>
          <w:color w:val="000000"/>
          <w:sz w:val="21"/>
          <w:szCs w:val="21"/>
        </w:rPr>
        <w:t>Patents</w:t>
      </w:r>
    </w:p>
    <w:p w14:paraId="0CFB9113" w14:textId="77777777" w:rsidR="007960A8" w:rsidRDefault="00A26397">
      <w:pPr>
        <w:widowControl/>
        <w:numPr>
          <w:ilvl w:val="1"/>
          <w:numId w:val="5"/>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Specially Written Software or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w:t>
      </w:r>
      <w:r>
        <w:rPr>
          <w:color w:val="000000"/>
          <w:sz w:val="21"/>
          <w:szCs w:val="21"/>
        </w:rPr>
        <w:t xml:space="preserve">by grants to the </w:t>
      </w:r>
      <w:r>
        <w:rPr>
          <w:i/>
          <w:iCs/>
          <w:color w:val="000000"/>
          <w:sz w:val="21"/>
          <w:szCs w:val="21"/>
        </w:rPr>
        <w:t>Client</w:t>
      </w:r>
      <w:r>
        <w:rPr>
          <w:color w:val="000000"/>
          <w:sz w:val="21"/>
          <w:szCs w:val="21"/>
        </w:rPr>
        <w:t xml:space="preserve"> and the Replacement Service Provider a non-exclusive, irrevocable, royalty-free, worldwide patent licence to use the infringing methods, materials or software.</w:t>
      </w:r>
    </w:p>
    <w:p w14:paraId="29F93F4D" w14:textId="77777777" w:rsidR="007960A8" w:rsidRDefault="007960A8">
      <w:pPr>
        <w:widowControl/>
        <w:pBdr>
          <w:top w:val="nil"/>
          <w:left w:val="nil"/>
          <w:bottom w:val="nil"/>
          <w:right w:val="nil"/>
          <w:between w:val="nil"/>
        </w:pBdr>
        <w:spacing w:after="120" w:line="480" w:lineRule="auto"/>
        <w:jc w:val="both"/>
        <w:rPr>
          <w:color w:val="000000"/>
          <w:sz w:val="21"/>
          <w:szCs w:val="21"/>
        </w:rPr>
      </w:pPr>
    </w:p>
    <w:p w14:paraId="59FE25B1" w14:textId="77777777" w:rsidR="007960A8" w:rsidRDefault="007960A8">
      <w:pPr>
        <w:widowControl/>
        <w:pBdr>
          <w:top w:val="nil"/>
          <w:left w:val="nil"/>
          <w:bottom w:val="nil"/>
          <w:right w:val="nil"/>
          <w:between w:val="nil"/>
        </w:pBdr>
        <w:spacing w:after="120" w:line="480" w:lineRule="auto"/>
        <w:jc w:val="both"/>
        <w:rPr>
          <w:color w:val="000000"/>
          <w:sz w:val="21"/>
          <w:szCs w:val="21"/>
        </w:rPr>
        <w:sectPr w:rsidR="007960A8">
          <w:pgSz w:w="11910" w:h="16840"/>
          <w:pgMar w:top="1440" w:right="1440" w:bottom="1440" w:left="1440" w:header="706" w:footer="706" w:gutter="0"/>
          <w:cols w:space="720"/>
          <w:titlePg/>
        </w:sectPr>
      </w:pPr>
    </w:p>
    <w:p w14:paraId="05F8E466" w14:textId="77777777" w:rsidR="007960A8" w:rsidRDefault="00A26397">
      <w:pPr>
        <w:spacing w:after="240" w:line="276" w:lineRule="auto"/>
        <w:rPr>
          <w:b/>
          <w:bCs/>
          <w:i/>
          <w:iCs/>
        </w:rPr>
      </w:pPr>
      <w:r>
        <w:rPr>
          <w:b/>
          <w:bCs/>
          <w:i/>
          <w:iCs/>
          <w:highlight w:val="yellow"/>
        </w:rPr>
        <w:t>[Guidance note: for IPR Option B4: Service Provider ownership of all Specially Written Software and New IPR with Client rights for the current contract and broader public sector functions, please include the following drafting:]</w:t>
      </w:r>
    </w:p>
    <w:p w14:paraId="385EE284" w14:textId="77777777" w:rsidR="007960A8" w:rsidRDefault="00A26397">
      <w:pPr>
        <w:spacing w:after="240" w:line="276" w:lineRule="auto"/>
        <w:rPr>
          <w:sz w:val="28"/>
          <w:szCs w:val="28"/>
        </w:rPr>
      </w:pPr>
      <w:r>
        <w:rPr>
          <w:sz w:val="28"/>
          <w:szCs w:val="28"/>
        </w:rPr>
        <w:t>IPR Option B4</w:t>
      </w:r>
    </w:p>
    <w:p w14:paraId="2B24A40B"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 xml:space="preserve">Intellectual </w:t>
      </w:r>
      <w:r>
        <w:rPr>
          <w:b/>
          <w:bCs/>
          <w:color w:val="000000"/>
          <w:sz w:val="21"/>
          <w:szCs w:val="21"/>
        </w:rPr>
        <w:t>Property Rights – General Provisions</w:t>
      </w:r>
    </w:p>
    <w:p w14:paraId="37B5F56A"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Each party keeps ownership of its own Existing IPR.</w:t>
      </w:r>
    </w:p>
    <w:p w14:paraId="5A94BEEB"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Where either party acquires, by operation of law, ownership of Intellectual Property Rights that is inconsistent with the requirements of this Schedule, it must assign</w:t>
      </w:r>
      <w:r>
        <w:rPr>
          <w:color w:val="000000"/>
          <w:sz w:val="21"/>
          <w:szCs w:val="21"/>
        </w:rPr>
        <w:t xml:space="preserve"> in writing the Intellectual Property Rights concerned to the other party on the other party’s request (whenever made).</w:t>
      </w:r>
    </w:p>
    <w:p w14:paraId="176D2E4A"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Neither party has the right to use the other party’s IPR, including any use of the other party’s names, logos or trademarks, except as e</w:t>
      </w:r>
      <w:r>
        <w:rPr>
          <w:color w:val="000000"/>
          <w:sz w:val="21"/>
          <w:szCs w:val="21"/>
        </w:rPr>
        <w:t>xpressly granted elsewhere under the Contract or otherwise agreed in writing.</w:t>
      </w:r>
    </w:p>
    <w:p w14:paraId="52959C75"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Except as expressly granted elsewhere under the Contract, neither party acquires any right, title or interest in or to the IPR owned by the other party or any third party.</w:t>
      </w:r>
    </w:p>
    <w:p w14:paraId="50A00A99"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becomes aware at any time, including after the </w:t>
      </w:r>
      <w:r>
        <w:rPr>
          <w:i/>
          <w:iCs/>
          <w:color w:val="000000"/>
          <w:sz w:val="21"/>
          <w:szCs w:val="21"/>
        </w:rPr>
        <w:t>service period</w:t>
      </w:r>
      <w:r>
        <w:rPr>
          <w:color w:val="000000"/>
          <w:sz w:val="21"/>
          <w:szCs w:val="21"/>
        </w:rPr>
        <w:t xml:space="preserve">, that, in respect of any </w:t>
      </w:r>
      <w:r>
        <w:rPr>
          <w:i/>
          <w:iCs/>
          <w:color w:val="000000"/>
          <w:sz w:val="21"/>
          <w:szCs w:val="21"/>
        </w:rPr>
        <w:t>services</w:t>
      </w:r>
      <w:r>
        <w:rPr>
          <w:color w:val="000000"/>
          <w:sz w:val="21"/>
          <w:szCs w:val="21"/>
        </w:rPr>
        <w:t xml:space="preserve">, the </w:t>
      </w:r>
      <w:r>
        <w:rPr>
          <w:i/>
          <w:iCs/>
          <w:color w:val="000000"/>
          <w:sz w:val="21"/>
          <w:szCs w:val="21"/>
        </w:rPr>
        <w:t>Client</w:t>
      </w:r>
      <w:r>
        <w:rPr>
          <w:color w:val="000000"/>
          <w:sz w:val="21"/>
          <w:szCs w:val="21"/>
        </w:rPr>
        <w:t xml:space="preserve"> has not received the licences to Service Provider Existing IPRs or Third Party IPRs required by Paragraphs 4 and 5, the </w:t>
      </w:r>
      <w:r>
        <w:rPr>
          <w:i/>
          <w:iCs/>
          <w:color w:val="000000"/>
          <w:sz w:val="21"/>
          <w:szCs w:val="21"/>
        </w:rPr>
        <w:t>Serv</w:t>
      </w:r>
      <w:r>
        <w:rPr>
          <w:i/>
          <w:iCs/>
          <w:color w:val="000000"/>
          <w:sz w:val="21"/>
          <w:szCs w:val="21"/>
        </w:rPr>
        <w:t>ice Provider</w:t>
      </w:r>
      <w:r>
        <w:rPr>
          <w:color w:val="000000"/>
          <w:sz w:val="21"/>
          <w:szCs w:val="21"/>
        </w:rPr>
        <w:t xml:space="preserve"> must, within 10 working days notify the </w:t>
      </w:r>
      <w:r>
        <w:rPr>
          <w:i/>
          <w:iCs/>
          <w:color w:val="000000"/>
          <w:sz w:val="21"/>
          <w:szCs w:val="21"/>
        </w:rPr>
        <w:t>Client</w:t>
      </w:r>
      <w:r>
        <w:rPr>
          <w:color w:val="000000"/>
          <w:sz w:val="21"/>
          <w:szCs w:val="21"/>
        </w:rPr>
        <w:t>:</w:t>
      </w:r>
    </w:p>
    <w:p w14:paraId="26C35E1C"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specific Intellectual Property Rights the </w:t>
      </w:r>
      <w:r>
        <w:rPr>
          <w:i/>
          <w:iCs/>
          <w:color w:val="000000"/>
          <w:sz w:val="21"/>
          <w:szCs w:val="21"/>
        </w:rPr>
        <w:t>Client</w:t>
      </w:r>
      <w:r>
        <w:rPr>
          <w:color w:val="000000"/>
          <w:sz w:val="21"/>
          <w:szCs w:val="21"/>
        </w:rPr>
        <w:t xml:space="preserve"> has not received licences to; and</w:t>
      </w:r>
    </w:p>
    <w:p w14:paraId="2FFE1970"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affected.</w:t>
      </w:r>
    </w:p>
    <w:p w14:paraId="4222992E"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For the avoidance of doubt</w:t>
      </w:r>
    </w:p>
    <w:p w14:paraId="445B5C18"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except as provided for in Paragraphs 5.3.2.2(c)(1) or 4.1.</w:t>
      </w:r>
      <w:r>
        <w:rPr>
          <w:color w:val="000000"/>
          <w:sz w:val="21"/>
          <w:szCs w:val="21"/>
        </w:rPr>
        <w:t xml:space="preserve">6.2 and 4.1.4, the expiry or termination of the Contract does not of itself terminate the licences granted to the </w:t>
      </w:r>
      <w:r>
        <w:rPr>
          <w:i/>
          <w:iCs/>
          <w:color w:val="000000"/>
          <w:sz w:val="21"/>
          <w:szCs w:val="21"/>
        </w:rPr>
        <w:t>Client</w:t>
      </w:r>
      <w:r>
        <w:rPr>
          <w:color w:val="000000"/>
          <w:sz w:val="21"/>
          <w:szCs w:val="21"/>
        </w:rPr>
        <w:t xml:space="preserve"> under Paragraphs 4 and 5</w:t>
      </w:r>
    </w:p>
    <w:p w14:paraId="7FE8CB26"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Ownership and delivery of IPR created under the Contract</w:t>
      </w:r>
    </w:p>
    <w:p w14:paraId="20C6671E"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Any New IPR and Specially Written Software is owned b</w:t>
      </w:r>
      <w:r>
        <w:rPr>
          <w:color w:val="000000"/>
          <w:sz w:val="21"/>
          <w:szCs w:val="21"/>
        </w:rPr>
        <w:t xml:space="preserve">y the </w:t>
      </w:r>
      <w:r>
        <w:rPr>
          <w:i/>
          <w:iCs/>
          <w:color w:val="000000"/>
          <w:sz w:val="21"/>
          <w:szCs w:val="21"/>
        </w:rPr>
        <w:t>Service Provider</w:t>
      </w:r>
      <w:r>
        <w:rPr>
          <w:color w:val="000000"/>
          <w:sz w:val="21"/>
          <w:szCs w:val="21"/>
        </w:rPr>
        <w:t>, including:</w:t>
      </w:r>
    </w:p>
    <w:p w14:paraId="766EBC8B"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the Documentation, Source Code and the Object Code of the Specially Written Software and any software elements of the New IPR; and</w:t>
      </w:r>
    </w:p>
    <w:p w14:paraId="114407C0"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all build instructions, test instructions, test scripts, test data, operating instructions</w:t>
      </w:r>
      <w:r>
        <w:rPr>
          <w:color w:val="000000"/>
          <w:sz w:val="21"/>
          <w:szCs w:val="21"/>
        </w:rPr>
        <w:t xml:space="preserve"> and other documents and tools necessary for maintaining and supporting the Specially Written Software and the New IPR,</w:t>
      </w:r>
    </w:p>
    <w:p w14:paraId="79EA0FE9"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(together, the Software Supporting Materials).</w:t>
      </w:r>
    </w:p>
    <w:p w14:paraId="23716292"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Unless otherwise agreed in writing,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will record any Specially Written Software and New IPR in the table at Annex 1 to this Schedule and keep this updated throughout the </w:t>
      </w:r>
      <w:r>
        <w:rPr>
          <w:i/>
          <w:iCs/>
          <w:color w:val="000000"/>
          <w:sz w:val="21"/>
          <w:szCs w:val="21"/>
        </w:rPr>
        <w:t>service period</w:t>
      </w:r>
      <w:r>
        <w:rPr>
          <w:color w:val="000000"/>
          <w:sz w:val="21"/>
          <w:szCs w:val="21"/>
        </w:rPr>
        <w:t>.</w:t>
      </w:r>
    </w:p>
    <w:p w14:paraId="4FDF3781"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Licence of New IPR and Specially Written Software</w:t>
      </w:r>
    </w:p>
    <w:p w14:paraId="4161401B"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New IPR and Specially Written Software Licence on the terms set out in Paragraph 3.3 in respect of each </w:t>
      </w:r>
      <w:r>
        <w:rPr>
          <w:i/>
          <w:iCs/>
          <w:color w:val="000000"/>
          <w:sz w:val="21"/>
          <w:szCs w:val="21"/>
        </w:rPr>
        <w:t>service</w:t>
      </w:r>
      <w:r>
        <w:rPr>
          <w:color w:val="000000"/>
          <w:sz w:val="21"/>
          <w:szCs w:val="21"/>
        </w:rPr>
        <w:t xml:space="preserve"> where:</w:t>
      </w:r>
    </w:p>
    <w:p w14:paraId="4AE52965"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New IPR or Specially Written Software is embedded in the </w:t>
      </w:r>
      <w:r>
        <w:rPr>
          <w:i/>
          <w:iCs/>
          <w:color w:val="000000"/>
          <w:sz w:val="21"/>
          <w:szCs w:val="21"/>
        </w:rPr>
        <w:t>services</w:t>
      </w:r>
      <w:r>
        <w:rPr>
          <w:color w:val="000000"/>
          <w:sz w:val="21"/>
          <w:szCs w:val="21"/>
        </w:rPr>
        <w:t>;</w:t>
      </w:r>
    </w:p>
    <w:p w14:paraId="5471DC8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New IPR or Specially Written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or</w:t>
      </w:r>
    </w:p>
    <w:p w14:paraId="2F2558BF"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New IPR or Specially Written Software us used to provide the </w:t>
      </w:r>
      <w:r>
        <w:rPr>
          <w:i/>
          <w:iCs/>
          <w:color w:val="000000"/>
          <w:sz w:val="21"/>
          <w:szCs w:val="21"/>
        </w:rPr>
        <w:t>services</w:t>
      </w:r>
      <w:r>
        <w:rPr>
          <w:color w:val="000000"/>
          <w:sz w:val="21"/>
          <w:szCs w:val="21"/>
        </w:rPr>
        <w:t>.</w:t>
      </w:r>
    </w:p>
    <w:p w14:paraId="46CA51FB"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The categories of New IPR or Specially Written Software set out in Paragraph 3.1 are mu</w:t>
      </w:r>
      <w:r>
        <w:rPr>
          <w:color w:val="000000"/>
          <w:sz w:val="21"/>
          <w:szCs w:val="21"/>
        </w:rPr>
        <w:t>tually exclusive.</w:t>
      </w:r>
    </w:p>
    <w:p w14:paraId="5AB7E5AB"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New IPR and Specially Written Software Licence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 royalty-free, irrevocable, transferable, sub-licensable, worldwide licence that:</w:t>
      </w:r>
    </w:p>
    <w:p w14:paraId="5BF2C90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in the case of New IPR or Specially Writ</w:t>
      </w:r>
      <w:r>
        <w:rPr>
          <w:color w:val="000000"/>
          <w:sz w:val="21"/>
          <w:szCs w:val="21"/>
        </w:rPr>
        <w:t xml:space="preserve">ten Software embedded in a </w:t>
      </w:r>
      <w:r>
        <w:rPr>
          <w:i/>
          <w:iCs/>
          <w:color w:val="000000"/>
          <w:sz w:val="21"/>
          <w:szCs w:val="21"/>
        </w:rPr>
        <w:t>service</w:t>
      </w:r>
      <w:r>
        <w:rPr>
          <w:color w:val="000000"/>
          <w:sz w:val="21"/>
          <w:szCs w:val="21"/>
        </w:rPr>
        <w:t xml:space="preserve"> or is used to provide the </w:t>
      </w:r>
      <w:r>
        <w:rPr>
          <w:i/>
          <w:iCs/>
          <w:color w:val="000000"/>
          <w:sz w:val="21"/>
          <w:szCs w:val="21"/>
        </w:rPr>
        <w:t>services</w:t>
      </w:r>
      <w:r>
        <w:rPr>
          <w:color w:val="000000"/>
          <w:sz w:val="21"/>
          <w:szCs w:val="21"/>
        </w:rPr>
        <w:t>:</w:t>
      </w:r>
    </w:p>
    <w:p w14:paraId="0C161D2F"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sub-licensable;</w:t>
      </w:r>
    </w:p>
    <w:p w14:paraId="476A442E"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has no restriction on the identity of any transferee or sub-licensee; and</w:t>
      </w:r>
    </w:p>
    <w:p w14:paraId="52C663B7"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copy and adapt the New IPR or S</w:t>
      </w:r>
      <w:r>
        <w:rPr>
          <w:color w:val="000000"/>
          <w:sz w:val="21"/>
          <w:szCs w:val="21"/>
        </w:rPr>
        <w:t>pecially Written Software for any of the purposes set out in Paragraph 3.4;</w:t>
      </w:r>
    </w:p>
    <w:p w14:paraId="1FEC368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case of New IPR or Specially Written Software that is necessary for the </w:t>
      </w:r>
      <w:r>
        <w:rPr>
          <w:i/>
          <w:iCs/>
          <w:color w:val="000000"/>
          <w:sz w:val="21"/>
          <w:szCs w:val="21"/>
        </w:rPr>
        <w:t>Client</w:t>
      </w:r>
      <w:r>
        <w:rPr>
          <w:color w:val="000000"/>
          <w:sz w:val="21"/>
          <w:szCs w:val="21"/>
        </w:rPr>
        <w:t xml:space="preserve"> to receive or use the </w:t>
      </w:r>
      <w:r>
        <w:rPr>
          <w:i/>
          <w:iCs/>
          <w:color w:val="000000"/>
          <w:sz w:val="21"/>
          <w:szCs w:val="21"/>
        </w:rPr>
        <w:t>services</w:t>
      </w:r>
      <w:r>
        <w:rPr>
          <w:color w:val="000000"/>
          <w:sz w:val="21"/>
          <w:szCs w:val="21"/>
        </w:rPr>
        <w:t>:</w:t>
      </w:r>
    </w:p>
    <w:p w14:paraId="43F3B03B"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New IPR or Specially Written Software for any of the purposes set out in Paragraph 3.4; and</w:t>
      </w:r>
    </w:p>
    <w:p w14:paraId="76BC9834"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transferrable to only:</w:t>
      </w:r>
    </w:p>
    <w:p w14:paraId="3C27FBC0"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performed or carried out; or</w:t>
      </w:r>
    </w:p>
    <w:p w14:paraId="64F1CE23"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and</w:t>
      </w:r>
    </w:p>
    <w:p w14:paraId="2B7E094E"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w:t>
      </w:r>
      <w:r>
        <w:rPr>
          <w:color w:val="000000"/>
          <w:sz w:val="21"/>
          <w:szCs w:val="21"/>
        </w:rPr>
        <w:t xml:space="preserve">s sub-licensable to the Replacement Service Provider (including where the Replacement Service Provider is a competitor of the </w:t>
      </w:r>
      <w:r>
        <w:rPr>
          <w:i/>
          <w:iCs/>
          <w:color w:val="000000"/>
          <w:sz w:val="21"/>
          <w:szCs w:val="21"/>
        </w:rPr>
        <w:t>Service Provider</w:t>
      </w:r>
      <w:r>
        <w:rPr>
          <w:color w:val="000000"/>
          <w:sz w:val="21"/>
          <w:szCs w:val="21"/>
        </w:rPr>
        <w:t>) where the Replacement Service Provider either:</w:t>
      </w:r>
    </w:p>
    <w:p w14:paraId="1D37C117"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w:t>
      </w:r>
      <w:r>
        <w:rPr>
          <w:color w:val="000000"/>
          <w:sz w:val="21"/>
          <w:szCs w:val="21"/>
        </w:rPr>
        <w:t xml:space="preserve"> form set out in Annex 2; or</w:t>
      </w:r>
    </w:p>
    <w:p w14:paraId="7EF75B54"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7277ACC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continues in effect following the expiry or earlier termination of the Contract; and</w:t>
      </w:r>
    </w:p>
    <w:p w14:paraId="742B896E"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is subject to the restrictio</w:t>
      </w:r>
      <w:r>
        <w:rPr>
          <w:color w:val="000000"/>
          <w:sz w:val="21"/>
          <w:szCs w:val="21"/>
        </w:rPr>
        <w:t>ns that:</w:t>
      </w:r>
    </w:p>
    <w:p w14:paraId="45444403"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each transferee or sub-licensee either:</w:t>
      </w:r>
    </w:p>
    <w:p w14:paraId="66F1F517"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6B545090"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1CA3A305"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no sub-licence granted to the New IPR or Specially Written Software shall purport to provide the sub-licensee with any wider rights than those granted to the </w:t>
      </w:r>
      <w:r>
        <w:rPr>
          <w:i/>
          <w:iCs/>
          <w:color w:val="000000"/>
          <w:sz w:val="21"/>
          <w:szCs w:val="21"/>
        </w:rPr>
        <w:t>Client</w:t>
      </w:r>
      <w:r>
        <w:rPr>
          <w:color w:val="000000"/>
          <w:sz w:val="21"/>
          <w:szCs w:val="21"/>
        </w:rPr>
        <w:t xml:space="preserve"> under this Paragraph.</w:t>
      </w:r>
    </w:p>
    <w:p w14:paraId="4CB1B049"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For the </w:t>
      </w:r>
      <w:r>
        <w:rPr>
          <w:color w:val="000000"/>
          <w:sz w:val="21"/>
          <w:szCs w:val="21"/>
        </w:rPr>
        <w:t>purposes of Paragraphs 3.1 and 3.3, the relevant purposes are:</w:t>
      </w:r>
    </w:p>
    <w:p w14:paraId="57C4C69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 and</w:t>
      </w:r>
    </w:p>
    <w:p w14:paraId="3302B804"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for any purpose relating to the exercise of the </w:t>
      </w:r>
      <w:r>
        <w:rPr>
          <w:i/>
          <w:iCs/>
          <w:color w:val="000000"/>
          <w:sz w:val="21"/>
          <w:szCs w:val="21"/>
        </w:rPr>
        <w:t>Client’s</w:t>
      </w:r>
      <w:r>
        <w:rPr>
          <w:color w:val="000000"/>
          <w:sz w:val="21"/>
          <w:szCs w:val="21"/>
        </w:rPr>
        <w:t xml:space="preserve"> (or, if the </w:t>
      </w:r>
      <w:r>
        <w:rPr>
          <w:i/>
          <w:iCs/>
          <w:color w:val="000000"/>
          <w:sz w:val="21"/>
          <w:szCs w:val="21"/>
        </w:rPr>
        <w:t>Client</w:t>
      </w:r>
      <w:r>
        <w:rPr>
          <w:color w:val="000000"/>
          <w:sz w:val="21"/>
          <w:szCs w:val="21"/>
        </w:rPr>
        <w:t xml:space="preserve"> is a Public Sector Body, any other Public Sector Body’s) business or function.</w:t>
      </w:r>
    </w:p>
    <w:p w14:paraId="0A5A374A"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Where the legal status of the </w:t>
      </w:r>
      <w:r>
        <w:rPr>
          <w:i/>
          <w:iCs/>
          <w:color w:val="000000"/>
          <w:sz w:val="21"/>
          <w:szCs w:val="21"/>
        </w:rPr>
        <w:t>Client</w:t>
      </w:r>
      <w:r>
        <w:rPr>
          <w:color w:val="000000"/>
          <w:sz w:val="21"/>
          <w:szCs w:val="21"/>
        </w:rPr>
        <w:t xml:space="preserve"> changes:</w:t>
      </w:r>
    </w:p>
    <w:p w14:paraId="4207D073"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the New IPR and Specially Written Software Licence is unaffected; and</w:t>
      </w:r>
    </w:p>
    <w:p w14:paraId="40D498F4"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any successor body of the </w:t>
      </w:r>
      <w:r>
        <w:rPr>
          <w:i/>
          <w:iCs/>
          <w:color w:val="000000"/>
          <w:sz w:val="21"/>
          <w:szCs w:val="21"/>
        </w:rPr>
        <w:t>Client</w:t>
      </w:r>
      <w:r>
        <w:rPr>
          <w:color w:val="000000"/>
          <w:sz w:val="21"/>
          <w:szCs w:val="21"/>
        </w:rPr>
        <w:t xml:space="preserve"> shall have the benefit of t</w:t>
      </w:r>
      <w:r>
        <w:rPr>
          <w:color w:val="000000"/>
          <w:sz w:val="21"/>
          <w:szCs w:val="21"/>
        </w:rPr>
        <w:t>he New IPR and Specially Written Software Licence.</w:t>
      </w:r>
    </w:p>
    <w:p w14:paraId="36FCA5ED"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Use of Service Provider Existing IPRs and Third Party IPRs</w:t>
      </w:r>
    </w:p>
    <w:p w14:paraId="15765469"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w:t>
      </w:r>
    </w:p>
    <w:p w14:paraId="7790F56A"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embed Service Provider Existing IPRs or Third Party IPRs in a Deliverable;</w:t>
      </w:r>
    </w:p>
    <w:p w14:paraId="0F23E955"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provide any Deliverable that requires Service Provider Existing IPRs or Third Party IPRs to use that </w:t>
      </w:r>
      <w:r>
        <w:rPr>
          <w:i/>
          <w:iCs/>
          <w:color w:val="000000"/>
          <w:sz w:val="21"/>
          <w:szCs w:val="21"/>
        </w:rPr>
        <w:t>service</w:t>
      </w:r>
      <w:r>
        <w:rPr>
          <w:color w:val="000000"/>
          <w:sz w:val="21"/>
          <w:szCs w:val="21"/>
        </w:rPr>
        <w:t xml:space="preserve"> its intended purpose; or</w:t>
      </w:r>
    </w:p>
    <w:p w14:paraId="6FBB253D"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provide any </w:t>
      </w:r>
      <w:r>
        <w:rPr>
          <w:i/>
          <w:iCs/>
          <w:color w:val="000000"/>
          <w:sz w:val="21"/>
          <w:szCs w:val="21"/>
        </w:rPr>
        <w:t>service</w:t>
      </w:r>
      <w:r>
        <w:rPr>
          <w:color w:val="000000"/>
          <w:sz w:val="21"/>
          <w:szCs w:val="21"/>
        </w:rPr>
        <w:t xml:space="preserve"> that is a customisation or </w:t>
      </w:r>
      <w:r>
        <w:rPr>
          <w:color w:val="000000"/>
          <w:sz w:val="21"/>
          <w:szCs w:val="21"/>
        </w:rPr>
        <w:t>adaptation of those Service Provider Existing IPRs or Third Party IPRs,</w:t>
      </w:r>
    </w:p>
    <w:p w14:paraId="79907A4F"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unless one or more of the following conditions apply:</w:t>
      </w:r>
    </w:p>
    <w:p w14:paraId="36B1314B"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for any Service Provider Existing IPRs or Third Party IPRs that are not COTS Software, the </w:t>
      </w:r>
      <w:r>
        <w:rPr>
          <w:i/>
          <w:iCs/>
          <w:color w:val="000000"/>
          <w:sz w:val="21"/>
          <w:szCs w:val="21"/>
        </w:rPr>
        <w:t>Client</w:t>
      </w:r>
      <w:r>
        <w:rPr>
          <w:color w:val="000000"/>
          <w:sz w:val="21"/>
          <w:szCs w:val="21"/>
        </w:rPr>
        <w:t xml:space="preserve"> provides Approval after receiving full details of the Service Provider Existing IPRs or Third Party IPRs and their relationship to the </w:t>
      </w:r>
      <w:r>
        <w:rPr>
          <w:i/>
          <w:iCs/>
          <w:color w:val="000000"/>
          <w:sz w:val="21"/>
          <w:szCs w:val="21"/>
        </w:rPr>
        <w:t>services</w:t>
      </w:r>
      <w:r>
        <w:rPr>
          <w:color w:val="000000"/>
          <w:sz w:val="21"/>
          <w:szCs w:val="21"/>
        </w:rPr>
        <w:t xml:space="preserve">; </w:t>
      </w:r>
    </w:p>
    <w:p w14:paraId="46BCE92E"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case </w:t>
      </w:r>
      <w:r>
        <w:rPr>
          <w:color w:val="000000"/>
          <w:sz w:val="21"/>
          <w:szCs w:val="21"/>
        </w:rPr>
        <w:t>of Service Provider Existing IPRs or Third Party IPRs that are, in each case, COTS Software all the following conditions are met:</w:t>
      </w:r>
    </w:p>
    <w:p w14:paraId="584A68DE"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the applicable terms for the Service Provider Existing IPRs or Third Party I</w:t>
      </w:r>
      <w:r>
        <w:rPr>
          <w:color w:val="000000"/>
          <w:sz w:val="21"/>
          <w:szCs w:val="21"/>
        </w:rPr>
        <w:t>PRs that are, in each case, COTS Software (which must be at a price and on terms no less favourable than those standard commercial terms on which such software is usually made commercially available); and</w:t>
      </w:r>
    </w:p>
    <w:p w14:paraId="39A600B7"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(in its absolute discretion) rej</w:t>
      </w:r>
      <w:r>
        <w:rPr>
          <w:color w:val="000000"/>
          <w:sz w:val="21"/>
          <w:szCs w:val="21"/>
        </w:rPr>
        <w:t xml:space="preserve">ected those licence terms within 10 working days of the date on which they were provided to the </w:t>
      </w:r>
      <w:r>
        <w:rPr>
          <w:i/>
          <w:iCs/>
          <w:color w:val="000000"/>
          <w:sz w:val="21"/>
          <w:szCs w:val="21"/>
        </w:rPr>
        <w:t>Client</w:t>
      </w:r>
      <w:r>
        <w:rPr>
          <w:color w:val="000000"/>
          <w:sz w:val="21"/>
          <w:szCs w:val="21"/>
        </w:rPr>
        <w:t>;</w:t>
      </w:r>
    </w:p>
    <w:p w14:paraId="30762DD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case of Third Party IPRs that are not COTS Software, the </w:t>
      </w:r>
      <w:r>
        <w:rPr>
          <w:i/>
          <w:iCs/>
          <w:color w:val="000000"/>
          <w:sz w:val="21"/>
          <w:szCs w:val="21"/>
        </w:rPr>
        <w:t>Client</w:t>
      </w:r>
      <w:r>
        <w:rPr>
          <w:color w:val="000000"/>
          <w:sz w:val="21"/>
          <w:szCs w:val="21"/>
        </w:rPr>
        <w:t xml:space="preserve"> provides approval under Paragraph 4.1.4 and one of the following conditions is me</w:t>
      </w:r>
      <w:r>
        <w:rPr>
          <w:color w:val="000000"/>
          <w:sz w:val="21"/>
          <w:szCs w:val="21"/>
        </w:rPr>
        <w:t>t:</w:t>
      </w:r>
    </w:p>
    <w:p w14:paraId="40C893C0"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the owner or an authorised licensor of the relevant Third Party IPR has granted a direct Third Party IPR Licence on the terms set out in Paragraph 3.3, as if:</w:t>
      </w:r>
    </w:p>
    <w:p w14:paraId="69D90B02"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the term Third Party IPRs were substituted for the term Service Provider Existing IPR; and</w:t>
      </w:r>
    </w:p>
    <w:p w14:paraId="468838E6"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the term “third party” were substituted for the term </w:t>
      </w:r>
      <w:r>
        <w:rPr>
          <w:i/>
          <w:iCs/>
          <w:color w:val="000000"/>
          <w:sz w:val="21"/>
          <w:szCs w:val="21"/>
        </w:rPr>
        <w:t>Service Provider</w:t>
      </w:r>
      <w:r>
        <w:rPr>
          <w:color w:val="000000"/>
          <w:sz w:val="21"/>
          <w:szCs w:val="21"/>
        </w:rPr>
        <w:t>,</w:t>
      </w:r>
    </w:p>
    <w:p w14:paraId="72FB9BFB"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in each place they occur; or</w:t>
      </w:r>
    </w:p>
    <w:p w14:paraId="399BD083"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cannot, after commercially reasonable endeavours, obtain for the </w:t>
      </w:r>
      <w:r>
        <w:rPr>
          <w:i/>
          <w:iCs/>
          <w:color w:val="000000"/>
          <w:sz w:val="21"/>
          <w:szCs w:val="21"/>
        </w:rPr>
        <w:t>Client</w:t>
      </w:r>
      <w:r>
        <w:rPr>
          <w:color w:val="000000"/>
          <w:sz w:val="21"/>
          <w:szCs w:val="21"/>
        </w:rPr>
        <w:t xml:space="preserve"> a Third Party IPR licence as set out in Paragraph 4.1.6.1, all the following conditions are met:</w:t>
      </w:r>
    </w:p>
    <w:p w14:paraId="299B13D3"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in writing giving details of:</w:t>
      </w:r>
    </w:p>
    <w:p w14:paraId="3D543E26" w14:textId="77777777" w:rsidR="007960A8" w:rsidRDefault="00A26397">
      <w:pPr>
        <w:widowControl/>
        <w:numPr>
          <w:ilvl w:val="4"/>
          <w:numId w:val="12"/>
        </w:numPr>
        <w:pBdr>
          <w:top w:val="nil"/>
          <w:left w:val="nil"/>
          <w:bottom w:val="nil"/>
          <w:right w:val="nil"/>
          <w:between w:val="nil"/>
        </w:pBdr>
        <w:spacing w:after="240"/>
        <w:ind w:left="4678"/>
        <w:jc w:val="both"/>
      </w:pPr>
      <w:r>
        <w:rPr>
          <w:color w:val="000000"/>
          <w:sz w:val="21"/>
          <w:szCs w:val="21"/>
        </w:rPr>
        <w:t>what licence terms can be obtained from the relevant third party; and</w:t>
      </w:r>
    </w:p>
    <w:p w14:paraId="63E10FFE"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whether there are providers which the </w:t>
      </w:r>
      <w:r>
        <w:rPr>
          <w:i/>
          <w:iCs/>
          <w:color w:val="000000"/>
          <w:sz w:val="21"/>
          <w:szCs w:val="21"/>
        </w:rPr>
        <w:t>Service Provider</w:t>
      </w:r>
      <w:r>
        <w:rPr>
          <w:color w:val="000000"/>
          <w:sz w:val="21"/>
          <w:szCs w:val="21"/>
        </w:rPr>
        <w:t xml:space="preserve"> could seek to use and the licence terms obtainable from those third parties; </w:t>
      </w:r>
    </w:p>
    <w:p w14:paraId="4C2F7B75"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Approves the licence terms of one of those</w:t>
      </w:r>
      <w:r>
        <w:rPr>
          <w:color w:val="000000"/>
          <w:sz w:val="21"/>
          <w:szCs w:val="21"/>
        </w:rPr>
        <w:t xml:space="preserve"> third parties; and</w:t>
      </w:r>
    </w:p>
    <w:p w14:paraId="54A01ED4"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the owner and authorised licensor of the Third Party IPR has granted a direct licence of the Third Party IPR to the </w:t>
      </w:r>
      <w:r>
        <w:rPr>
          <w:i/>
          <w:iCs/>
          <w:color w:val="000000"/>
          <w:sz w:val="21"/>
          <w:szCs w:val="21"/>
        </w:rPr>
        <w:t>Client</w:t>
      </w:r>
      <w:r>
        <w:rPr>
          <w:color w:val="000000"/>
          <w:sz w:val="21"/>
          <w:szCs w:val="21"/>
        </w:rPr>
        <w:t xml:space="preserve"> on those terms.</w:t>
      </w:r>
    </w:p>
    <w:p w14:paraId="1DCB975D"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rejected Service Provider Existing IPRs or Third Party IPRs that are, in each case, COTS Software, the </w:t>
      </w:r>
      <w:r>
        <w:rPr>
          <w:i/>
          <w:iCs/>
          <w:color w:val="000000"/>
          <w:sz w:val="21"/>
          <w:szCs w:val="21"/>
        </w:rPr>
        <w:t>Service Provider</w:t>
      </w:r>
      <w:r>
        <w:rPr>
          <w:color w:val="000000"/>
          <w:sz w:val="21"/>
          <w:szCs w:val="21"/>
        </w:rPr>
        <w:t xml:space="preserve"> must notify the </w:t>
      </w:r>
      <w:r>
        <w:rPr>
          <w:i/>
          <w:iCs/>
          <w:color w:val="000000"/>
          <w:sz w:val="21"/>
          <w:szCs w:val="21"/>
        </w:rPr>
        <w:t>Client</w:t>
      </w:r>
      <w:r>
        <w:rPr>
          <w:color w:val="000000"/>
          <w:sz w:val="21"/>
          <w:szCs w:val="21"/>
        </w:rPr>
        <w:t xml:space="preserve"> within five (5) working days of becoming aware that any of that COTS Software will in the next thirty-si</w:t>
      </w:r>
      <w:r>
        <w:rPr>
          <w:color w:val="000000"/>
          <w:sz w:val="21"/>
          <w:szCs w:val="21"/>
        </w:rPr>
        <w:t>x (36) months no longer be:</w:t>
      </w:r>
    </w:p>
    <w:p w14:paraId="267A974A"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maintained or supported by the developer; or</w:t>
      </w:r>
    </w:p>
    <w:p w14:paraId="480AB6D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made commercially available.</w:t>
      </w:r>
    </w:p>
    <w:p w14:paraId="5E144DF6"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Licences in respect of Service Provider Existing IPR that is not COTS Software</w:t>
      </w:r>
    </w:p>
    <w:p w14:paraId="4BFFAEA2"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Subject to the </w:t>
      </w:r>
      <w:r>
        <w:rPr>
          <w:i/>
          <w:iCs/>
          <w:color w:val="000000"/>
          <w:sz w:val="21"/>
          <w:szCs w:val="21"/>
        </w:rPr>
        <w:t>Client</w:t>
      </w:r>
      <w:r>
        <w:rPr>
          <w:color w:val="000000"/>
          <w:sz w:val="21"/>
          <w:szCs w:val="21"/>
        </w:rPr>
        <w:t xml:space="preserve"> approving the use of Service Provider Existing IPR un</w:t>
      </w:r>
      <w:r>
        <w:rPr>
          <w:color w:val="000000"/>
          <w:sz w:val="21"/>
          <w:szCs w:val="21"/>
        </w:rPr>
        <w:t xml:space="preserve">der Paragraph 4, the </w:t>
      </w:r>
      <w:r>
        <w:rPr>
          <w:i/>
          <w:iCs/>
          <w:color w:val="000000"/>
          <w:sz w:val="21"/>
          <w:szCs w:val="21"/>
        </w:rPr>
        <w:t>Service Provider</w:t>
      </w:r>
      <w:r>
        <w:rPr>
          <w:color w:val="000000"/>
          <w:sz w:val="21"/>
          <w:szCs w:val="21"/>
        </w:rPr>
        <w:t xml:space="preserve"> grants the </w:t>
      </w:r>
      <w:r>
        <w:rPr>
          <w:i/>
          <w:iCs/>
          <w:color w:val="000000"/>
          <w:sz w:val="21"/>
          <w:szCs w:val="21"/>
        </w:rPr>
        <w:t>Client</w:t>
      </w:r>
      <w:r>
        <w:rPr>
          <w:color w:val="000000"/>
          <w:sz w:val="21"/>
          <w:szCs w:val="21"/>
        </w:rPr>
        <w:t xml:space="preserve"> a Service Provider Existing IPR Licence on the terms set out in Paragraph 3.3 in respect of each </w:t>
      </w:r>
      <w:r>
        <w:rPr>
          <w:i/>
          <w:iCs/>
          <w:color w:val="000000"/>
          <w:sz w:val="21"/>
          <w:szCs w:val="21"/>
        </w:rPr>
        <w:t>service</w:t>
      </w:r>
      <w:r>
        <w:rPr>
          <w:color w:val="000000"/>
          <w:sz w:val="21"/>
          <w:szCs w:val="21"/>
        </w:rPr>
        <w:t xml:space="preserve"> where:</w:t>
      </w:r>
    </w:p>
    <w:p w14:paraId="2ADB55A5"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Service Provider Existing IPR that is not COTS Software is embedded in the </w:t>
      </w:r>
      <w:r>
        <w:rPr>
          <w:i/>
          <w:iCs/>
          <w:color w:val="000000"/>
          <w:sz w:val="21"/>
          <w:szCs w:val="21"/>
        </w:rPr>
        <w:t>services</w:t>
      </w:r>
      <w:r>
        <w:rPr>
          <w:color w:val="000000"/>
          <w:sz w:val="21"/>
          <w:szCs w:val="21"/>
        </w:rPr>
        <w:t>;</w:t>
      </w:r>
    </w:p>
    <w:p w14:paraId="3B7157C9"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Service Provider Existing IPR that is not COTS Software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any of the purposes set out in Paragraph 5.4; or</w:t>
      </w:r>
    </w:p>
    <w:p w14:paraId="0641806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are a customisation or adaptation of Service Provider Existing IPR that is not COTS Software.</w:t>
      </w:r>
    </w:p>
    <w:p w14:paraId="19E6D239"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The categories of Service Provider Existing IPR that is not COTS Software set out in Paragraph 5.1 are mutually exclusive.</w:t>
      </w:r>
    </w:p>
    <w:p w14:paraId="471B8509"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The Service Provider Existing IPR Lice</w:t>
      </w:r>
      <w:r>
        <w:rPr>
          <w:color w:val="000000"/>
          <w:sz w:val="21"/>
          <w:szCs w:val="21"/>
        </w:rPr>
        <w:t xml:space="preserve">nce granted by the </w:t>
      </w:r>
      <w:r>
        <w:rPr>
          <w:i/>
          <w:iCs/>
          <w:color w:val="000000"/>
          <w:sz w:val="21"/>
          <w:szCs w:val="21"/>
        </w:rPr>
        <w:t>Service Provider</w:t>
      </w:r>
      <w:r>
        <w:rPr>
          <w:color w:val="000000"/>
          <w:sz w:val="21"/>
          <w:szCs w:val="21"/>
        </w:rPr>
        <w:t xml:space="preserve"> to the </w:t>
      </w:r>
      <w:r>
        <w:rPr>
          <w:i/>
          <w:iCs/>
          <w:color w:val="000000"/>
          <w:sz w:val="21"/>
          <w:szCs w:val="21"/>
        </w:rPr>
        <w:t>Client</w:t>
      </w:r>
      <w:r>
        <w:rPr>
          <w:color w:val="000000"/>
          <w:sz w:val="21"/>
          <w:szCs w:val="21"/>
        </w:rPr>
        <w:t xml:space="preserve"> is a non-exclusive, royalty-free, irrevocable, transferable, sub-licensable, worldwide licence that:</w:t>
      </w:r>
    </w:p>
    <w:p w14:paraId="05CB8A2E"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case of Service Provider Existing IPR that is not COTS Software embedded in a </w:t>
      </w:r>
      <w:r>
        <w:rPr>
          <w:i/>
          <w:iCs/>
          <w:color w:val="000000"/>
          <w:sz w:val="21"/>
          <w:szCs w:val="21"/>
        </w:rPr>
        <w:t>service</w:t>
      </w:r>
      <w:r>
        <w:rPr>
          <w:color w:val="000000"/>
          <w:sz w:val="21"/>
          <w:szCs w:val="21"/>
        </w:rPr>
        <w:t>:</w:t>
      </w:r>
    </w:p>
    <w:p w14:paraId="6C80CD5E"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has no restriction on the identity of any transferee or sub-licensee;</w:t>
      </w:r>
    </w:p>
    <w:p w14:paraId="24537401"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sub-licensable for any of the purposes set out in Paragraph 5.4;</w:t>
      </w:r>
    </w:p>
    <w:p w14:paraId="309610B9"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w:t>
      </w:r>
      <w:r>
        <w:rPr>
          <w:color w:val="000000"/>
          <w:sz w:val="21"/>
          <w:szCs w:val="21"/>
        </w:rPr>
        <w:t>y transferee or sub-licensee to use, copy and adapt the Service Provider Existing IPR that is not COTS Software for any of the purposes set out in Paragraph 5.4; and</w:t>
      </w:r>
    </w:p>
    <w:p w14:paraId="080C5231"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subject to the restriction that no sub-licence granted to the Service Provider Existing</w:t>
      </w:r>
      <w:r>
        <w:rPr>
          <w:color w:val="000000"/>
          <w:sz w:val="21"/>
          <w:szCs w:val="21"/>
        </w:rPr>
        <w:t xml:space="preserve"> IPR that is not COTS Software shall purport to provide the sub-licensee with any wider rights than those granted to the </w:t>
      </w:r>
      <w:r>
        <w:rPr>
          <w:i/>
          <w:iCs/>
          <w:color w:val="000000"/>
          <w:sz w:val="21"/>
          <w:szCs w:val="21"/>
        </w:rPr>
        <w:t>Client</w:t>
      </w:r>
      <w:r>
        <w:rPr>
          <w:color w:val="000000"/>
          <w:sz w:val="21"/>
          <w:szCs w:val="21"/>
        </w:rPr>
        <w:t xml:space="preserve"> under this Paragraph; and</w:t>
      </w:r>
    </w:p>
    <w:p w14:paraId="5BB9D22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case of Service Provider Exiting IPR that is not COTS Software that is necessary for the </w:t>
      </w:r>
      <w:r>
        <w:rPr>
          <w:i/>
          <w:iCs/>
          <w:color w:val="000000"/>
          <w:sz w:val="21"/>
          <w:szCs w:val="21"/>
        </w:rPr>
        <w:t>Client</w:t>
      </w:r>
      <w:r>
        <w:rPr>
          <w:color w:val="000000"/>
          <w:sz w:val="21"/>
          <w:szCs w:val="21"/>
        </w:rPr>
        <w:t xml:space="preserve"> to use the </w:t>
      </w:r>
      <w:r>
        <w:rPr>
          <w:i/>
          <w:iCs/>
          <w:color w:val="000000"/>
          <w:sz w:val="21"/>
          <w:szCs w:val="21"/>
        </w:rPr>
        <w:t>services</w:t>
      </w:r>
      <w:r>
        <w:rPr>
          <w:color w:val="000000"/>
          <w:sz w:val="21"/>
          <w:szCs w:val="21"/>
        </w:rPr>
        <w:t xml:space="preserve"> for its intended purpose or has been customised or adapted to provide the </w:t>
      </w:r>
      <w:r>
        <w:rPr>
          <w:i/>
          <w:iCs/>
          <w:color w:val="000000"/>
          <w:sz w:val="21"/>
          <w:szCs w:val="21"/>
        </w:rPr>
        <w:t>services</w:t>
      </w:r>
      <w:r>
        <w:rPr>
          <w:color w:val="000000"/>
          <w:sz w:val="21"/>
          <w:szCs w:val="21"/>
        </w:rPr>
        <w:t>:</w:t>
      </w:r>
    </w:p>
    <w:p w14:paraId="02BF1BE7"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Client</w:t>
      </w:r>
      <w:r>
        <w:rPr>
          <w:color w:val="000000"/>
          <w:sz w:val="21"/>
          <w:szCs w:val="21"/>
        </w:rPr>
        <w:t xml:space="preserve"> and any transferee or sublicensee to use and copy, but not adapt, disassemble or reverse engineer the relevant Service Provider Exist</w:t>
      </w:r>
      <w:r>
        <w:rPr>
          <w:color w:val="000000"/>
          <w:sz w:val="21"/>
          <w:szCs w:val="21"/>
        </w:rPr>
        <w:t>ing IPRs that is not COTS Software for any of the purposes set out in Paragraph 5.4;</w:t>
      </w:r>
    </w:p>
    <w:p w14:paraId="789E0D35"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transferrable to only:</w:t>
      </w:r>
    </w:p>
    <w:p w14:paraId="626DB579"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any body (including any private sector body) that performs or carries out any of the functions or activities that the </w:t>
      </w:r>
      <w:r>
        <w:rPr>
          <w:i/>
          <w:iCs/>
          <w:color w:val="000000"/>
          <w:sz w:val="21"/>
          <w:szCs w:val="21"/>
        </w:rPr>
        <w:t>Client</w:t>
      </w:r>
      <w:r>
        <w:rPr>
          <w:color w:val="000000"/>
          <w:sz w:val="21"/>
          <w:szCs w:val="21"/>
        </w:rPr>
        <w:t xml:space="preserve"> had previously perfo</w:t>
      </w:r>
      <w:r>
        <w:rPr>
          <w:color w:val="000000"/>
          <w:sz w:val="21"/>
          <w:szCs w:val="21"/>
        </w:rPr>
        <w:t>rmed or carried out; or</w:t>
      </w:r>
    </w:p>
    <w:p w14:paraId="25D7C03F"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a person or organisation that is not a direct competitor of the </w:t>
      </w:r>
      <w:r>
        <w:rPr>
          <w:i/>
          <w:iCs/>
          <w:color w:val="000000"/>
          <w:sz w:val="21"/>
          <w:szCs w:val="21"/>
        </w:rPr>
        <w:t>Service Provider</w:t>
      </w:r>
      <w:r>
        <w:rPr>
          <w:color w:val="000000"/>
          <w:sz w:val="21"/>
          <w:szCs w:val="21"/>
        </w:rPr>
        <w:t xml:space="preserve"> and that transferee either:</w:t>
      </w:r>
    </w:p>
    <w:p w14:paraId="60F6E9D5" w14:textId="77777777" w:rsidR="007960A8" w:rsidRDefault="00A26397">
      <w:pPr>
        <w:widowControl/>
        <w:numPr>
          <w:ilvl w:val="4"/>
          <w:numId w:val="16"/>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7B756C03" w14:textId="77777777" w:rsidR="007960A8" w:rsidRDefault="00A26397">
      <w:pPr>
        <w:widowControl/>
        <w:numPr>
          <w:ilvl w:val="4"/>
          <w:numId w:val="95"/>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w:t>
      </w:r>
    </w:p>
    <w:p w14:paraId="62BDB4E9"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sub-licensable to the Replacement Service Provider (including where the Replacement Service Provider is</w:t>
      </w:r>
      <w:r>
        <w:rPr>
          <w:color w:val="000000"/>
          <w:sz w:val="21"/>
          <w:szCs w:val="21"/>
        </w:rPr>
        <w:t xml:space="preserve"> a competitor of the </w:t>
      </w:r>
      <w:r>
        <w:rPr>
          <w:i/>
          <w:iCs/>
          <w:color w:val="000000"/>
          <w:sz w:val="21"/>
          <w:szCs w:val="21"/>
        </w:rPr>
        <w:t>Service Provider</w:t>
      </w:r>
      <w:r>
        <w:rPr>
          <w:color w:val="000000"/>
          <w:sz w:val="21"/>
          <w:szCs w:val="21"/>
        </w:rPr>
        <w:t>) where the Replacement Service Provider either:</w:t>
      </w:r>
    </w:p>
    <w:p w14:paraId="22D2385F"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75C9534C"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478D930E"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is subject to the restrictions that:</w:t>
      </w:r>
    </w:p>
    <w:p w14:paraId="1D4F5116"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no sub-licence granted to the Service Provider Existing IPR that is not COTS Software shall purport t</w:t>
      </w:r>
      <w:r>
        <w:rPr>
          <w:color w:val="000000"/>
          <w:sz w:val="21"/>
          <w:szCs w:val="21"/>
        </w:rPr>
        <w:t xml:space="preserve">o provide the sub-licensee with any wider rights than those granted to the </w:t>
      </w:r>
      <w:r>
        <w:rPr>
          <w:i/>
          <w:iCs/>
          <w:color w:val="000000"/>
          <w:sz w:val="21"/>
          <w:szCs w:val="21"/>
        </w:rPr>
        <w:t>Client</w:t>
      </w:r>
      <w:r>
        <w:rPr>
          <w:color w:val="000000"/>
          <w:sz w:val="21"/>
          <w:szCs w:val="21"/>
        </w:rPr>
        <w:t xml:space="preserve"> under this Paragraph; and</w:t>
      </w:r>
    </w:p>
    <w:p w14:paraId="06E67A09" w14:textId="77777777" w:rsidR="007960A8" w:rsidRDefault="00A26397">
      <w:pPr>
        <w:widowControl/>
        <w:numPr>
          <w:ilvl w:val="4"/>
          <w:numId w:val="11"/>
        </w:numPr>
        <w:pBdr>
          <w:top w:val="nil"/>
          <w:left w:val="nil"/>
          <w:bottom w:val="nil"/>
          <w:right w:val="nil"/>
          <w:between w:val="nil"/>
        </w:pBdr>
        <w:spacing w:after="240"/>
        <w:jc w:val="both"/>
      </w:pPr>
      <w:r>
        <w:rPr>
          <w:color w:val="000000"/>
          <w:sz w:val="21"/>
          <w:szCs w:val="21"/>
        </w:rPr>
        <w:t>any sublicensee or transferee either:</w:t>
      </w:r>
    </w:p>
    <w:p w14:paraId="52E451DB" w14:textId="77777777" w:rsidR="007960A8" w:rsidRDefault="00A26397">
      <w:pPr>
        <w:widowControl/>
        <w:numPr>
          <w:ilvl w:val="4"/>
          <w:numId w:val="15"/>
        </w:numPr>
        <w:pBdr>
          <w:top w:val="nil"/>
          <w:left w:val="nil"/>
          <w:bottom w:val="nil"/>
          <w:right w:val="nil"/>
          <w:between w:val="nil"/>
        </w:pBdr>
        <w:spacing w:after="240"/>
        <w:ind w:left="4678"/>
        <w:jc w:val="both"/>
      </w:pPr>
      <w:r>
        <w:rPr>
          <w:color w:val="000000"/>
          <w:sz w:val="21"/>
          <w:szCs w:val="21"/>
        </w:rPr>
        <w:t xml:space="preserve">enters into a direct arrangement with the </w:t>
      </w:r>
      <w:r>
        <w:rPr>
          <w:i/>
          <w:iCs/>
          <w:color w:val="000000"/>
          <w:sz w:val="21"/>
          <w:szCs w:val="21"/>
        </w:rPr>
        <w:t>Service Provider</w:t>
      </w:r>
      <w:r>
        <w:rPr>
          <w:color w:val="000000"/>
          <w:sz w:val="21"/>
          <w:szCs w:val="21"/>
        </w:rPr>
        <w:t xml:space="preserve"> in the form set out in Annex 2; or</w:t>
      </w:r>
    </w:p>
    <w:p w14:paraId="1C252D4E" w14:textId="77777777" w:rsidR="007960A8" w:rsidRDefault="00A26397">
      <w:pPr>
        <w:widowControl/>
        <w:numPr>
          <w:ilvl w:val="4"/>
          <w:numId w:val="14"/>
        </w:numPr>
        <w:pBdr>
          <w:top w:val="nil"/>
          <w:left w:val="nil"/>
          <w:bottom w:val="nil"/>
          <w:right w:val="nil"/>
          <w:between w:val="nil"/>
        </w:pBdr>
        <w:spacing w:after="240"/>
        <w:ind w:left="4678"/>
        <w:jc w:val="both"/>
      </w:pPr>
      <w:r>
        <w:rPr>
          <w:color w:val="000000"/>
          <w:sz w:val="21"/>
          <w:szCs w:val="21"/>
        </w:rPr>
        <w:t xml:space="preserve">enters into a confidentiality arrangement with the </w:t>
      </w:r>
      <w:r>
        <w:rPr>
          <w:i/>
          <w:iCs/>
          <w:color w:val="000000"/>
          <w:sz w:val="21"/>
          <w:szCs w:val="21"/>
        </w:rPr>
        <w:t>Client</w:t>
      </w:r>
      <w:r>
        <w:rPr>
          <w:color w:val="000000"/>
          <w:sz w:val="21"/>
          <w:szCs w:val="21"/>
        </w:rPr>
        <w:t xml:space="preserve"> in terms agreed between the parties, acting reasonably; and</w:t>
      </w:r>
    </w:p>
    <w:p w14:paraId="5947CEA5"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expires at the end of the </w:t>
      </w:r>
      <w:r>
        <w:rPr>
          <w:i/>
          <w:iCs/>
          <w:color w:val="000000"/>
          <w:sz w:val="21"/>
          <w:szCs w:val="21"/>
        </w:rPr>
        <w:t>service period</w:t>
      </w:r>
      <w:r>
        <w:rPr>
          <w:color w:val="000000"/>
          <w:sz w:val="21"/>
          <w:szCs w:val="21"/>
        </w:rPr>
        <w:t>.</w:t>
      </w:r>
    </w:p>
    <w:p w14:paraId="32CF6A75"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For the purposes of Paragraphs 5.1 and 5.3, the relevant purposes are:</w:t>
      </w:r>
    </w:p>
    <w:p w14:paraId="5A33CE2A"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to allow the </w:t>
      </w:r>
      <w:r>
        <w:rPr>
          <w:i/>
          <w:iCs/>
          <w:color w:val="000000"/>
          <w:sz w:val="21"/>
          <w:szCs w:val="21"/>
        </w:rPr>
        <w:t>Client</w:t>
      </w:r>
      <w:r>
        <w:rPr>
          <w:color w:val="000000"/>
          <w:sz w:val="21"/>
          <w:szCs w:val="21"/>
        </w:rPr>
        <w:t xml:space="preserve"> or any End User to receive and use the </w:t>
      </w:r>
      <w:r>
        <w:rPr>
          <w:i/>
          <w:iCs/>
          <w:color w:val="000000"/>
          <w:sz w:val="21"/>
          <w:szCs w:val="21"/>
        </w:rPr>
        <w:t>services</w:t>
      </w:r>
      <w:r>
        <w:rPr>
          <w:color w:val="000000"/>
          <w:sz w:val="21"/>
          <w:szCs w:val="21"/>
        </w:rPr>
        <w:t>; and</w:t>
      </w:r>
    </w:p>
    <w:p w14:paraId="1078FBED"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for any purpose relating to the exercise of the </w:t>
      </w:r>
      <w:r>
        <w:rPr>
          <w:i/>
          <w:iCs/>
          <w:color w:val="000000"/>
          <w:sz w:val="21"/>
          <w:szCs w:val="21"/>
        </w:rPr>
        <w:t>Client’s</w:t>
      </w:r>
      <w:r>
        <w:rPr>
          <w:color w:val="000000"/>
          <w:sz w:val="21"/>
          <w:szCs w:val="21"/>
        </w:rPr>
        <w:t xml:space="preserve"> (or, if the </w:t>
      </w:r>
      <w:r>
        <w:rPr>
          <w:i/>
          <w:iCs/>
          <w:color w:val="000000"/>
          <w:sz w:val="21"/>
          <w:szCs w:val="21"/>
        </w:rPr>
        <w:t>Client</w:t>
      </w:r>
      <w:r>
        <w:rPr>
          <w:color w:val="000000"/>
          <w:sz w:val="21"/>
          <w:szCs w:val="21"/>
        </w:rPr>
        <w:t xml:space="preserve"> is a Public Sector Body, any other Public Sector Body’s) business or function.</w:t>
      </w:r>
    </w:p>
    <w:p w14:paraId="0C655E56"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Licences to COTS software</w:t>
      </w:r>
    </w:p>
    <w:p w14:paraId="27E0B54D"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Th</w:t>
      </w:r>
      <w:r>
        <w:rPr>
          <w:color w:val="000000"/>
          <w:sz w:val="21"/>
          <w:szCs w:val="21"/>
        </w:rPr>
        <w:t xml:space="preserve">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with licences to Service Provider Existing IPT and Third Party IPR that is, in each case, COTS Software at a price and on terms no less favourable than those standard commercial terms on which such software is usu</w:t>
      </w:r>
      <w:r>
        <w:rPr>
          <w:color w:val="000000"/>
          <w:sz w:val="21"/>
          <w:szCs w:val="21"/>
        </w:rPr>
        <w:t>ally made commercially available.</w:t>
      </w:r>
    </w:p>
    <w:p w14:paraId="72981D51"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Licences granted by the Client</w:t>
      </w:r>
    </w:p>
    <w:p w14:paraId="50A99E2B"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Subject to Paragraph 8, the Client grants the </w:t>
      </w:r>
      <w:r>
        <w:rPr>
          <w:i/>
          <w:iCs/>
          <w:color w:val="000000"/>
          <w:sz w:val="21"/>
          <w:szCs w:val="21"/>
        </w:rPr>
        <w:t>Service Provider</w:t>
      </w:r>
      <w:r>
        <w:rPr>
          <w:color w:val="000000"/>
          <w:sz w:val="21"/>
          <w:szCs w:val="21"/>
        </w:rPr>
        <w:t xml:space="preserve"> a licence to the Client Existing IPR that:</w:t>
      </w:r>
    </w:p>
    <w:p w14:paraId="1625A746"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is non-exclusive, royalty-free and non-transferable;</w:t>
      </w:r>
    </w:p>
    <w:p w14:paraId="3D8EDF2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is sub-licensable to any Sub-contractor where:</w:t>
      </w:r>
    </w:p>
    <w:p w14:paraId="2D12BF65"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the Sub-contractor enters into a confidentiality undertaking with the </w:t>
      </w:r>
      <w:r>
        <w:rPr>
          <w:i/>
          <w:iCs/>
          <w:color w:val="000000"/>
          <w:sz w:val="21"/>
          <w:szCs w:val="21"/>
        </w:rPr>
        <w:t>Service Provider</w:t>
      </w:r>
      <w:r>
        <w:rPr>
          <w:color w:val="000000"/>
          <w:sz w:val="21"/>
          <w:szCs w:val="21"/>
        </w:rPr>
        <w:t xml:space="preserve"> on terms agreed between the parties, acting reasonably; and</w:t>
      </w:r>
    </w:p>
    <w:p w14:paraId="43454754"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 xml:space="preserve"> the sub-licence does not purport to provide the sub-licensee with any wider rights than those granted to the </w:t>
      </w:r>
      <w:r>
        <w:rPr>
          <w:i/>
          <w:iCs/>
          <w:color w:val="000000"/>
          <w:sz w:val="21"/>
          <w:szCs w:val="21"/>
        </w:rPr>
        <w:t>Service Provider</w:t>
      </w:r>
      <w:r>
        <w:rPr>
          <w:color w:val="000000"/>
          <w:sz w:val="21"/>
          <w:szCs w:val="21"/>
        </w:rPr>
        <w:t xml:space="preserve"> under this Paragraph;</w:t>
      </w:r>
    </w:p>
    <w:p w14:paraId="53CE3FD9"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allows the </w:t>
      </w:r>
      <w:r>
        <w:rPr>
          <w:i/>
          <w:iCs/>
          <w:color w:val="000000"/>
          <w:sz w:val="21"/>
          <w:szCs w:val="21"/>
        </w:rPr>
        <w:t>Service Provider</w:t>
      </w:r>
      <w:r>
        <w:rPr>
          <w:color w:val="000000"/>
          <w:sz w:val="21"/>
          <w:szCs w:val="21"/>
        </w:rPr>
        <w:t xml:space="preserve"> and any sub-licensee to use, copy and adapt any Client Existing IPR for the pur</w:t>
      </w:r>
      <w:r>
        <w:rPr>
          <w:color w:val="000000"/>
          <w:sz w:val="21"/>
          <w:szCs w:val="21"/>
        </w:rPr>
        <w:t>pose of:</w:t>
      </w:r>
    </w:p>
    <w:p w14:paraId="2A745BF9"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fulfilling its obligations under the Contract; and</w:t>
      </w:r>
    </w:p>
    <w:p w14:paraId="4CF927C3" w14:textId="77777777" w:rsidR="007960A8" w:rsidRDefault="00A26397">
      <w:pPr>
        <w:widowControl/>
        <w:numPr>
          <w:ilvl w:val="3"/>
          <w:numId w:val="11"/>
        </w:numPr>
        <w:pBdr>
          <w:top w:val="nil"/>
          <w:left w:val="nil"/>
          <w:bottom w:val="nil"/>
          <w:right w:val="nil"/>
          <w:between w:val="nil"/>
        </w:pBdr>
        <w:spacing w:after="240"/>
        <w:jc w:val="both"/>
      </w:pPr>
      <w:r>
        <w:rPr>
          <w:color w:val="000000"/>
          <w:sz w:val="21"/>
          <w:szCs w:val="21"/>
        </w:rPr>
        <w:t>commercially exploiting the New IPR and Specially Written Software; and</w:t>
      </w:r>
    </w:p>
    <w:p w14:paraId="0D77488C"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unless otherwise agreed in accordance with Paragraph 8, terminates at the earlier of the End Date or date of termination of </w:t>
      </w:r>
      <w:r>
        <w:rPr>
          <w:color w:val="000000"/>
          <w:sz w:val="21"/>
          <w:szCs w:val="21"/>
        </w:rPr>
        <w:t xml:space="preserve">the Contract. </w:t>
      </w:r>
    </w:p>
    <w:p w14:paraId="3426DB22"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Client approval for Services Provider to exploit Client Existing IPR</w:t>
      </w:r>
    </w:p>
    <w:p w14:paraId="51B16AA3"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Before using Client Existing IPR for any purpose other than fulfilling its obligations under the Contract, the </w:t>
      </w:r>
      <w:r>
        <w:rPr>
          <w:i/>
          <w:iCs/>
          <w:color w:val="000000"/>
          <w:sz w:val="21"/>
          <w:szCs w:val="21"/>
        </w:rPr>
        <w:t>Service Provider</w:t>
      </w:r>
      <w:r>
        <w:rPr>
          <w:color w:val="000000"/>
          <w:sz w:val="21"/>
          <w:szCs w:val="21"/>
        </w:rPr>
        <w:t xml:space="preserve"> must seek the approval of the </w:t>
      </w:r>
      <w:r>
        <w:rPr>
          <w:i/>
          <w:iCs/>
          <w:color w:val="000000"/>
          <w:sz w:val="21"/>
          <w:szCs w:val="21"/>
        </w:rPr>
        <w:t>Client</w:t>
      </w:r>
      <w:r>
        <w:rPr>
          <w:color w:val="000000"/>
          <w:sz w:val="21"/>
          <w:szCs w:val="21"/>
        </w:rPr>
        <w:t xml:space="preserve"> in accordance with the provisions of this Paragraph.</w:t>
      </w:r>
    </w:p>
    <w:p w14:paraId="1E54CD67"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a pr</w:t>
      </w:r>
      <w:r>
        <w:rPr>
          <w:color w:val="000000"/>
          <w:sz w:val="21"/>
          <w:szCs w:val="21"/>
        </w:rPr>
        <w:t>oposal setting out:</w:t>
      </w:r>
    </w:p>
    <w:p w14:paraId="3658A84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the purpose for which it proposes to use the New IPR or Specially Written Software;</w:t>
      </w:r>
    </w:p>
    <w:p w14:paraId="023BBC87"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proposes to undertake with or in respect of the New IPR or Specially Written Software; and</w:t>
      </w:r>
    </w:p>
    <w:p w14:paraId="48BC44A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such further information </w:t>
      </w:r>
      <w:r>
        <w:rPr>
          <w:color w:val="000000"/>
          <w:sz w:val="21"/>
          <w:szCs w:val="21"/>
        </w:rPr>
        <w:t xml:space="preserve">as the </w:t>
      </w:r>
      <w:r>
        <w:rPr>
          <w:i/>
          <w:iCs/>
          <w:color w:val="000000"/>
          <w:sz w:val="21"/>
          <w:szCs w:val="21"/>
        </w:rPr>
        <w:t>Client</w:t>
      </w:r>
      <w:r>
        <w:rPr>
          <w:color w:val="000000"/>
          <w:sz w:val="21"/>
          <w:szCs w:val="21"/>
        </w:rPr>
        <w:t xml:space="preserve"> may reasonably require to properly consider the proposal.</w:t>
      </w:r>
    </w:p>
    <w:p w14:paraId="79A1E087"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only refuse the </w:t>
      </w:r>
      <w:r>
        <w:rPr>
          <w:i/>
          <w:iCs/>
          <w:color w:val="000000"/>
          <w:sz w:val="21"/>
          <w:szCs w:val="21"/>
        </w:rPr>
        <w:t>Service Provider’s</w:t>
      </w:r>
      <w:r>
        <w:rPr>
          <w:color w:val="000000"/>
          <w:sz w:val="21"/>
          <w:szCs w:val="21"/>
        </w:rPr>
        <w:t xml:space="preserve"> proposal where it considers that if the </w:t>
      </w:r>
      <w:r>
        <w:rPr>
          <w:i/>
          <w:iCs/>
          <w:color w:val="000000"/>
          <w:sz w:val="21"/>
          <w:szCs w:val="21"/>
        </w:rPr>
        <w:t>Service Provider</w:t>
      </w:r>
      <w:r>
        <w:rPr>
          <w:color w:val="000000"/>
          <w:sz w:val="21"/>
          <w:szCs w:val="21"/>
        </w:rPr>
        <w:t xml:space="preserve"> were to implement the proposal it would harm:</w:t>
      </w:r>
    </w:p>
    <w:p w14:paraId="522F9E8B"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reputation; or</w:t>
      </w:r>
    </w:p>
    <w:p w14:paraId="07E20BF2"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interests.</w:t>
      </w:r>
    </w:p>
    <w:p w14:paraId="05F10767"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w:t>
      </w:r>
    </w:p>
    <w:p w14:paraId="0AB5AEA6"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approved or declined the proposal; or</w:t>
      </w:r>
    </w:p>
    <w:p w14:paraId="76F9BA91"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required further information,</w:t>
      </w:r>
    </w:p>
    <w:p w14:paraId="65774994"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within twenty (20) working days of the later of:</w:t>
      </w:r>
    </w:p>
    <w:p w14:paraId="2C4EAB2D"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date the proposal was first provided to the </w:t>
      </w:r>
      <w:r>
        <w:rPr>
          <w:i/>
          <w:iCs/>
          <w:color w:val="000000"/>
          <w:sz w:val="21"/>
          <w:szCs w:val="21"/>
        </w:rPr>
        <w:t>Client</w:t>
      </w:r>
      <w:r>
        <w:rPr>
          <w:color w:val="000000"/>
          <w:sz w:val="21"/>
          <w:szCs w:val="21"/>
        </w:rPr>
        <w:t>; or</w:t>
      </w:r>
    </w:p>
    <w:p w14:paraId="6109B337"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date on which further information was provided to the </w:t>
      </w:r>
      <w:r>
        <w:rPr>
          <w:i/>
          <w:iCs/>
          <w:color w:val="000000"/>
          <w:sz w:val="21"/>
          <w:szCs w:val="21"/>
        </w:rPr>
        <w:t>Client</w:t>
      </w:r>
      <w:r>
        <w:rPr>
          <w:color w:val="000000"/>
          <w:sz w:val="21"/>
          <w:szCs w:val="21"/>
        </w:rPr>
        <w:t>,</w:t>
      </w:r>
    </w:p>
    <w:p w14:paraId="4C2D24F7"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then the proposal is, for the purposes of the Contract, approved.</w:t>
      </w:r>
    </w:p>
    <w:p w14:paraId="7AEFE55A"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Provision of information on New IPR and Specially Written Softwar</w:t>
      </w:r>
      <w:r>
        <w:rPr>
          <w:b/>
          <w:bCs/>
          <w:color w:val="000000"/>
          <w:sz w:val="21"/>
          <w:szCs w:val="21"/>
        </w:rPr>
        <w:t>e</w:t>
      </w:r>
    </w:p>
    <w:p w14:paraId="603EB4CA"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Provider</w:t>
      </w:r>
      <w:r>
        <w:rPr>
          <w:color w:val="000000"/>
          <w:sz w:val="21"/>
          <w:szCs w:val="21"/>
        </w:rPr>
        <w:t xml:space="preserve"> to provide information on:</w:t>
      </w:r>
    </w:p>
    <w:p w14:paraId="60AA9667"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purposes, other than for the purposes of the Contract, for which the </w:t>
      </w:r>
      <w:r>
        <w:rPr>
          <w:i/>
          <w:iCs/>
          <w:color w:val="000000"/>
          <w:sz w:val="21"/>
          <w:szCs w:val="21"/>
        </w:rPr>
        <w:t>Service Provider</w:t>
      </w:r>
      <w:r>
        <w:rPr>
          <w:color w:val="000000"/>
          <w:sz w:val="21"/>
          <w:szCs w:val="21"/>
        </w:rPr>
        <w:t xml:space="preserve"> uses New IPR and Specially Written Software; and</w:t>
      </w:r>
    </w:p>
    <w:p w14:paraId="0B58D246"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the activities the </w:t>
      </w:r>
      <w:r>
        <w:rPr>
          <w:i/>
          <w:iCs/>
          <w:color w:val="000000"/>
          <w:sz w:val="21"/>
          <w:szCs w:val="21"/>
        </w:rPr>
        <w:t>Service Provider</w:t>
      </w:r>
      <w:r>
        <w:rPr>
          <w:color w:val="000000"/>
          <w:sz w:val="21"/>
          <w:szCs w:val="21"/>
        </w:rPr>
        <w:t xml:space="preserve"> undertakes, other than under the Contract, with or in respect of the New IPR and Specially Written Software.</w:t>
      </w:r>
    </w:p>
    <w:p w14:paraId="69878DA3"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information required by</w:t>
      </w:r>
      <w:r>
        <w:rPr>
          <w:color w:val="000000"/>
          <w:sz w:val="21"/>
          <w:szCs w:val="21"/>
        </w:rPr>
        <w:t xml:space="preserve"> the </w:t>
      </w:r>
      <w:r>
        <w:rPr>
          <w:i/>
          <w:iCs/>
          <w:color w:val="000000"/>
          <w:sz w:val="21"/>
          <w:szCs w:val="21"/>
        </w:rPr>
        <w:t>Client</w:t>
      </w:r>
      <w:r>
        <w:rPr>
          <w:color w:val="000000"/>
          <w:sz w:val="21"/>
          <w:szCs w:val="21"/>
        </w:rPr>
        <w:t>:</w:t>
      </w:r>
    </w:p>
    <w:p w14:paraId="105187A0"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within twenty (20) working days of the date of the requirement; and</w:t>
      </w:r>
    </w:p>
    <w:p w14:paraId="22CCBDB3" w14:textId="77777777" w:rsidR="007960A8" w:rsidRDefault="00A26397">
      <w:pPr>
        <w:widowControl/>
        <w:numPr>
          <w:ilvl w:val="2"/>
          <w:numId w:val="11"/>
        </w:numPr>
        <w:pBdr>
          <w:top w:val="nil"/>
          <w:left w:val="nil"/>
          <w:bottom w:val="nil"/>
          <w:right w:val="nil"/>
          <w:between w:val="nil"/>
        </w:pBdr>
        <w:spacing w:after="240"/>
        <w:jc w:val="both"/>
      </w:pPr>
      <w:r>
        <w:rPr>
          <w:color w:val="000000"/>
          <w:sz w:val="21"/>
          <w:szCs w:val="21"/>
        </w:rPr>
        <w:t xml:space="preserve">in the form and with the content specified by the </w:t>
      </w:r>
      <w:r>
        <w:rPr>
          <w:i/>
          <w:iCs/>
          <w:color w:val="000000"/>
          <w:sz w:val="21"/>
          <w:szCs w:val="21"/>
        </w:rPr>
        <w:t>Client</w:t>
      </w:r>
      <w:r>
        <w:rPr>
          <w:color w:val="000000"/>
          <w:sz w:val="21"/>
          <w:szCs w:val="21"/>
        </w:rPr>
        <w:t>.</w:t>
      </w:r>
    </w:p>
    <w:p w14:paraId="239634D3" w14:textId="77777777" w:rsidR="007960A8" w:rsidRDefault="00A26397">
      <w:pPr>
        <w:keepNext/>
        <w:keepLines/>
        <w:widowControl/>
        <w:numPr>
          <w:ilvl w:val="0"/>
          <w:numId w:val="11"/>
        </w:numPr>
        <w:pBdr>
          <w:top w:val="nil"/>
          <w:left w:val="nil"/>
          <w:bottom w:val="nil"/>
          <w:right w:val="nil"/>
          <w:between w:val="nil"/>
        </w:pBdr>
        <w:spacing w:after="240"/>
        <w:jc w:val="both"/>
      </w:pPr>
      <w:r>
        <w:rPr>
          <w:b/>
          <w:bCs/>
          <w:color w:val="000000"/>
          <w:sz w:val="21"/>
          <w:szCs w:val="21"/>
        </w:rPr>
        <w:t>Patents</w:t>
      </w:r>
    </w:p>
    <w:p w14:paraId="5475505A" w14:textId="77777777" w:rsidR="007960A8" w:rsidRDefault="00A26397">
      <w:pPr>
        <w:widowControl/>
        <w:numPr>
          <w:ilvl w:val="1"/>
          <w:numId w:val="11"/>
        </w:numPr>
        <w:pBdr>
          <w:top w:val="nil"/>
          <w:left w:val="nil"/>
          <w:bottom w:val="nil"/>
          <w:right w:val="nil"/>
          <w:between w:val="nil"/>
        </w:pBdr>
        <w:spacing w:after="240"/>
        <w:jc w:val="both"/>
      </w:pPr>
      <w:r>
        <w:rPr>
          <w:color w:val="000000"/>
          <w:sz w:val="21"/>
          <w:szCs w:val="21"/>
        </w:rPr>
        <w:t xml:space="preserve">Where a patent owned by the </w:t>
      </w:r>
      <w:r>
        <w:rPr>
          <w:i/>
          <w:iCs/>
          <w:color w:val="000000"/>
          <w:sz w:val="21"/>
          <w:szCs w:val="21"/>
        </w:rPr>
        <w:t>Service Provider</w:t>
      </w:r>
      <w:r>
        <w:rPr>
          <w:color w:val="000000"/>
          <w:sz w:val="21"/>
          <w:szCs w:val="21"/>
        </w:rPr>
        <w:t xml:space="preserve"> is infringed by the use of the Specially Written Software or New IPR by the </w:t>
      </w:r>
      <w:r>
        <w:rPr>
          <w:i/>
          <w:iCs/>
          <w:color w:val="000000"/>
          <w:sz w:val="21"/>
          <w:szCs w:val="21"/>
        </w:rPr>
        <w:t>Client</w:t>
      </w:r>
      <w:r>
        <w:rPr>
          <w:color w:val="000000"/>
          <w:sz w:val="21"/>
          <w:szCs w:val="21"/>
        </w:rPr>
        <w:t xml:space="preserve"> or any Replacement Service Provider, the </w:t>
      </w:r>
      <w:r>
        <w:rPr>
          <w:i/>
          <w:iCs/>
          <w:color w:val="000000"/>
          <w:sz w:val="21"/>
          <w:szCs w:val="21"/>
        </w:rPr>
        <w:t>Service Provider</w:t>
      </w:r>
      <w:r>
        <w:rPr>
          <w:color w:val="000000"/>
          <w:sz w:val="21"/>
          <w:szCs w:val="21"/>
        </w:rPr>
        <w:t xml:space="preserve"> hereby grants to the </w:t>
      </w:r>
      <w:r>
        <w:rPr>
          <w:i/>
          <w:iCs/>
          <w:color w:val="000000"/>
          <w:sz w:val="21"/>
          <w:szCs w:val="21"/>
        </w:rPr>
        <w:t>Client</w:t>
      </w:r>
      <w:r>
        <w:rPr>
          <w:color w:val="000000"/>
          <w:sz w:val="21"/>
          <w:szCs w:val="21"/>
        </w:rPr>
        <w:t xml:space="preserve"> and the Replacement Service Provider a non-exclusive, irrevocable, royalty-free, world</w:t>
      </w:r>
      <w:r>
        <w:rPr>
          <w:color w:val="000000"/>
          <w:sz w:val="21"/>
          <w:szCs w:val="21"/>
        </w:rPr>
        <w:t>wide patent licence to use the infringing methods, materials or software.</w:t>
      </w:r>
    </w:p>
    <w:p w14:paraId="33987466" w14:textId="77777777" w:rsidR="007960A8" w:rsidRDefault="00A26397">
      <w:pPr>
        <w:spacing w:after="240" w:line="276" w:lineRule="auto"/>
        <w:sectPr w:rsidR="007960A8">
          <w:pgSz w:w="11910" w:h="16840"/>
          <w:pgMar w:top="1440" w:right="1440" w:bottom="1440" w:left="1440" w:header="706" w:footer="706" w:gutter="0"/>
          <w:cols w:space="720"/>
          <w:titlePg/>
        </w:sectPr>
      </w:pPr>
      <w:r>
        <w:t xml:space="preserve"> </w:t>
      </w:r>
    </w:p>
    <w:p w14:paraId="7AB62F83" w14:textId="77777777" w:rsidR="007960A8" w:rsidRDefault="00A26397">
      <w:pPr>
        <w:spacing w:after="240" w:line="276" w:lineRule="auto"/>
        <w:rPr>
          <w:b/>
          <w:bCs/>
          <w:sz w:val="28"/>
          <w:szCs w:val="28"/>
        </w:rPr>
      </w:pPr>
      <w:r>
        <w:rPr>
          <w:b/>
          <w:bCs/>
          <w:sz w:val="28"/>
          <w:szCs w:val="28"/>
        </w:rPr>
        <w:t>Annex 1: New IPR And Specially Written Software</w:t>
      </w:r>
    </w:p>
    <w:tbl>
      <w:tblPr>
        <w:tblStyle w:val="ad"/>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960A8" w14:paraId="48E2868D" w14:textId="77777777">
        <w:tc>
          <w:tcPr>
            <w:tcW w:w="4508" w:type="dxa"/>
          </w:tcPr>
          <w:p w14:paraId="3A49B937" w14:textId="77777777" w:rsidR="007960A8" w:rsidRDefault="00A26397">
            <w:pPr>
              <w:spacing w:after="240" w:line="276" w:lineRule="auto"/>
              <w:rPr>
                <w:b/>
                <w:bCs/>
              </w:rPr>
            </w:pPr>
            <w:r>
              <w:rPr>
                <w:b/>
                <w:bCs/>
              </w:rPr>
              <w:t>Name of New IPR</w:t>
            </w:r>
          </w:p>
        </w:tc>
        <w:tc>
          <w:tcPr>
            <w:tcW w:w="4508" w:type="dxa"/>
          </w:tcPr>
          <w:p w14:paraId="395339F0" w14:textId="77777777" w:rsidR="007960A8" w:rsidRDefault="00A26397">
            <w:pPr>
              <w:spacing w:after="240" w:line="276" w:lineRule="auto"/>
              <w:rPr>
                <w:b/>
                <w:bCs/>
              </w:rPr>
            </w:pPr>
            <w:r>
              <w:rPr>
                <w:b/>
                <w:bCs/>
              </w:rPr>
              <w:t>Details</w:t>
            </w:r>
          </w:p>
        </w:tc>
      </w:tr>
      <w:tr w:rsidR="007960A8" w14:paraId="1E2A8329" w14:textId="77777777">
        <w:tc>
          <w:tcPr>
            <w:tcW w:w="4508" w:type="dxa"/>
          </w:tcPr>
          <w:p w14:paraId="3550AB4F" w14:textId="77777777" w:rsidR="007960A8" w:rsidRDefault="007960A8">
            <w:pPr>
              <w:spacing w:after="240" w:line="276" w:lineRule="auto"/>
            </w:pPr>
          </w:p>
        </w:tc>
        <w:tc>
          <w:tcPr>
            <w:tcW w:w="4508" w:type="dxa"/>
          </w:tcPr>
          <w:p w14:paraId="72C8D89A" w14:textId="77777777" w:rsidR="007960A8" w:rsidRDefault="007960A8">
            <w:pPr>
              <w:spacing w:after="240" w:line="276" w:lineRule="auto"/>
            </w:pPr>
          </w:p>
        </w:tc>
      </w:tr>
      <w:tr w:rsidR="007960A8" w14:paraId="585279E6" w14:textId="77777777">
        <w:tc>
          <w:tcPr>
            <w:tcW w:w="4508" w:type="dxa"/>
          </w:tcPr>
          <w:p w14:paraId="5FF66F12" w14:textId="77777777" w:rsidR="007960A8" w:rsidRDefault="007960A8">
            <w:pPr>
              <w:spacing w:after="240" w:line="276" w:lineRule="auto"/>
            </w:pPr>
          </w:p>
        </w:tc>
        <w:tc>
          <w:tcPr>
            <w:tcW w:w="4508" w:type="dxa"/>
          </w:tcPr>
          <w:p w14:paraId="0C0FE1B4" w14:textId="77777777" w:rsidR="007960A8" w:rsidRDefault="007960A8">
            <w:pPr>
              <w:spacing w:after="240" w:line="276" w:lineRule="auto"/>
            </w:pPr>
          </w:p>
        </w:tc>
      </w:tr>
    </w:tbl>
    <w:p w14:paraId="6F1B5FA4" w14:textId="77777777" w:rsidR="007960A8" w:rsidRDefault="007960A8">
      <w:pPr>
        <w:spacing w:after="240" w:line="276" w:lineRule="auto"/>
      </w:pPr>
    </w:p>
    <w:tbl>
      <w:tblPr>
        <w:tblStyle w:val="ae"/>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960A8" w14:paraId="696BF7C6" w14:textId="77777777">
        <w:tc>
          <w:tcPr>
            <w:tcW w:w="4508" w:type="dxa"/>
          </w:tcPr>
          <w:p w14:paraId="083116C9" w14:textId="77777777" w:rsidR="007960A8" w:rsidRDefault="00A26397">
            <w:pPr>
              <w:spacing w:after="240" w:line="276" w:lineRule="auto"/>
              <w:rPr>
                <w:b/>
                <w:bCs/>
              </w:rPr>
            </w:pPr>
            <w:r>
              <w:rPr>
                <w:b/>
                <w:bCs/>
              </w:rPr>
              <w:t>Name of Specially Written Software</w:t>
            </w:r>
          </w:p>
        </w:tc>
        <w:tc>
          <w:tcPr>
            <w:tcW w:w="4508" w:type="dxa"/>
          </w:tcPr>
          <w:p w14:paraId="5E43C867" w14:textId="77777777" w:rsidR="007960A8" w:rsidRDefault="00A26397">
            <w:pPr>
              <w:spacing w:after="240" w:line="276" w:lineRule="auto"/>
              <w:rPr>
                <w:b/>
                <w:bCs/>
              </w:rPr>
            </w:pPr>
            <w:r>
              <w:rPr>
                <w:b/>
                <w:bCs/>
              </w:rPr>
              <w:t>Details</w:t>
            </w:r>
          </w:p>
        </w:tc>
      </w:tr>
      <w:tr w:rsidR="007960A8" w14:paraId="4A19C388" w14:textId="77777777">
        <w:tc>
          <w:tcPr>
            <w:tcW w:w="4508" w:type="dxa"/>
          </w:tcPr>
          <w:p w14:paraId="6E0D5765" w14:textId="77777777" w:rsidR="007960A8" w:rsidRDefault="007960A8">
            <w:pPr>
              <w:spacing w:after="240" w:line="276" w:lineRule="auto"/>
            </w:pPr>
          </w:p>
        </w:tc>
        <w:tc>
          <w:tcPr>
            <w:tcW w:w="4508" w:type="dxa"/>
          </w:tcPr>
          <w:p w14:paraId="10DEB02F" w14:textId="77777777" w:rsidR="007960A8" w:rsidRDefault="007960A8">
            <w:pPr>
              <w:spacing w:after="240" w:line="276" w:lineRule="auto"/>
            </w:pPr>
          </w:p>
        </w:tc>
      </w:tr>
      <w:tr w:rsidR="007960A8" w14:paraId="6EBA8520" w14:textId="77777777">
        <w:tc>
          <w:tcPr>
            <w:tcW w:w="4508" w:type="dxa"/>
          </w:tcPr>
          <w:p w14:paraId="596F04AF" w14:textId="77777777" w:rsidR="007960A8" w:rsidRDefault="007960A8">
            <w:pPr>
              <w:spacing w:after="240" w:line="276" w:lineRule="auto"/>
            </w:pPr>
          </w:p>
        </w:tc>
        <w:tc>
          <w:tcPr>
            <w:tcW w:w="4508" w:type="dxa"/>
          </w:tcPr>
          <w:p w14:paraId="131383F8" w14:textId="77777777" w:rsidR="007960A8" w:rsidRDefault="007960A8">
            <w:pPr>
              <w:spacing w:after="240" w:line="276" w:lineRule="auto"/>
            </w:pPr>
          </w:p>
        </w:tc>
      </w:tr>
    </w:tbl>
    <w:p w14:paraId="04921A22" w14:textId="77777777" w:rsidR="007960A8" w:rsidRDefault="007960A8">
      <w:pPr>
        <w:spacing w:after="240" w:line="276" w:lineRule="auto"/>
      </w:pPr>
    </w:p>
    <w:p w14:paraId="7401476A" w14:textId="77777777" w:rsidR="007960A8" w:rsidRDefault="00A26397">
      <w:pPr>
        <w:spacing w:after="240" w:line="276" w:lineRule="auto"/>
        <w:rPr>
          <w:b/>
          <w:bCs/>
          <w:i/>
          <w:iCs/>
        </w:rPr>
        <w:sectPr w:rsidR="007960A8">
          <w:pgSz w:w="11910" w:h="16840"/>
          <w:pgMar w:top="1440" w:right="1440" w:bottom="1440" w:left="1440" w:header="706" w:footer="706" w:gutter="0"/>
          <w:cols w:space="720"/>
          <w:titlePg/>
        </w:sectPr>
      </w:pPr>
      <w:r>
        <w:rPr>
          <w:b/>
          <w:bCs/>
          <w:i/>
          <w:iCs/>
          <w:highlight w:val="yellow"/>
        </w:rPr>
        <w:t xml:space="preserve">[Guidance: The Client should make clear to Service Providers that the New IPR and Specially Written Software which must be recorded in this Annex does not include all forms of IPR which may be created by the Service Provider and the Service Provider Staff </w:t>
      </w:r>
      <w:r>
        <w:rPr>
          <w:b/>
          <w:bCs/>
          <w:i/>
          <w:iCs/>
          <w:highlight w:val="yellow"/>
        </w:rPr>
        <w:t xml:space="preserve">during the completion of their obligations under this Contract. This may need to be updated throughout the life of this Contract. Only New IPR and Specially Written Software which is part of the Services, or is necessary for the use of the Deliverables by </w:t>
      </w:r>
      <w:r>
        <w:rPr>
          <w:b/>
          <w:bCs/>
          <w:i/>
          <w:iCs/>
          <w:highlight w:val="yellow"/>
        </w:rPr>
        <w:t>the Client, or as part of the Client’s ownership of IPR (depending on which IPR Option in this Schedule is chosen) will need to be recorded here. IPR such as email communications or documents which do not form part of the Services need not be recorded in t</w:t>
      </w:r>
      <w:r>
        <w:rPr>
          <w:b/>
          <w:bCs/>
          <w:i/>
          <w:iCs/>
          <w:highlight w:val="yellow"/>
        </w:rPr>
        <w:t>his Annex.]</w:t>
      </w:r>
    </w:p>
    <w:p w14:paraId="701DAF22" w14:textId="77777777" w:rsidR="007960A8" w:rsidRDefault="00A26397">
      <w:pPr>
        <w:spacing w:after="240" w:line="276" w:lineRule="auto"/>
        <w:rPr>
          <w:b/>
          <w:bCs/>
          <w:sz w:val="28"/>
          <w:szCs w:val="28"/>
        </w:rPr>
      </w:pPr>
      <w:r>
        <w:rPr>
          <w:b/>
          <w:bCs/>
          <w:sz w:val="28"/>
          <w:szCs w:val="28"/>
        </w:rPr>
        <w:t>Annex 2: Form of Confidentiality Undertaking</w:t>
      </w:r>
    </w:p>
    <w:p w14:paraId="3DD48E7B" w14:textId="77777777" w:rsidR="007960A8" w:rsidRDefault="007960A8">
      <w:pPr>
        <w:spacing w:after="240" w:line="276" w:lineRule="auto"/>
      </w:pPr>
    </w:p>
    <w:p w14:paraId="1E6AEA83" w14:textId="77777777" w:rsidR="007960A8" w:rsidRDefault="00A26397">
      <w:pPr>
        <w:spacing w:after="240" w:line="276" w:lineRule="auto"/>
        <w:jc w:val="center"/>
        <w:rPr>
          <w:b/>
          <w:bCs/>
        </w:rPr>
      </w:pPr>
      <w:r>
        <w:rPr>
          <w:b/>
          <w:bCs/>
        </w:rPr>
        <w:t>CONFIDENTIALITY AGREEMENT</w:t>
      </w:r>
    </w:p>
    <w:p w14:paraId="06B377AA" w14:textId="77777777" w:rsidR="007960A8" w:rsidRDefault="00A26397">
      <w:pPr>
        <w:spacing w:after="240" w:line="276" w:lineRule="auto"/>
      </w:pPr>
      <w:r>
        <w:rPr>
          <w:b/>
          <w:bCs/>
        </w:rPr>
        <w:t>THIS AGREEMENT</w:t>
      </w:r>
      <w:r>
        <w:t xml:space="preserve"> is made on [date] 20</w:t>
      </w:r>
    </w:p>
    <w:p w14:paraId="2E026098" w14:textId="77777777" w:rsidR="007960A8" w:rsidRDefault="00A26397">
      <w:pPr>
        <w:spacing w:after="240" w:line="276" w:lineRule="auto"/>
        <w:rPr>
          <w:b/>
          <w:bCs/>
        </w:rPr>
      </w:pPr>
      <w:r>
        <w:rPr>
          <w:b/>
          <w:bCs/>
        </w:rPr>
        <w:t>BETWEEN:</w:t>
      </w:r>
    </w:p>
    <w:p w14:paraId="2C4064A9" w14:textId="77777777" w:rsidR="007960A8" w:rsidRDefault="00A26397">
      <w:pPr>
        <w:widowControl/>
        <w:numPr>
          <w:ilvl w:val="0"/>
          <w:numId w:val="99"/>
        </w:numPr>
        <w:pBdr>
          <w:top w:val="nil"/>
          <w:left w:val="nil"/>
          <w:bottom w:val="nil"/>
          <w:right w:val="nil"/>
          <w:between w:val="nil"/>
        </w:pBdr>
        <w:spacing w:after="240"/>
        <w:jc w:val="both"/>
      </w:pPr>
      <w:r>
        <w:rPr>
          <w:color w:val="000000"/>
          <w:sz w:val="21"/>
          <w:szCs w:val="21"/>
        </w:rPr>
        <w:t>[insert name] of [insert address] (the “Sub-licensee”); and</w:t>
      </w:r>
    </w:p>
    <w:p w14:paraId="3D627F23" w14:textId="77777777" w:rsidR="007960A8" w:rsidRDefault="00A26397">
      <w:pPr>
        <w:widowControl/>
        <w:numPr>
          <w:ilvl w:val="0"/>
          <w:numId w:val="99"/>
        </w:numPr>
        <w:pBdr>
          <w:top w:val="nil"/>
          <w:left w:val="nil"/>
          <w:bottom w:val="nil"/>
          <w:right w:val="nil"/>
          <w:between w:val="nil"/>
        </w:pBdr>
        <w:spacing w:after="240"/>
        <w:jc w:val="both"/>
      </w:pPr>
      <w:r>
        <w:rPr>
          <w:color w:val="000000"/>
          <w:sz w:val="21"/>
          <w:szCs w:val="21"/>
        </w:rPr>
        <w:t>[insert name] of [insert address] (the “Service Provider” and together with the Sub-licensee, the “Parties”).</w:t>
      </w:r>
    </w:p>
    <w:p w14:paraId="06B43018" w14:textId="77777777" w:rsidR="007960A8" w:rsidRDefault="00A26397">
      <w:pPr>
        <w:spacing w:after="240" w:line="276" w:lineRule="auto"/>
        <w:rPr>
          <w:b/>
          <w:bCs/>
        </w:rPr>
      </w:pPr>
      <w:r>
        <w:rPr>
          <w:b/>
          <w:bCs/>
        </w:rPr>
        <w:t>WHEREAS:</w:t>
      </w:r>
    </w:p>
    <w:p w14:paraId="49A5BC0B" w14:textId="77777777" w:rsidR="007960A8" w:rsidRDefault="00A26397">
      <w:pPr>
        <w:spacing w:after="240" w:line="276" w:lineRule="auto"/>
        <w:ind w:left="720" w:hanging="720"/>
      </w:pPr>
      <w:r>
        <w:t>(A)</w:t>
      </w:r>
      <w:r>
        <w:tab/>
        <w:t xml:space="preserve">[insert name of Client] (the “Client”) and the Service Provider are party to a contract dated [insert date] (the “Contract”) for the </w:t>
      </w:r>
      <w:r>
        <w:t>provision by the Service Provider of [insert brief description of services] to the Client.</w:t>
      </w:r>
    </w:p>
    <w:p w14:paraId="762BDC17" w14:textId="77777777" w:rsidR="007960A8" w:rsidRDefault="00A26397">
      <w:pPr>
        <w:spacing w:after="240" w:line="276" w:lineRule="auto"/>
        <w:ind w:left="720" w:hanging="720"/>
      </w:pPr>
      <w:r>
        <w:t>(B)</w:t>
      </w:r>
      <w:r>
        <w:tab/>
        <w:t>The Client wishes to grant a sub-licence to the Sub-licensee in respect of certain software and intellectual property rights licensed to the Client pursuant to t</w:t>
      </w:r>
      <w:r>
        <w:t>he Contract (the “Sub-licence”).</w:t>
      </w:r>
    </w:p>
    <w:p w14:paraId="0BA7665B" w14:textId="77777777" w:rsidR="007960A8" w:rsidRDefault="00A26397">
      <w:pPr>
        <w:spacing w:after="240" w:line="276" w:lineRule="auto"/>
        <w:ind w:left="720" w:hanging="720"/>
      </w:pPr>
      <w:r>
        <w:t>(C)</w:t>
      </w:r>
      <w:r>
        <w:tab/>
        <w:t xml:space="preserve">It is a requirement of the Contract that, before the Client grants such sub-licence to the Sub-licensee, the Sub-licensee execute a confidentiality agreement in favour of the Service Provider in or substantially in the </w:t>
      </w:r>
      <w:r>
        <w:t>form of this Agreement to protect the Confidential Information of the Client.</w:t>
      </w:r>
    </w:p>
    <w:p w14:paraId="300E583F" w14:textId="77777777" w:rsidR="007960A8" w:rsidRDefault="00A26397">
      <w:pPr>
        <w:spacing w:after="240" w:line="276" w:lineRule="auto"/>
      </w:pPr>
      <w:r>
        <w:rPr>
          <w:b/>
          <w:bCs/>
        </w:rPr>
        <w:t>IT IS AGREED</w:t>
      </w:r>
      <w:r>
        <w:t xml:space="preserve"> as follows:</w:t>
      </w:r>
    </w:p>
    <w:p w14:paraId="315C42A7"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Interpretation</w:t>
      </w:r>
    </w:p>
    <w:p w14:paraId="3B75CB5F"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In this Agreement, unless the context otherwise requires:</w:t>
      </w:r>
    </w:p>
    <w:tbl>
      <w:tblPr>
        <w:tblStyle w:val="af"/>
        <w:tblW w:w="7603" w:type="dxa"/>
        <w:tblInd w:w="1413" w:type="dxa"/>
        <w:tblBorders>
          <w:top w:val="nil"/>
          <w:left w:val="nil"/>
          <w:bottom w:val="nil"/>
          <w:right w:val="nil"/>
          <w:insideH w:val="nil"/>
          <w:insideV w:val="nil"/>
        </w:tblBorders>
        <w:tblLayout w:type="fixed"/>
        <w:tblLook w:val="0400" w:firstRow="0" w:lastRow="0" w:firstColumn="0" w:lastColumn="0" w:noHBand="0" w:noVBand="1"/>
      </w:tblPr>
      <w:tblGrid>
        <w:gridCol w:w="1843"/>
        <w:gridCol w:w="5760"/>
      </w:tblGrid>
      <w:tr w:rsidR="007960A8" w14:paraId="7D2070AD" w14:textId="77777777">
        <w:tc>
          <w:tcPr>
            <w:tcW w:w="1843" w:type="dxa"/>
          </w:tcPr>
          <w:p w14:paraId="3107D906" w14:textId="77777777" w:rsidR="007960A8" w:rsidRDefault="00A26397">
            <w:pPr>
              <w:spacing w:after="240" w:line="276" w:lineRule="auto"/>
              <w:rPr>
                <w:b/>
                <w:bCs/>
              </w:rPr>
            </w:pPr>
            <w:r>
              <w:rPr>
                <w:b/>
                <w:bCs/>
              </w:rPr>
              <w:t>“Confidential Information”</w:t>
            </w:r>
          </w:p>
        </w:tc>
        <w:tc>
          <w:tcPr>
            <w:tcW w:w="5760" w:type="dxa"/>
          </w:tcPr>
          <w:p w14:paraId="151D8908" w14:textId="77777777" w:rsidR="007960A8" w:rsidRDefault="00A26397">
            <w:pPr>
              <w:spacing w:after="240" w:line="276" w:lineRule="auto"/>
            </w:pPr>
            <w:r>
              <w:t>means:</w:t>
            </w:r>
          </w:p>
          <w:p w14:paraId="291EC72F" w14:textId="77777777" w:rsidR="007960A8" w:rsidRDefault="00A26397">
            <w:pPr>
              <w:widowControl/>
              <w:numPr>
                <w:ilvl w:val="3"/>
                <w:numId w:val="20"/>
              </w:numPr>
              <w:pBdr>
                <w:top w:val="nil"/>
                <w:left w:val="nil"/>
                <w:bottom w:val="nil"/>
                <w:right w:val="nil"/>
                <w:between w:val="nil"/>
              </w:pBdr>
              <w:spacing w:after="240"/>
              <w:ind w:left="751"/>
              <w:jc w:val="both"/>
            </w:pPr>
            <w:r>
              <w:rPr>
                <w:color w:val="000000"/>
                <w:sz w:val="21"/>
                <w:szCs w:val="21"/>
              </w:rPr>
              <w:t>Information, including all personal data within the meaning of the Data Protection Act 2018, and however it is conveyed, provided by the Client to the Sub-licensee pursuant to or in connection with the Sub-licence that relates to:</w:t>
            </w:r>
          </w:p>
          <w:p w14:paraId="1CCC104C" w14:textId="77777777" w:rsidR="007960A8" w:rsidRDefault="00A26397">
            <w:pPr>
              <w:widowControl/>
              <w:numPr>
                <w:ilvl w:val="4"/>
                <w:numId w:val="95"/>
              </w:numPr>
              <w:pBdr>
                <w:top w:val="nil"/>
                <w:left w:val="nil"/>
                <w:bottom w:val="nil"/>
                <w:right w:val="nil"/>
                <w:between w:val="nil"/>
              </w:pBdr>
              <w:spacing w:after="240"/>
              <w:ind w:left="1460"/>
              <w:jc w:val="both"/>
            </w:pPr>
            <w:r>
              <w:rPr>
                <w:color w:val="000000"/>
                <w:sz w:val="21"/>
                <w:szCs w:val="21"/>
              </w:rPr>
              <w:t>the Service Provider; or</w:t>
            </w:r>
          </w:p>
          <w:p w14:paraId="5B99EC41" w14:textId="77777777" w:rsidR="007960A8" w:rsidRDefault="00A26397">
            <w:pPr>
              <w:widowControl/>
              <w:numPr>
                <w:ilvl w:val="4"/>
                <w:numId w:val="95"/>
              </w:numPr>
              <w:pBdr>
                <w:top w:val="nil"/>
                <w:left w:val="nil"/>
                <w:bottom w:val="nil"/>
                <w:right w:val="nil"/>
                <w:between w:val="nil"/>
              </w:pBdr>
              <w:spacing w:after="240"/>
              <w:ind w:left="1460"/>
              <w:jc w:val="both"/>
            </w:pPr>
            <w:r>
              <w:rPr>
                <w:color w:val="000000"/>
                <w:sz w:val="21"/>
                <w:szCs w:val="21"/>
              </w:rPr>
              <w:t>the operations, business, affairs, developments, intellectual property rights, trade secrets, know-how and/or personnel of the Service Provider;</w:t>
            </w:r>
          </w:p>
          <w:p w14:paraId="3B095FBE" w14:textId="77777777" w:rsidR="007960A8" w:rsidRDefault="00A26397">
            <w:pPr>
              <w:widowControl/>
              <w:numPr>
                <w:ilvl w:val="3"/>
                <w:numId w:val="18"/>
              </w:numPr>
              <w:pBdr>
                <w:top w:val="nil"/>
                <w:left w:val="nil"/>
                <w:bottom w:val="nil"/>
                <w:right w:val="nil"/>
                <w:between w:val="nil"/>
              </w:pBdr>
              <w:spacing w:after="240"/>
              <w:ind w:left="751"/>
              <w:jc w:val="both"/>
            </w:pPr>
            <w:r>
              <w:rPr>
                <w:color w:val="000000"/>
                <w:sz w:val="21"/>
                <w:szCs w:val="21"/>
              </w:rPr>
              <w:t>the source code and the object code of the software sub-licensed to the Sub-licensee pursuant to the Sub-licenc</w:t>
            </w:r>
            <w:r>
              <w:rPr>
                <w:color w:val="000000"/>
                <w:sz w:val="21"/>
                <w:szCs w:val="21"/>
              </w:rPr>
              <w:t>e together with build information, relevant design and development information, technical specifications of all functionality including those not included in standard manuals (such as those that modify system performance and access levels), configuration d</w:t>
            </w:r>
            <w:r>
              <w:rPr>
                <w:color w:val="000000"/>
                <w:sz w:val="21"/>
                <w:szCs w:val="21"/>
              </w:rPr>
              <w:t>etails, test scripts, user manuals, operating manuals, process definitions and procedures, and all such other documentation supplied by the Service Provider to the Client pursuant to or in connection with the Sub-licence;</w:t>
            </w:r>
          </w:p>
          <w:p w14:paraId="71AAC59A" w14:textId="77777777" w:rsidR="007960A8" w:rsidRDefault="00A26397">
            <w:pPr>
              <w:widowControl/>
              <w:numPr>
                <w:ilvl w:val="3"/>
                <w:numId w:val="18"/>
              </w:numPr>
              <w:pBdr>
                <w:top w:val="nil"/>
                <w:left w:val="nil"/>
                <w:bottom w:val="nil"/>
                <w:right w:val="nil"/>
                <w:between w:val="nil"/>
              </w:pBdr>
              <w:spacing w:after="240"/>
              <w:ind w:left="751"/>
              <w:jc w:val="both"/>
            </w:pPr>
            <w:r>
              <w:rPr>
                <w:color w:val="000000"/>
                <w:sz w:val="21"/>
                <w:szCs w:val="21"/>
              </w:rPr>
              <w:t xml:space="preserve">other Information provided by the </w:t>
            </w:r>
            <w:r>
              <w:rPr>
                <w:color w:val="000000"/>
                <w:sz w:val="21"/>
                <w:szCs w:val="21"/>
              </w:rPr>
              <w:t>Client pursuant to this Agreement to the Sub-licensee that is clearly designated as being confidential or equivalent or that ought reasonably to be considered to be confidential which comes (or has come) to the Sub-licensee’s attention or into the Sub-lice</w:t>
            </w:r>
            <w:r>
              <w:rPr>
                <w:color w:val="000000"/>
                <w:sz w:val="21"/>
                <w:szCs w:val="21"/>
              </w:rPr>
              <w:t>nsee’s possession in connection with the Sub-licence; and</w:t>
            </w:r>
          </w:p>
          <w:p w14:paraId="3F6B8D05" w14:textId="77777777" w:rsidR="007960A8" w:rsidRDefault="00A26397">
            <w:pPr>
              <w:widowControl/>
              <w:numPr>
                <w:ilvl w:val="3"/>
                <w:numId w:val="18"/>
              </w:numPr>
              <w:pBdr>
                <w:top w:val="nil"/>
                <w:left w:val="nil"/>
                <w:bottom w:val="nil"/>
                <w:right w:val="nil"/>
                <w:between w:val="nil"/>
              </w:pBdr>
              <w:spacing w:after="240"/>
              <w:ind w:left="751"/>
              <w:jc w:val="both"/>
            </w:pPr>
            <w:r>
              <w:rPr>
                <w:color w:val="000000"/>
                <w:sz w:val="21"/>
                <w:szCs w:val="21"/>
              </w:rPr>
              <w:t>Information derived from any of the above,</w:t>
            </w:r>
          </w:p>
          <w:p w14:paraId="1C0DDE32" w14:textId="77777777" w:rsidR="007960A8" w:rsidRDefault="00A26397">
            <w:pPr>
              <w:spacing w:after="240" w:line="276" w:lineRule="auto"/>
            </w:pPr>
            <w:r>
              <w:t>but not including any Information that:</w:t>
            </w:r>
          </w:p>
          <w:p w14:paraId="5B11F4C9" w14:textId="77777777" w:rsidR="007960A8" w:rsidRDefault="00A26397">
            <w:pPr>
              <w:widowControl/>
              <w:numPr>
                <w:ilvl w:val="3"/>
                <w:numId w:val="19"/>
              </w:numPr>
              <w:pBdr>
                <w:top w:val="nil"/>
                <w:left w:val="nil"/>
                <w:bottom w:val="nil"/>
                <w:right w:val="nil"/>
                <w:between w:val="nil"/>
              </w:pBdr>
              <w:spacing w:after="240"/>
              <w:ind w:left="751"/>
              <w:jc w:val="both"/>
            </w:pPr>
            <w:r>
              <w:rPr>
                <w:color w:val="000000"/>
                <w:sz w:val="21"/>
                <w:szCs w:val="21"/>
              </w:rPr>
              <w:t xml:space="preserve">was in the possession of the Sub-licensee without obligation of confidentiality prior to its disclosure by the Client; </w:t>
            </w:r>
          </w:p>
          <w:p w14:paraId="5AE8ADF1" w14:textId="77777777" w:rsidR="007960A8" w:rsidRDefault="00A26397">
            <w:pPr>
              <w:widowControl/>
              <w:numPr>
                <w:ilvl w:val="3"/>
                <w:numId w:val="18"/>
              </w:numPr>
              <w:pBdr>
                <w:top w:val="nil"/>
                <w:left w:val="nil"/>
                <w:bottom w:val="nil"/>
                <w:right w:val="nil"/>
                <w:between w:val="nil"/>
              </w:pBdr>
              <w:spacing w:after="240"/>
              <w:ind w:left="751"/>
              <w:jc w:val="both"/>
            </w:pPr>
            <w:r>
              <w:rPr>
                <w:color w:val="000000"/>
                <w:sz w:val="21"/>
                <w:szCs w:val="21"/>
              </w:rPr>
              <w:t>was already generally available and in the public domain at the time of disclosure otherwise than by a breach of this Agreement or breac</w:t>
            </w:r>
            <w:r>
              <w:rPr>
                <w:color w:val="000000"/>
                <w:sz w:val="21"/>
                <w:szCs w:val="21"/>
              </w:rPr>
              <w:t>h of a duty of confidentiality; or</w:t>
            </w:r>
          </w:p>
          <w:p w14:paraId="2B65D81C" w14:textId="77777777" w:rsidR="007960A8" w:rsidRDefault="00A26397">
            <w:pPr>
              <w:widowControl/>
              <w:numPr>
                <w:ilvl w:val="3"/>
                <w:numId w:val="18"/>
              </w:numPr>
              <w:pBdr>
                <w:top w:val="nil"/>
                <w:left w:val="nil"/>
                <w:bottom w:val="nil"/>
                <w:right w:val="nil"/>
                <w:between w:val="nil"/>
              </w:pBdr>
              <w:spacing w:after="240"/>
              <w:ind w:left="751"/>
              <w:jc w:val="both"/>
            </w:pPr>
            <w:r>
              <w:rPr>
                <w:color w:val="000000"/>
                <w:sz w:val="21"/>
                <w:szCs w:val="21"/>
              </w:rPr>
              <w:t>was independently developed without access to the Information;</w:t>
            </w:r>
          </w:p>
        </w:tc>
      </w:tr>
      <w:tr w:rsidR="007960A8" w14:paraId="4E825358" w14:textId="77777777">
        <w:tc>
          <w:tcPr>
            <w:tcW w:w="1843" w:type="dxa"/>
          </w:tcPr>
          <w:p w14:paraId="608F9A20" w14:textId="77777777" w:rsidR="007960A8" w:rsidRDefault="00A26397">
            <w:pPr>
              <w:spacing w:after="240" w:line="276" w:lineRule="auto"/>
              <w:rPr>
                <w:b/>
                <w:bCs/>
              </w:rPr>
            </w:pPr>
            <w:r>
              <w:rPr>
                <w:b/>
                <w:bCs/>
              </w:rPr>
              <w:t>“Information”</w:t>
            </w:r>
          </w:p>
        </w:tc>
        <w:tc>
          <w:tcPr>
            <w:tcW w:w="5760" w:type="dxa"/>
          </w:tcPr>
          <w:p w14:paraId="0018B271" w14:textId="77777777" w:rsidR="007960A8" w:rsidRDefault="00A26397">
            <w:pPr>
              <w:spacing w:after="240" w:line="276" w:lineRule="auto"/>
            </w:pPr>
            <w:r>
              <w:t>means all information of whatever nature, however conveyed and in whatever form, including in writing, orally, by demonstration, electronically and in a tangible, visual or machine-readable medium (including CD-ROM, magnetic and digital form); and</w:t>
            </w:r>
          </w:p>
        </w:tc>
      </w:tr>
      <w:tr w:rsidR="007960A8" w14:paraId="3FF2DD4D" w14:textId="77777777">
        <w:tc>
          <w:tcPr>
            <w:tcW w:w="1843" w:type="dxa"/>
          </w:tcPr>
          <w:p w14:paraId="78C43CF2" w14:textId="77777777" w:rsidR="007960A8" w:rsidRDefault="00A26397">
            <w:pPr>
              <w:spacing w:after="240" w:line="276" w:lineRule="auto"/>
              <w:rPr>
                <w:b/>
                <w:bCs/>
              </w:rPr>
            </w:pPr>
            <w:r>
              <w:rPr>
                <w:b/>
                <w:bCs/>
              </w:rPr>
              <w:t>“Sub-li</w:t>
            </w:r>
            <w:r>
              <w:rPr>
                <w:b/>
                <w:bCs/>
              </w:rPr>
              <w:t>cence”</w:t>
            </w:r>
          </w:p>
        </w:tc>
        <w:tc>
          <w:tcPr>
            <w:tcW w:w="5760" w:type="dxa"/>
          </w:tcPr>
          <w:p w14:paraId="1B62FF8F" w14:textId="77777777" w:rsidR="007960A8" w:rsidRDefault="00A26397">
            <w:pPr>
              <w:spacing w:after="240" w:line="276" w:lineRule="auto"/>
            </w:pPr>
            <w:r>
              <w:t>has the meaning given to that expression in recital (B) to this Agreement.</w:t>
            </w:r>
          </w:p>
        </w:tc>
      </w:tr>
    </w:tbl>
    <w:p w14:paraId="6320B055"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In this Agreement:</w:t>
      </w:r>
    </w:p>
    <w:p w14:paraId="78199327"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a reference to any gender includes a reference to other genders;</w:t>
      </w:r>
    </w:p>
    <w:p w14:paraId="082F3D0D"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the singular includes the plural and vice versa;</w:t>
      </w:r>
    </w:p>
    <w:p w14:paraId="1745D532"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the words “include” and cognate expressions shall be construed as if they were immediately followed by the words “without limitation”;</w:t>
      </w:r>
    </w:p>
    <w:p w14:paraId="6D109EDA"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references to any statutory provision include a reference to that provis</w:t>
      </w:r>
      <w:r>
        <w:rPr>
          <w:color w:val="000000"/>
          <w:sz w:val="21"/>
          <w:szCs w:val="21"/>
        </w:rPr>
        <w:t xml:space="preserve">ion as modified, replaced, amended and/or re-enacted from time to time (before or after the date of this Agreement) and any prior or subsequent subordinate legislation made under it; </w:t>
      </w:r>
    </w:p>
    <w:p w14:paraId="31AAFA2C"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headings are included for ease of reference only and shall not affect th</w:t>
      </w:r>
      <w:r>
        <w:rPr>
          <w:color w:val="000000"/>
          <w:sz w:val="21"/>
          <w:szCs w:val="21"/>
        </w:rPr>
        <w:t>e interpretation or construction of this Agreement; and</w:t>
      </w:r>
    </w:p>
    <w:p w14:paraId="074C2FE5"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references to Clauses are to clauses of this Agreement.</w:t>
      </w:r>
    </w:p>
    <w:p w14:paraId="10D629BA"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Confidentiality Obligations</w:t>
      </w:r>
    </w:p>
    <w:p w14:paraId="030B8DA1"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In consideration of the Client entering into the Sub-licence, the Sub-licensee shall:</w:t>
      </w:r>
    </w:p>
    <w:p w14:paraId="6D4510C8"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treat all Confidential Informa</w:t>
      </w:r>
      <w:r>
        <w:rPr>
          <w:color w:val="000000"/>
          <w:sz w:val="21"/>
          <w:szCs w:val="21"/>
        </w:rPr>
        <w:t>tion as secret and confidential;</w:t>
      </w:r>
    </w:p>
    <w:p w14:paraId="0DA1CAD0"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 xml:space="preserve">have in place and maintain proper security measures and procedures to protect the confidentiality of the Confidential Information (having regard to its form and nature); </w:t>
      </w:r>
    </w:p>
    <w:p w14:paraId="12EE453D"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 xml:space="preserve">not disclose or permit the disclosure of any of the </w:t>
      </w:r>
      <w:r>
        <w:rPr>
          <w:color w:val="000000"/>
          <w:sz w:val="21"/>
          <w:szCs w:val="21"/>
        </w:rPr>
        <w:t xml:space="preserve">Confidential Information to any other person without obtaining the prior written consent of the Service Provider or except as expressly set out in this Agreement; </w:t>
      </w:r>
    </w:p>
    <w:p w14:paraId="59E2E710"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not transfer any of the Confidential Information outside the United Kingdom;</w:t>
      </w:r>
    </w:p>
    <w:p w14:paraId="70C7299A"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 xml:space="preserve">not use or exploit any of the Confidential Information for any purpose whatsoever other than as permitted under the Sub-licence; </w:t>
      </w:r>
    </w:p>
    <w:p w14:paraId="2393DC27"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immediately notify the Service Provider in writin</w:t>
      </w:r>
      <w:r>
        <w:rPr>
          <w:color w:val="000000"/>
          <w:sz w:val="21"/>
          <w:szCs w:val="21"/>
        </w:rPr>
        <w:t>g if it suspects or becomes aware of any unauthorised access, copying, use or disclosure in any form of any of the Confidential Information; and</w:t>
      </w:r>
    </w:p>
    <w:p w14:paraId="7A718A86"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upon the expiry or termination of the Sub-licence:</w:t>
      </w:r>
    </w:p>
    <w:p w14:paraId="70DC2605" w14:textId="77777777" w:rsidR="007960A8" w:rsidRDefault="00A26397">
      <w:pPr>
        <w:widowControl/>
        <w:numPr>
          <w:ilvl w:val="4"/>
          <w:numId w:val="17"/>
        </w:numPr>
        <w:pBdr>
          <w:top w:val="nil"/>
          <w:left w:val="nil"/>
          <w:bottom w:val="nil"/>
          <w:right w:val="nil"/>
          <w:between w:val="nil"/>
        </w:pBdr>
        <w:spacing w:after="240"/>
        <w:ind w:left="3261"/>
        <w:jc w:val="both"/>
      </w:pPr>
      <w:r>
        <w:rPr>
          <w:color w:val="000000"/>
          <w:sz w:val="21"/>
          <w:szCs w:val="21"/>
        </w:rPr>
        <w:t xml:space="preserve">destroy or return to the Service Provider all documents and </w:t>
      </w:r>
      <w:r>
        <w:rPr>
          <w:color w:val="000000"/>
          <w:sz w:val="21"/>
          <w:szCs w:val="21"/>
        </w:rPr>
        <w:t>other tangible materials that contain any of the Confidential Information;</w:t>
      </w:r>
    </w:p>
    <w:p w14:paraId="48AB8B05" w14:textId="77777777" w:rsidR="007960A8" w:rsidRDefault="00A26397">
      <w:pPr>
        <w:widowControl/>
        <w:numPr>
          <w:ilvl w:val="4"/>
          <w:numId w:val="17"/>
        </w:numPr>
        <w:pBdr>
          <w:top w:val="nil"/>
          <w:left w:val="nil"/>
          <w:bottom w:val="nil"/>
          <w:right w:val="nil"/>
          <w:between w:val="nil"/>
        </w:pBdr>
        <w:spacing w:after="240"/>
        <w:ind w:left="3261"/>
        <w:jc w:val="both"/>
      </w:pPr>
      <w:r>
        <w:rPr>
          <w:color w:val="000000"/>
          <w:sz w:val="21"/>
          <w:szCs w:val="21"/>
        </w:rPr>
        <w:t>ensure, so far as reasonably practicable, that all Confidential Information held in electronic, digital or other machine-readable form ceases to be readily accessible (other than by</w:t>
      </w:r>
      <w:r>
        <w:rPr>
          <w:color w:val="000000"/>
          <w:sz w:val="21"/>
          <w:szCs w:val="21"/>
        </w:rPr>
        <w:t xml:space="preserve"> the information technology staff of the Sub-licensee) from any computer, word processor, voicemail system or any other device; and</w:t>
      </w:r>
    </w:p>
    <w:p w14:paraId="78012CBC" w14:textId="77777777" w:rsidR="007960A8" w:rsidRDefault="00A26397">
      <w:pPr>
        <w:widowControl/>
        <w:numPr>
          <w:ilvl w:val="4"/>
          <w:numId w:val="17"/>
        </w:numPr>
        <w:pBdr>
          <w:top w:val="nil"/>
          <w:left w:val="nil"/>
          <w:bottom w:val="nil"/>
          <w:right w:val="nil"/>
          <w:between w:val="nil"/>
        </w:pBdr>
        <w:spacing w:after="240"/>
        <w:ind w:left="3261"/>
        <w:jc w:val="both"/>
      </w:pPr>
      <w:r>
        <w:rPr>
          <w:color w:val="000000"/>
          <w:sz w:val="21"/>
          <w:szCs w:val="21"/>
        </w:rPr>
        <w:t xml:space="preserve">make no further use of any Confidential Information. </w:t>
      </w:r>
    </w:p>
    <w:p w14:paraId="601E140B"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Permitted Disclosures</w:t>
      </w:r>
    </w:p>
    <w:p w14:paraId="7CF3CBA0"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The Sub-licensee may disclose Confidential Information to those of its directors, officers, employees, consultants and professional advisers who:</w:t>
      </w:r>
    </w:p>
    <w:p w14:paraId="2FD7ACF7"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reasonably need to receive the Confidential Information in connection with the Sub-licence; and</w:t>
      </w:r>
    </w:p>
    <w:p w14:paraId="001352AE"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have been info</w:t>
      </w:r>
      <w:r>
        <w:rPr>
          <w:color w:val="000000"/>
          <w:sz w:val="21"/>
          <w:szCs w:val="21"/>
        </w:rPr>
        <w:t>rmed by the Sub-licensee of the confidential nature of the Confidential Information; and</w:t>
      </w:r>
    </w:p>
    <w:p w14:paraId="0057939D"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have agreed to terms similar to those in this Agreement.</w:t>
      </w:r>
    </w:p>
    <w:p w14:paraId="3AC69C91" w14:textId="77777777" w:rsidR="007960A8" w:rsidRDefault="00A26397">
      <w:pPr>
        <w:widowControl/>
        <w:numPr>
          <w:ilvl w:val="1"/>
          <w:numId w:val="17"/>
        </w:numPr>
        <w:pBdr>
          <w:top w:val="nil"/>
          <w:left w:val="nil"/>
          <w:bottom w:val="nil"/>
          <w:right w:val="nil"/>
          <w:between w:val="nil"/>
        </w:pBdr>
        <w:spacing w:after="240"/>
        <w:jc w:val="both"/>
      </w:pPr>
      <w:bookmarkStart w:id="122" w:name="bookmark=id.l65477gtyteo" w:colFirst="0" w:colLast="0"/>
      <w:bookmarkEnd w:id="122"/>
      <w:r>
        <w:rPr>
          <w:color w:val="000000"/>
          <w:sz w:val="21"/>
          <w:szCs w:val="21"/>
        </w:rPr>
        <w:t>The Sub-licensee shall be entitled to disclose Confidential Information to the extent that it is required to d</w:t>
      </w:r>
      <w:r>
        <w:rPr>
          <w:color w:val="000000"/>
          <w:sz w:val="21"/>
          <w:szCs w:val="21"/>
        </w:rPr>
        <w:t xml:space="preserve">o so by </w:t>
      </w:r>
      <w:r>
        <w:rPr>
          <w:i/>
          <w:iCs/>
          <w:color w:val="000000"/>
          <w:sz w:val="21"/>
          <w:szCs w:val="21"/>
        </w:rPr>
        <w:t>applicable law</w:t>
      </w:r>
      <w:r>
        <w:rPr>
          <w:color w:val="000000"/>
          <w:sz w:val="21"/>
          <w:szCs w:val="21"/>
        </w:rPr>
        <w:t xml:space="preserve"> or by order of a court or other public body that has jurisdiction over the Sub-licensee.</w:t>
      </w:r>
    </w:p>
    <w:p w14:paraId="70714673"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Before making a disclosure pursuant to Clause 3.2, the Sub-licensee shall, if the circumstances permit:</w:t>
      </w:r>
    </w:p>
    <w:p w14:paraId="44A8A483"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notify the Service Provider in writing o</w:t>
      </w:r>
      <w:r>
        <w:rPr>
          <w:color w:val="000000"/>
          <w:sz w:val="21"/>
          <w:szCs w:val="21"/>
        </w:rPr>
        <w:t>f the proposed disclosure as soon as possible (and if possible before the court or other public body orders the disclosure of the Confidential Information); and</w:t>
      </w:r>
    </w:p>
    <w:p w14:paraId="14BBFD73"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ask the court or other public body to treat the Confidential Information as confidential.</w:t>
      </w:r>
    </w:p>
    <w:p w14:paraId="0AF6DFAD"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Gener</w:t>
      </w:r>
      <w:r>
        <w:rPr>
          <w:b/>
          <w:bCs/>
          <w:color w:val="000000"/>
          <w:sz w:val="21"/>
          <w:szCs w:val="21"/>
        </w:rPr>
        <w:t>al</w:t>
      </w:r>
    </w:p>
    <w:p w14:paraId="3BEF9A7C"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The Sub-licensee acknowledges and agrees that all property, including intellectual property rights, in Confidential Information disclosed to it by the Service Provider shall remain with and be vested in the Service Provider.</w:t>
      </w:r>
    </w:p>
    <w:p w14:paraId="72064815"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This Agreement does not include, expressly or by implication, any representations, warranties or other obligations:</w:t>
      </w:r>
    </w:p>
    <w:p w14:paraId="760840F1"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to grant the Sub-licensee any licence or rights other than as may be expressly stated in the Sub-licence;</w:t>
      </w:r>
    </w:p>
    <w:p w14:paraId="35B04C5F"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to require the Service Provider to</w:t>
      </w:r>
      <w:r>
        <w:rPr>
          <w:color w:val="000000"/>
          <w:sz w:val="21"/>
          <w:szCs w:val="21"/>
        </w:rPr>
        <w:t xml:space="preserve"> disclose, continue disclosing or update any Confidential Information; or</w:t>
      </w:r>
    </w:p>
    <w:p w14:paraId="476EA4DD"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as to the accuracy, efficacy, completeness, capabilities, safety or any other qualities whatsoever of any Information or materials provided pursuant to or in anticipation of the Sub-</w:t>
      </w:r>
      <w:r>
        <w:rPr>
          <w:color w:val="000000"/>
          <w:sz w:val="21"/>
          <w:szCs w:val="21"/>
        </w:rPr>
        <w:t>licence.</w:t>
      </w:r>
    </w:p>
    <w:p w14:paraId="7AB78FA4"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The rights, powers and remedies provided in this Agreement are cumulative and not exclusive of any rights, powers or remedies provided by law. No failure or delay by either Party to exercise any right, power or remedy will operate as a waiver of i</w:t>
      </w:r>
      <w:r>
        <w:rPr>
          <w:color w:val="000000"/>
          <w:sz w:val="21"/>
          <w:szCs w:val="21"/>
        </w:rPr>
        <w:t>t nor will any partial exercise preclude any further exercise of the same, or of some other right, power or remedy.</w:t>
      </w:r>
    </w:p>
    <w:p w14:paraId="6F0E9337"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 xml:space="preserve">Without prejudice to any other rights or remedies that the Service Provider may have, the Sub-licensee acknowledges and agrees that damages </w:t>
      </w:r>
      <w:r>
        <w:rPr>
          <w:color w:val="000000"/>
          <w:sz w:val="21"/>
          <w:szCs w:val="21"/>
        </w:rPr>
        <w:t>alone may not be an adequate remedy for any breach by the Sub-licensee of any of the provisions of this Agreement. Accordingly, the Sub-licensee acknowledges that the Service Provider shall be entitled to the remedies of injunction and specific performance</w:t>
      </w:r>
      <w:r>
        <w:rPr>
          <w:color w:val="000000"/>
          <w:sz w:val="21"/>
          <w:szCs w:val="21"/>
        </w:rPr>
        <w:t xml:space="preserve"> as well as any other equitable relief for any threatened or actual breach of this Agreement and/or breach of confidence and that no proof of special damages shall be necessary for the enforcement of such remedies.</w:t>
      </w:r>
    </w:p>
    <w:p w14:paraId="1D32A2F0"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The maximum liability of the Sub-licensee</w:t>
      </w:r>
      <w:r>
        <w:rPr>
          <w:color w:val="000000"/>
          <w:sz w:val="21"/>
          <w:szCs w:val="21"/>
        </w:rPr>
        <w:t xml:space="preserve"> to the Service Provider for any breach of this Agreement shall be limited to ten million pounds (£10,000,000).</w:t>
      </w:r>
    </w:p>
    <w:p w14:paraId="3AA191B4"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For the purposes of the Contracts (Rights of Third Parties) Act 1999 no one other than the Parties has the right to enforce the terms of this Ag</w:t>
      </w:r>
      <w:r>
        <w:rPr>
          <w:color w:val="000000"/>
          <w:sz w:val="21"/>
          <w:szCs w:val="21"/>
        </w:rPr>
        <w:t>reement.</w:t>
      </w:r>
    </w:p>
    <w:p w14:paraId="635F68ED"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Each Party shall be responsible for all costs incurred by it or on its behalf in connection with this Agreement.</w:t>
      </w:r>
    </w:p>
    <w:p w14:paraId="5E493153"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This Agreement may be executed in any number of counterparts and by the Parties on separate counterparts, but shall not be effective u</w:t>
      </w:r>
      <w:r>
        <w:rPr>
          <w:color w:val="000000"/>
          <w:sz w:val="21"/>
          <w:szCs w:val="21"/>
        </w:rPr>
        <w:t>ntil each Party has executed at least one counterpart. Each counterpart shall constitute an original of this Agreement, but all the counterparts shall together constitute but one and the same instrument.</w:t>
      </w:r>
    </w:p>
    <w:p w14:paraId="38F62634"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Notices</w:t>
      </w:r>
    </w:p>
    <w:p w14:paraId="562465B1"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Any notice to be given under this Agreement (each a “Notice”) shall be given in writing and shall be delivered by hand and shall be deemed to have been duly given at the time of delivery provided that such Notice is sent to the relevant physical address, a</w:t>
      </w:r>
      <w:r>
        <w:rPr>
          <w:color w:val="000000"/>
          <w:sz w:val="21"/>
          <w:szCs w:val="21"/>
        </w:rPr>
        <w:t>nd expressly marked for the attention of the relevant individual, set out in Clause 5.2.</w:t>
      </w:r>
    </w:p>
    <w:p w14:paraId="4D5E181C" w14:textId="77777777" w:rsidR="007960A8" w:rsidRDefault="00A26397">
      <w:pPr>
        <w:widowControl/>
        <w:numPr>
          <w:ilvl w:val="1"/>
          <w:numId w:val="17"/>
        </w:numPr>
        <w:pBdr>
          <w:top w:val="nil"/>
          <w:left w:val="nil"/>
          <w:bottom w:val="nil"/>
          <w:right w:val="nil"/>
          <w:between w:val="nil"/>
        </w:pBdr>
        <w:spacing w:after="240"/>
        <w:jc w:val="both"/>
      </w:pPr>
      <w:bookmarkStart w:id="123" w:name="bookmark=id.ptysqnf5kuyt" w:colFirst="0" w:colLast="0"/>
      <w:bookmarkEnd w:id="123"/>
      <w:r>
        <w:rPr>
          <w:color w:val="000000"/>
          <w:sz w:val="21"/>
          <w:szCs w:val="21"/>
        </w:rPr>
        <w:t>Any Notice:</w:t>
      </w:r>
    </w:p>
    <w:p w14:paraId="2DCFB7B9"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if to be given to the Service Provider shall be sent to:</w:t>
      </w:r>
    </w:p>
    <w:p w14:paraId="14C80DF9"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[Address]</w:t>
      </w:r>
    </w:p>
    <w:p w14:paraId="59CCD429"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Attention: [Contact name and/or position, e.g. “The Finance Director”]</w:t>
      </w:r>
    </w:p>
    <w:p w14:paraId="21F40668" w14:textId="77777777" w:rsidR="007960A8" w:rsidRDefault="007960A8">
      <w:pPr>
        <w:pBdr>
          <w:top w:val="nil"/>
          <w:left w:val="nil"/>
          <w:bottom w:val="nil"/>
          <w:right w:val="nil"/>
          <w:between w:val="nil"/>
        </w:pBdr>
        <w:spacing w:after="120"/>
        <w:ind w:left="2517"/>
        <w:rPr>
          <w:color w:val="000000"/>
          <w:sz w:val="21"/>
          <w:szCs w:val="21"/>
        </w:rPr>
      </w:pPr>
    </w:p>
    <w:p w14:paraId="29A691A2" w14:textId="77777777" w:rsidR="007960A8" w:rsidRDefault="00A26397">
      <w:pPr>
        <w:widowControl/>
        <w:numPr>
          <w:ilvl w:val="2"/>
          <w:numId w:val="17"/>
        </w:numPr>
        <w:pBdr>
          <w:top w:val="nil"/>
          <w:left w:val="nil"/>
          <w:bottom w:val="nil"/>
          <w:right w:val="nil"/>
          <w:between w:val="nil"/>
        </w:pBdr>
        <w:spacing w:after="240"/>
        <w:jc w:val="both"/>
      </w:pPr>
      <w:r>
        <w:rPr>
          <w:color w:val="000000"/>
          <w:sz w:val="21"/>
          <w:szCs w:val="21"/>
        </w:rPr>
        <w:t>if to be given to the Sub-licensee shall be sent to:</w:t>
      </w:r>
    </w:p>
    <w:p w14:paraId="762DC31F"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[Name of Organisation]</w:t>
      </w:r>
    </w:p>
    <w:p w14:paraId="54A38335"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[Address]</w:t>
      </w:r>
    </w:p>
    <w:p w14:paraId="1FED6757" w14:textId="77777777" w:rsidR="007960A8" w:rsidRDefault="00A26397">
      <w:pPr>
        <w:pBdr>
          <w:top w:val="nil"/>
          <w:left w:val="nil"/>
          <w:bottom w:val="nil"/>
          <w:right w:val="nil"/>
          <w:between w:val="nil"/>
        </w:pBdr>
        <w:spacing w:after="120"/>
        <w:ind w:left="2517"/>
        <w:rPr>
          <w:color w:val="000000"/>
          <w:sz w:val="21"/>
          <w:szCs w:val="21"/>
        </w:rPr>
      </w:pPr>
      <w:r>
        <w:rPr>
          <w:color w:val="000000"/>
          <w:sz w:val="21"/>
          <w:szCs w:val="21"/>
        </w:rPr>
        <w:t>Attention: [             ]</w:t>
      </w:r>
    </w:p>
    <w:p w14:paraId="71A23B56" w14:textId="77777777" w:rsidR="007960A8" w:rsidRDefault="00A26397">
      <w:pPr>
        <w:keepNext/>
        <w:keepLines/>
        <w:widowControl/>
        <w:numPr>
          <w:ilvl w:val="0"/>
          <w:numId w:val="17"/>
        </w:numPr>
        <w:pBdr>
          <w:top w:val="nil"/>
          <w:left w:val="nil"/>
          <w:bottom w:val="nil"/>
          <w:right w:val="nil"/>
          <w:between w:val="nil"/>
        </w:pBdr>
        <w:spacing w:after="240"/>
        <w:jc w:val="both"/>
      </w:pPr>
      <w:r>
        <w:rPr>
          <w:b/>
          <w:bCs/>
          <w:color w:val="000000"/>
          <w:sz w:val="21"/>
          <w:szCs w:val="21"/>
        </w:rPr>
        <w:t>Governing law</w:t>
      </w:r>
    </w:p>
    <w:p w14:paraId="77CB3E10"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This Agreement shall be governed by, and construed in accordance with, English law and any matter claim or dispute arising out of or in connection with this Agreement whether contractual or non-contractual, shall be governed by and determined in accordance</w:t>
      </w:r>
      <w:r>
        <w:rPr>
          <w:color w:val="000000"/>
          <w:sz w:val="21"/>
          <w:szCs w:val="21"/>
        </w:rPr>
        <w:t xml:space="preserve"> with English law.</w:t>
      </w:r>
    </w:p>
    <w:p w14:paraId="4B18D456" w14:textId="77777777" w:rsidR="007960A8" w:rsidRDefault="00A26397">
      <w:pPr>
        <w:widowControl/>
        <w:numPr>
          <w:ilvl w:val="1"/>
          <w:numId w:val="17"/>
        </w:numPr>
        <w:pBdr>
          <w:top w:val="nil"/>
          <w:left w:val="nil"/>
          <w:bottom w:val="nil"/>
          <w:right w:val="nil"/>
          <w:between w:val="nil"/>
        </w:pBdr>
        <w:spacing w:after="240"/>
        <w:jc w:val="both"/>
      </w:pPr>
      <w:r>
        <w:rPr>
          <w:color w:val="000000"/>
          <w:sz w:val="21"/>
          <w:szCs w:val="21"/>
        </w:rPr>
        <w:t>Each Party hereby irrevocably submits to the exclusive jurisdiction of the English courts in respect of any claim or dispute arising out of or in connection with this Agreement.</w:t>
      </w:r>
    </w:p>
    <w:p w14:paraId="1296D012" w14:textId="77777777" w:rsidR="007960A8" w:rsidRDefault="007960A8">
      <w:pPr>
        <w:widowControl/>
        <w:pBdr>
          <w:top w:val="nil"/>
          <w:left w:val="nil"/>
          <w:bottom w:val="nil"/>
          <w:right w:val="nil"/>
          <w:between w:val="nil"/>
        </w:pBdr>
        <w:spacing w:after="120" w:line="480" w:lineRule="auto"/>
        <w:jc w:val="both"/>
        <w:rPr>
          <w:color w:val="000000"/>
          <w:sz w:val="21"/>
          <w:szCs w:val="21"/>
        </w:rPr>
      </w:pPr>
    </w:p>
    <w:p w14:paraId="3EB8FA70" w14:textId="77777777" w:rsidR="007960A8" w:rsidRDefault="00A26397">
      <w:pPr>
        <w:spacing w:after="240" w:line="276" w:lineRule="auto"/>
      </w:pPr>
      <w:r>
        <w:rPr>
          <w:b/>
          <w:bCs/>
        </w:rPr>
        <w:t>IN WITNESS</w:t>
      </w:r>
      <w:r>
        <w:t xml:space="preserve"> of the above this Agreement has been signed by </w:t>
      </w:r>
      <w:r>
        <w:t>the duly authorised representatives of the Parties on the date which appears at the head of page 1.</w:t>
      </w:r>
    </w:p>
    <w:p w14:paraId="596C617E" w14:textId="77777777" w:rsidR="007960A8" w:rsidRDefault="00A26397">
      <w:pPr>
        <w:spacing w:after="240" w:line="276" w:lineRule="auto"/>
      </w:pPr>
      <w:r>
        <w:rPr>
          <w:b/>
          <w:bCs/>
        </w:rPr>
        <w:t>For and on behalf</w:t>
      </w:r>
      <w:r>
        <w:t xml:space="preserve"> of [</w:t>
      </w:r>
      <w:r>
        <w:rPr>
          <w:highlight w:val="yellow"/>
        </w:rPr>
        <w:t>name of Service Provider</w:t>
      </w:r>
      <w:r>
        <w:t>]</w:t>
      </w:r>
    </w:p>
    <w:tbl>
      <w:tblPr>
        <w:tblStyle w:val="af0"/>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7960A8" w14:paraId="69E266BB" w14:textId="77777777">
        <w:tc>
          <w:tcPr>
            <w:tcW w:w="4508" w:type="dxa"/>
          </w:tcPr>
          <w:p w14:paraId="2DE51191" w14:textId="77777777" w:rsidR="007960A8" w:rsidRDefault="00A26397">
            <w:pPr>
              <w:spacing w:after="240" w:line="276" w:lineRule="auto"/>
            </w:pPr>
            <w:r>
              <w:t>Signature: ______________________________</w:t>
            </w:r>
          </w:p>
        </w:tc>
        <w:tc>
          <w:tcPr>
            <w:tcW w:w="4508" w:type="dxa"/>
          </w:tcPr>
          <w:p w14:paraId="47DFA5A4" w14:textId="77777777" w:rsidR="007960A8" w:rsidRDefault="00A26397">
            <w:pPr>
              <w:spacing w:after="240" w:line="276" w:lineRule="auto"/>
            </w:pPr>
            <w:r>
              <w:t>Date:</w:t>
            </w:r>
          </w:p>
        </w:tc>
      </w:tr>
      <w:tr w:rsidR="007960A8" w14:paraId="05A47233" w14:textId="77777777">
        <w:tc>
          <w:tcPr>
            <w:tcW w:w="4508" w:type="dxa"/>
          </w:tcPr>
          <w:p w14:paraId="2D8C1230" w14:textId="77777777" w:rsidR="007960A8" w:rsidRDefault="00A26397">
            <w:pPr>
              <w:spacing w:after="240" w:line="276" w:lineRule="auto"/>
            </w:pPr>
            <w:r>
              <w:t>Name:</w:t>
            </w:r>
          </w:p>
        </w:tc>
        <w:tc>
          <w:tcPr>
            <w:tcW w:w="4508" w:type="dxa"/>
          </w:tcPr>
          <w:p w14:paraId="71A297BF" w14:textId="77777777" w:rsidR="007960A8" w:rsidRDefault="00A26397">
            <w:pPr>
              <w:spacing w:after="240" w:line="276" w:lineRule="auto"/>
            </w:pPr>
            <w:r>
              <w:t>Position:</w:t>
            </w:r>
          </w:p>
        </w:tc>
      </w:tr>
    </w:tbl>
    <w:p w14:paraId="10BDD317" w14:textId="77777777" w:rsidR="007960A8" w:rsidRDefault="007960A8">
      <w:pPr>
        <w:spacing w:after="240" w:line="276" w:lineRule="auto"/>
      </w:pPr>
    </w:p>
    <w:p w14:paraId="5D57D48C" w14:textId="77777777" w:rsidR="007960A8" w:rsidRDefault="00A26397">
      <w:pPr>
        <w:spacing w:after="240" w:line="276" w:lineRule="auto"/>
      </w:pPr>
      <w:r>
        <w:rPr>
          <w:b/>
          <w:bCs/>
        </w:rPr>
        <w:t>For and on behalf</w:t>
      </w:r>
      <w:r>
        <w:t xml:space="preserve"> of [</w:t>
      </w:r>
      <w:r>
        <w:rPr>
          <w:highlight w:val="yellow"/>
        </w:rPr>
        <w:t>name of Sub-licensee</w:t>
      </w:r>
      <w:r>
        <w:t>]</w:t>
      </w:r>
    </w:p>
    <w:p w14:paraId="0D81EBBC" w14:textId="77777777" w:rsidR="007960A8" w:rsidRDefault="007960A8">
      <w:pPr>
        <w:spacing w:after="240" w:line="276" w:lineRule="auto"/>
      </w:pPr>
    </w:p>
    <w:tbl>
      <w:tblPr>
        <w:tblStyle w:val="af1"/>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7960A8" w14:paraId="5042E299" w14:textId="77777777">
        <w:tc>
          <w:tcPr>
            <w:tcW w:w="4508" w:type="dxa"/>
          </w:tcPr>
          <w:p w14:paraId="4C3D3BDA" w14:textId="77777777" w:rsidR="007960A8" w:rsidRDefault="00A26397">
            <w:pPr>
              <w:spacing w:after="240" w:line="276" w:lineRule="auto"/>
            </w:pPr>
            <w:r>
              <w:t>Signature: ______________________________</w:t>
            </w:r>
          </w:p>
        </w:tc>
        <w:tc>
          <w:tcPr>
            <w:tcW w:w="4508" w:type="dxa"/>
          </w:tcPr>
          <w:p w14:paraId="642DE8A5" w14:textId="77777777" w:rsidR="007960A8" w:rsidRDefault="00A26397">
            <w:pPr>
              <w:spacing w:after="240" w:line="276" w:lineRule="auto"/>
            </w:pPr>
            <w:r>
              <w:t>Date:</w:t>
            </w:r>
          </w:p>
        </w:tc>
      </w:tr>
      <w:tr w:rsidR="007960A8" w14:paraId="552848F5" w14:textId="77777777">
        <w:tc>
          <w:tcPr>
            <w:tcW w:w="4508" w:type="dxa"/>
          </w:tcPr>
          <w:p w14:paraId="30FBED90" w14:textId="77777777" w:rsidR="007960A8" w:rsidRDefault="00A26397">
            <w:pPr>
              <w:spacing w:after="240" w:line="276" w:lineRule="auto"/>
            </w:pPr>
            <w:r>
              <w:t>Name:</w:t>
            </w:r>
          </w:p>
        </w:tc>
        <w:tc>
          <w:tcPr>
            <w:tcW w:w="4508" w:type="dxa"/>
          </w:tcPr>
          <w:p w14:paraId="4BD568F4" w14:textId="77777777" w:rsidR="007960A8" w:rsidRDefault="00A26397">
            <w:pPr>
              <w:spacing w:after="240" w:line="276" w:lineRule="auto"/>
            </w:pPr>
            <w:r>
              <w:t>Position:</w:t>
            </w:r>
          </w:p>
        </w:tc>
      </w:tr>
    </w:tbl>
    <w:p w14:paraId="0583C390" w14:textId="77777777" w:rsidR="007960A8" w:rsidRDefault="007960A8">
      <w:pPr>
        <w:spacing w:after="240" w:line="276" w:lineRule="auto"/>
      </w:pPr>
    </w:p>
    <w:p w14:paraId="2AF215A6" w14:textId="77777777" w:rsidR="007960A8" w:rsidRDefault="007960A8">
      <w:pPr>
        <w:widowControl/>
        <w:spacing w:after="160" w:line="259" w:lineRule="auto"/>
        <w:rPr>
          <w:b/>
          <w:bCs/>
          <w:u w:val="single"/>
        </w:rPr>
      </w:pPr>
    </w:p>
    <w:p w14:paraId="24354CD6" w14:textId="77777777" w:rsidR="007960A8" w:rsidRDefault="007960A8">
      <w:pPr>
        <w:widowControl/>
        <w:spacing w:after="160" w:line="259" w:lineRule="auto"/>
        <w:rPr>
          <w:b/>
          <w:bCs/>
          <w:u w:val="single"/>
        </w:rPr>
      </w:pPr>
    </w:p>
    <w:p w14:paraId="2BD164D1" w14:textId="77777777" w:rsidR="007960A8" w:rsidRDefault="007960A8">
      <w:pPr>
        <w:widowControl/>
        <w:spacing w:after="160" w:line="259" w:lineRule="auto"/>
        <w:rPr>
          <w:b/>
          <w:bCs/>
          <w:u w:val="single"/>
        </w:rPr>
      </w:pPr>
    </w:p>
    <w:p w14:paraId="1B156CCF" w14:textId="77777777" w:rsidR="007960A8" w:rsidRDefault="007960A8">
      <w:pPr>
        <w:widowControl/>
        <w:spacing w:after="160" w:line="259" w:lineRule="auto"/>
        <w:rPr>
          <w:b/>
          <w:bCs/>
          <w:u w:val="single"/>
        </w:rPr>
        <w:sectPr w:rsidR="007960A8">
          <w:pgSz w:w="11910" w:h="16840"/>
          <w:pgMar w:top="2080" w:right="1220" w:bottom="1200" w:left="1220" w:header="838" w:footer="1000" w:gutter="0"/>
          <w:cols w:space="720"/>
        </w:sectPr>
      </w:pPr>
    </w:p>
    <w:p w14:paraId="1FFC1499" w14:textId="77777777" w:rsidR="007960A8" w:rsidRDefault="007960A8">
      <w:pPr>
        <w:widowControl/>
        <w:spacing w:after="160" w:line="259" w:lineRule="auto"/>
        <w:rPr>
          <w:b/>
          <w:bCs/>
          <w:u w:val="single"/>
        </w:rPr>
      </w:pPr>
    </w:p>
    <w:p w14:paraId="24AEEB6E" w14:textId="77777777" w:rsidR="007960A8" w:rsidRDefault="00A26397">
      <w:pPr>
        <w:spacing w:after="160" w:line="259" w:lineRule="auto"/>
        <w:rPr>
          <w:b/>
          <w:bCs/>
          <w:sz w:val="21"/>
          <w:szCs w:val="21"/>
        </w:rPr>
      </w:pPr>
      <w:r>
        <w:rPr>
          <w:b/>
          <w:bCs/>
          <w:sz w:val="21"/>
          <w:szCs w:val="21"/>
        </w:rPr>
        <w:t>Schedule [</w:t>
      </w:r>
      <w:r>
        <w:rPr>
          <w:sz w:val="21"/>
          <w:szCs w:val="21"/>
        </w:rPr>
        <w:t>Guidance: insert schedule ref here</w:t>
      </w:r>
      <w:r>
        <w:rPr>
          <w:b/>
          <w:bCs/>
          <w:sz w:val="21"/>
          <w:szCs w:val="21"/>
        </w:rPr>
        <w:t xml:space="preserve">] </w:t>
      </w:r>
      <w:r>
        <w:rPr>
          <w:b/>
          <w:bCs/>
          <w:sz w:val="21"/>
          <w:szCs w:val="21"/>
          <w:u w:val="single"/>
        </w:rPr>
        <w:t>Financial Difficulties</w:t>
      </w:r>
    </w:p>
    <w:p w14:paraId="658A9720" w14:textId="77777777" w:rsidR="007960A8" w:rsidRDefault="007960A8">
      <w:pPr>
        <w:rPr>
          <w:rFonts w:ascii="Calibri" w:eastAsia="Calibri" w:hAnsi="Calibri" w:cs="Calibri"/>
          <w:sz w:val="21"/>
          <w:szCs w:val="21"/>
        </w:rPr>
      </w:pPr>
    </w:p>
    <w:p w14:paraId="10D4A15C"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 xml:space="preserve">Definitions </w:t>
      </w:r>
    </w:p>
    <w:p w14:paraId="483F0E21"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In this Schedule, the following words shall have the following: </w:t>
      </w:r>
    </w:p>
    <w:tbl>
      <w:tblPr>
        <w:tblStyle w:val="af2"/>
        <w:tblW w:w="7654" w:type="dxa"/>
        <w:tblInd w:w="1413" w:type="dxa"/>
        <w:tblBorders>
          <w:top w:val="nil"/>
          <w:left w:val="nil"/>
          <w:bottom w:val="nil"/>
          <w:right w:val="nil"/>
          <w:insideH w:val="nil"/>
          <w:insideV w:val="nil"/>
        </w:tblBorders>
        <w:tblLayout w:type="fixed"/>
        <w:tblLook w:val="0400" w:firstRow="0" w:lastRow="0" w:firstColumn="0" w:lastColumn="0" w:noHBand="0" w:noVBand="1"/>
      </w:tblPr>
      <w:tblGrid>
        <w:gridCol w:w="2410"/>
        <w:gridCol w:w="5184"/>
        <w:gridCol w:w="60"/>
      </w:tblGrid>
      <w:tr w:rsidR="007960A8" w14:paraId="2FAD031A" w14:textId="77777777">
        <w:tc>
          <w:tcPr>
            <w:tcW w:w="2410" w:type="dxa"/>
          </w:tcPr>
          <w:p w14:paraId="360DDB4F" w14:textId="77777777" w:rsidR="007960A8" w:rsidRDefault="00A26397">
            <w:pPr>
              <w:spacing w:after="4" w:line="251" w:lineRule="auto"/>
              <w:rPr>
                <w:b/>
                <w:bCs/>
                <w:sz w:val="21"/>
                <w:szCs w:val="21"/>
              </w:rPr>
            </w:pPr>
            <w:r>
              <w:rPr>
                <w:b/>
                <w:bCs/>
                <w:sz w:val="21"/>
                <w:szCs w:val="21"/>
              </w:rPr>
              <w:t>“Approval”</w:t>
            </w:r>
          </w:p>
        </w:tc>
        <w:tc>
          <w:tcPr>
            <w:tcW w:w="5244" w:type="dxa"/>
            <w:gridSpan w:val="2"/>
          </w:tcPr>
          <w:p w14:paraId="4CA33EF0" w14:textId="77777777" w:rsidR="007960A8" w:rsidRDefault="00A26397">
            <w:pPr>
              <w:spacing w:after="4" w:line="251" w:lineRule="auto"/>
              <w:rPr>
                <w:sz w:val="21"/>
                <w:szCs w:val="21"/>
              </w:rPr>
            </w:pPr>
            <w:r>
              <w:rPr>
                <w:sz w:val="21"/>
                <w:szCs w:val="21"/>
              </w:rPr>
              <w:t xml:space="preserve">the prior written consent of the </w:t>
            </w:r>
            <w:r>
              <w:rPr>
                <w:i/>
                <w:iCs/>
                <w:sz w:val="21"/>
                <w:szCs w:val="21"/>
              </w:rPr>
              <w:t>Client</w:t>
            </w:r>
            <w:r>
              <w:rPr>
                <w:sz w:val="21"/>
                <w:szCs w:val="21"/>
              </w:rPr>
              <w:t xml:space="preserve"> and “</w:t>
            </w:r>
            <w:r>
              <w:rPr>
                <w:b/>
                <w:bCs/>
                <w:sz w:val="21"/>
                <w:szCs w:val="21"/>
              </w:rPr>
              <w:t>Approve</w:t>
            </w:r>
            <w:r>
              <w:rPr>
                <w:sz w:val="21"/>
                <w:szCs w:val="21"/>
              </w:rPr>
              <w:t>” and “</w:t>
            </w:r>
            <w:r>
              <w:rPr>
                <w:b/>
                <w:bCs/>
                <w:sz w:val="21"/>
                <w:szCs w:val="21"/>
              </w:rPr>
              <w:t>Approved</w:t>
            </w:r>
            <w:r>
              <w:rPr>
                <w:sz w:val="21"/>
                <w:szCs w:val="21"/>
              </w:rPr>
              <w:t>” shall be construed accordingly;</w:t>
            </w:r>
          </w:p>
          <w:p w14:paraId="2DB263D7" w14:textId="77777777" w:rsidR="007960A8" w:rsidRDefault="007960A8">
            <w:pPr>
              <w:spacing w:after="4" w:line="251" w:lineRule="auto"/>
              <w:rPr>
                <w:sz w:val="21"/>
                <w:szCs w:val="21"/>
              </w:rPr>
            </w:pPr>
          </w:p>
        </w:tc>
      </w:tr>
      <w:tr w:rsidR="007960A8" w14:paraId="6D705B7C" w14:textId="77777777">
        <w:tc>
          <w:tcPr>
            <w:tcW w:w="2410" w:type="dxa"/>
          </w:tcPr>
          <w:p w14:paraId="1B5CC7AD" w14:textId="77777777" w:rsidR="007960A8" w:rsidRDefault="00A26397">
            <w:pPr>
              <w:spacing w:after="4" w:line="251" w:lineRule="auto"/>
              <w:rPr>
                <w:b/>
                <w:bCs/>
                <w:sz w:val="21"/>
                <w:szCs w:val="21"/>
              </w:rPr>
            </w:pPr>
            <w:r>
              <w:rPr>
                <w:b/>
                <w:bCs/>
                <w:sz w:val="21"/>
                <w:szCs w:val="21"/>
              </w:rPr>
              <w:t>"Contract Year”</w:t>
            </w:r>
          </w:p>
        </w:tc>
        <w:tc>
          <w:tcPr>
            <w:tcW w:w="5244" w:type="dxa"/>
            <w:gridSpan w:val="2"/>
          </w:tcPr>
          <w:p w14:paraId="5164F969" w14:textId="77777777" w:rsidR="007960A8" w:rsidRDefault="00A26397">
            <w:pPr>
              <w:spacing w:after="4" w:line="251" w:lineRule="auto"/>
              <w:rPr>
                <w:sz w:val="21"/>
                <w:szCs w:val="21"/>
              </w:rPr>
            </w:pPr>
            <w:r>
              <w:rPr>
                <w:sz w:val="21"/>
                <w:szCs w:val="21"/>
              </w:rPr>
              <w:t xml:space="preserve"> a consecutive period of twelve (12) Months commencing on the Contract Date or each anniversary thereof;</w:t>
            </w:r>
          </w:p>
          <w:p w14:paraId="29C10883" w14:textId="77777777" w:rsidR="007960A8" w:rsidRDefault="007960A8">
            <w:pPr>
              <w:spacing w:after="4" w:line="251" w:lineRule="auto"/>
              <w:rPr>
                <w:sz w:val="21"/>
                <w:szCs w:val="21"/>
              </w:rPr>
            </w:pPr>
          </w:p>
        </w:tc>
      </w:tr>
      <w:tr w:rsidR="007960A8" w14:paraId="673D9063" w14:textId="77777777">
        <w:tc>
          <w:tcPr>
            <w:tcW w:w="2410" w:type="dxa"/>
          </w:tcPr>
          <w:p w14:paraId="0A729258" w14:textId="77777777" w:rsidR="007960A8" w:rsidRDefault="00A26397">
            <w:pPr>
              <w:spacing w:after="4" w:line="251" w:lineRule="auto"/>
              <w:rPr>
                <w:b/>
                <w:bCs/>
                <w:sz w:val="21"/>
                <w:szCs w:val="21"/>
              </w:rPr>
            </w:pPr>
            <w:r>
              <w:rPr>
                <w:b/>
                <w:bCs/>
                <w:sz w:val="21"/>
                <w:szCs w:val="21"/>
              </w:rPr>
              <w:t xml:space="preserve">"Credit Rating Threshold" </w:t>
            </w:r>
          </w:p>
        </w:tc>
        <w:tc>
          <w:tcPr>
            <w:tcW w:w="5244" w:type="dxa"/>
            <w:gridSpan w:val="2"/>
          </w:tcPr>
          <w:p w14:paraId="6864FBD4" w14:textId="77777777" w:rsidR="007960A8" w:rsidRDefault="00A26397">
            <w:pPr>
              <w:spacing w:after="4" w:line="251" w:lineRule="auto"/>
              <w:rPr>
                <w:sz w:val="21"/>
                <w:szCs w:val="21"/>
              </w:rPr>
            </w:pPr>
            <w:r>
              <w:rPr>
                <w:sz w:val="21"/>
                <w:szCs w:val="21"/>
              </w:rPr>
              <w:t>the minimum credit rating level for the Monitored Company as set out in the third Column of the table at Annex 2;</w:t>
            </w:r>
          </w:p>
          <w:p w14:paraId="051DE742" w14:textId="77777777" w:rsidR="007960A8" w:rsidRDefault="007960A8">
            <w:pPr>
              <w:spacing w:after="4" w:line="251" w:lineRule="auto"/>
              <w:rPr>
                <w:sz w:val="21"/>
                <w:szCs w:val="21"/>
              </w:rPr>
            </w:pPr>
          </w:p>
        </w:tc>
      </w:tr>
      <w:tr w:rsidR="007960A8" w14:paraId="0D5DFD29" w14:textId="77777777">
        <w:tc>
          <w:tcPr>
            <w:tcW w:w="2410" w:type="dxa"/>
          </w:tcPr>
          <w:p w14:paraId="3FD915C2" w14:textId="77777777" w:rsidR="007960A8" w:rsidRDefault="00A26397">
            <w:pPr>
              <w:spacing w:after="15"/>
              <w:rPr>
                <w:b/>
                <w:bCs/>
                <w:sz w:val="21"/>
                <w:szCs w:val="21"/>
              </w:rPr>
            </w:pPr>
            <w:r>
              <w:rPr>
                <w:b/>
                <w:bCs/>
                <w:sz w:val="21"/>
                <w:szCs w:val="21"/>
              </w:rPr>
              <w:t>"Financial Distress Event"</w:t>
            </w:r>
          </w:p>
        </w:tc>
        <w:tc>
          <w:tcPr>
            <w:tcW w:w="5244" w:type="dxa"/>
            <w:gridSpan w:val="2"/>
          </w:tcPr>
          <w:p w14:paraId="06248D9F" w14:textId="77777777" w:rsidR="007960A8" w:rsidRDefault="00A26397">
            <w:pPr>
              <w:spacing w:after="15"/>
              <w:rPr>
                <w:sz w:val="21"/>
                <w:szCs w:val="21"/>
              </w:rPr>
            </w:pPr>
            <w:r>
              <w:rPr>
                <w:sz w:val="21"/>
                <w:szCs w:val="21"/>
              </w:rPr>
              <w:t xml:space="preserve">the occurrence or one or more of the following events: </w:t>
            </w:r>
          </w:p>
          <w:p w14:paraId="4359AD95" w14:textId="77777777" w:rsidR="007960A8" w:rsidRDefault="00A26397">
            <w:pPr>
              <w:widowControl/>
              <w:numPr>
                <w:ilvl w:val="3"/>
                <w:numId w:val="35"/>
              </w:numPr>
              <w:pBdr>
                <w:top w:val="nil"/>
                <w:left w:val="nil"/>
                <w:bottom w:val="nil"/>
                <w:right w:val="nil"/>
                <w:between w:val="nil"/>
              </w:pBdr>
              <w:spacing w:after="240"/>
              <w:ind w:left="748"/>
              <w:jc w:val="both"/>
              <w:rPr>
                <w:color w:val="000000"/>
                <w:sz w:val="21"/>
                <w:szCs w:val="21"/>
              </w:rPr>
            </w:pPr>
            <w:r>
              <w:rPr>
                <w:color w:val="000000"/>
                <w:sz w:val="21"/>
                <w:szCs w:val="21"/>
              </w:rPr>
              <w:t xml:space="preserve">the credit rating of the Monitored Company dropping below the applicable Credit Rating Threshold; </w:t>
            </w:r>
          </w:p>
          <w:p w14:paraId="6264F608"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the Monitored Company issuing a profits warning to a stock exchange or mak</w:t>
            </w:r>
            <w:r>
              <w:rPr>
                <w:color w:val="000000"/>
                <w:sz w:val="21"/>
                <w:szCs w:val="21"/>
              </w:rPr>
              <w:t xml:space="preserve">ing any other public </w:t>
            </w:r>
          </w:p>
          <w:p w14:paraId="563F86FE"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 xml:space="preserve">announcement about a material </w:t>
            </w:r>
          </w:p>
          <w:p w14:paraId="5E2AA24D"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 xml:space="preserve">deterioration in its financial position or prospects; </w:t>
            </w:r>
          </w:p>
          <w:p w14:paraId="24A1509F"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there being a public investigation into improper financial accounting and reporting, suspected fraud or any other impropriety of the Monitored Compa</w:t>
            </w:r>
            <w:r>
              <w:rPr>
                <w:color w:val="000000"/>
                <w:sz w:val="21"/>
                <w:szCs w:val="21"/>
              </w:rPr>
              <w:t xml:space="preserve">ny;  </w:t>
            </w:r>
          </w:p>
          <w:p w14:paraId="5B9EA5C6"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 xml:space="preserve">Monitored Company committing a material breach of covenant to its lenders;  </w:t>
            </w:r>
          </w:p>
          <w:p w14:paraId="704A77BD"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 xml:space="preserve">a Key Subcontractor (where applicable) notifying the </w:t>
            </w:r>
            <w:r>
              <w:rPr>
                <w:i/>
                <w:iCs/>
                <w:color w:val="000000"/>
                <w:sz w:val="21"/>
                <w:szCs w:val="21"/>
              </w:rPr>
              <w:t>Client</w:t>
            </w:r>
            <w:r>
              <w:rPr>
                <w:color w:val="000000"/>
                <w:sz w:val="21"/>
                <w:szCs w:val="21"/>
              </w:rPr>
              <w:t xml:space="preserve"> that the </w:t>
            </w:r>
            <w:r>
              <w:rPr>
                <w:i/>
                <w:iCs/>
                <w:color w:val="000000"/>
                <w:sz w:val="21"/>
                <w:szCs w:val="21"/>
              </w:rPr>
              <w:t>Service Provider</w:t>
            </w:r>
            <w:r>
              <w:rPr>
                <w:color w:val="000000"/>
                <w:sz w:val="21"/>
                <w:szCs w:val="21"/>
              </w:rPr>
              <w:t xml:space="preserve"> has not satisfied any sums properly due under a specified invoice and not subject to a </w:t>
            </w:r>
            <w:r>
              <w:rPr>
                <w:color w:val="000000"/>
                <w:sz w:val="21"/>
                <w:szCs w:val="21"/>
              </w:rPr>
              <w:t xml:space="preserve">genuine dispute; or </w:t>
            </w:r>
          </w:p>
          <w:p w14:paraId="73E0938E" w14:textId="77777777" w:rsidR="007960A8" w:rsidRDefault="00A26397">
            <w:pPr>
              <w:widowControl/>
              <w:numPr>
                <w:ilvl w:val="3"/>
                <w:numId w:val="35"/>
              </w:numPr>
              <w:pBdr>
                <w:top w:val="nil"/>
                <w:left w:val="nil"/>
                <w:bottom w:val="nil"/>
                <w:right w:val="nil"/>
                <w:between w:val="nil"/>
              </w:pBdr>
              <w:spacing w:after="240"/>
              <w:ind w:left="737"/>
              <w:jc w:val="both"/>
              <w:rPr>
                <w:color w:val="000000"/>
                <w:sz w:val="21"/>
                <w:szCs w:val="21"/>
              </w:rPr>
            </w:pPr>
            <w:r>
              <w:rPr>
                <w:color w:val="000000"/>
                <w:sz w:val="21"/>
                <w:szCs w:val="21"/>
              </w:rPr>
              <w:t xml:space="preserve">any of the following: </w:t>
            </w:r>
          </w:p>
          <w:p w14:paraId="09899F35" w14:textId="77777777" w:rsidR="007960A8" w:rsidRDefault="00A26397">
            <w:pPr>
              <w:widowControl/>
              <w:numPr>
                <w:ilvl w:val="4"/>
                <w:numId w:val="17"/>
              </w:numPr>
              <w:pBdr>
                <w:top w:val="nil"/>
                <w:left w:val="nil"/>
                <w:bottom w:val="nil"/>
                <w:right w:val="nil"/>
                <w:between w:val="nil"/>
              </w:pBdr>
              <w:spacing w:after="240"/>
              <w:ind w:left="1446"/>
              <w:jc w:val="both"/>
              <w:rPr>
                <w:color w:val="000000"/>
                <w:sz w:val="21"/>
                <w:szCs w:val="21"/>
              </w:rPr>
            </w:pPr>
            <w:r>
              <w:rPr>
                <w:color w:val="000000"/>
                <w:sz w:val="21"/>
                <w:szCs w:val="21"/>
              </w:rPr>
              <w:t xml:space="preserve">commencement of any litigation against the Monitored Company with respect to financial indebtedness or obligations under a contract;  </w:t>
            </w:r>
          </w:p>
          <w:p w14:paraId="7FAD6807" w14:textId="77777777" w:rsidR="007960A8" w:rsidRDefault="00A26397">
            <w:pPr>
              <w:widowControl/>
              <w:numPr>
                <w:ilvl w:val="4"/>
                <w:numId w:val="17"/>
              </w:numPr>
              <w:pBdr>
                <w:top w:val="nil"/>
                <w:left w:val="nil"/>
                <w:bottom w:val="nil"/>
                <w:right w:val="nil"/>
                <w:between w:val="nil"/>
              </w:pBdr>
              <w:spacing w:after="240"/>
              <w:ind w:left="1446"/>
              <w:jc w:val="both"/>
              <w:rPr>
                <w:color w:val="000000"/>
                <w:sz w:val="21"/>
                <w:szCs w:val="21"/>
              </w:rPr>
            </w:pPr>
            <w:r>
              <w:rPr>
                <w:color w:val="000000"/>
                <w:sz w:val="21"/>
                <w:szCs w:val="21"/>
              </w:rPr>
              <w:t xml:space="preserve">non-payment by the Monitored Company of any financial indebtedness; </w:t>
            </w:r>
          </w:p>
          <w:p w14:paraId="3A7CC217" w14:textId="77777777" w:rsidR="007960A8" w:rsidRDefault="00A26397">
            <w:pPr>
              <w:widowControl/>
              <w:numPr>
                <w:ilvl w:val="4"/>
                <w:numId w:val="17"/>
              </w:numPr>
              <w:pBdr>
                <w:top w:val="nil"/>
                <w:left w:val="nil"/>
                <w:bottom w:val="nil"/>
                <w:right w:val="nil"/>
                <w:between w:val="nil"/>
              </w:pBdr>
              <w:spacing w:after="240"/>
              <w:ind w:left="1446"/>
              <w:jc w:val="both"/>
              <w:rPr>
                <w:color w:val="000000"/>
                <w:sz w:val="21"/>
                <w:szCs w:val="21"/>
              </w:rPr>
            </w:pPr>
            <w:r>
              <w:rPr>
                <w:color w:val="000000"/>
                <w:sz w:val="21"/>
                <w:szCs w:val="21"/>
              </w:rPr>
              <w:t xml:space="preserve">any financial indebtedness of the Monitored Company becoming due as a result of an event of default; or </w:t>
            </w:r>
          </w:p>
          <w:p w14:paraId="5F2EB569" w14:textId="77777777" w:rsidR="007960A8" w:rsidRDefault="00A26397">
            <w:pPr>
              <w:widowControl/>
              <w:numPr>
                <w:ilvl w:val="4"/>
                <w:numId w:val="17"/>
              </w:numPr>
              <w:pBdr>
                <w:top w:val="nil"/>
                <w:left w:val="nil"/>
                <w:bottom w:val="nil"/>
                <w:right w:val="nil"/>
                <w:between w:val="nil"/>
              </w:pBdr>
              <w:spacing w:after="240"/>
              <w:ind w:left="1446"/>
              <w:jc w:val="both"/>
              <w:rPr>
                <w:color w:val="000000"/>
                <w:sz w:val="21"/>
                <w:szCs w:val="21"/>
              </w:rPr>
            </w:pPr>
            <w:r>
              <w:rPr>
                <w:color w:val="000000"/>
                <w:sz w:val="21"/>
                <w:szCs w:val="21"/>
              </w:rPr>
              <w:t>the cancellation or suspension of any financial indebtedness in respect of the Monitored Company</w:t>
            </w:r>
          </w:p>
          <w:p w14:paraId="1DF25ACF" w14:textId="77777777" w:rsidR="007960A8" w:rsidRDefault="00A26397">
            <w:pPr>
              <w:spacing w:after="15"/>
              <w:rPr>
                <w:sz w:val="21"/>
                <w:szCs w:val="21"/>
              </w:rPr>
            </w:pPr>
            <w:r>
              <w:rPr>
                <w:sz w:val="21"/>
                <w:szCs w:val="21"/>
              </w:rPr>
              <w:t xml:space="preserve">in each case which the </w:t>
            </w:r>
            <w:r>
              <w:rPr>
                <w:i/>
                <w:iCs/>
                <w:sz w:val="21"/>
                <w:szCs w:val="21"/>
              </w:rPr>
              <w:t>Client</w:t>
            </w:r>
            <w:r>
              <w:rPr>
                <w:sz w:val="21"/>
                <w:szCs w:val="21"/>
              </w:rPr>
              <w:t xml:space="preserve"> reasonably believes (or </w:t>
            </w:r>
            <w:r>
              <w:rPr>
                <w:sz w:val="21"/>
                <w:szCs w:val="21"/>
              </w:rPr>
              <w:t xml:space="preserve">would be likely reasonably to believe) could directly impact on the continued performance of the Contract and delivery of the </w:t>
            </w:r>
            <w:r>
              <w:rPr>
                <w:i/>
                <w:iCs/>
                <w:sz w:val="21"/>
                <w:szCs w:val="21"/>
              </w:rPr>
              <w:t>services</w:t>
            </w:r>
            <w:r>
              <w:rPr>
                <w:sz w:val="21"/>
                <w:szCs w:val="21"/>
              </w:rPr>
              <w:t>;</w:t>
            </w:r>
          </w:p>
          <w:p w14:paraId="75926C9F" w14:textId="77777777" w:rsidR="007960A8" w:rsidRDefault="007960A8">
            <w:pPr>
              <w:spacing w:after="15"/>
              <w:rPr>
                <w:sz w:val="21"/>
                <w:szCs w:val="21"/>
              </w:rPr>
            </w:pPr>
          </w:p>
        </w:tc>
      </w:tr>
      <w:tr w:rsidR="007960A8" w14:paraId="65C88727" w14:textId="77777777">
        <w:tc>
          <w:tcPr>
            <w:tcW w:w="2410" w:type="dxa"/>
          </w:tcPr>
          <w:p w14:paraId="69C5C8DC" w14:textId="77777777" w:rsidR="007960A8" w:rsidRDefault="00A26397">
            <w:pPr>
              <w:spacing w:line="251" w:lineRule="auto"/>
              <w:rPr>
                <w:b/>
                <w:bCs/>
                <w:sz w:val="21"/>
                <w:szCs w:val="21"/>
              </w:rPr>
            </w:pPr>
            <w:r>
              <w:rPr>
                <w:b/>
                <w:bCs/>
                <w:sz w:val="21"/>
                <w:szCs w:val="21"/>
              </w:rPr>
              <w:t xml:space="preserve">"Financial Distress Service Continuity </w:t>
            </w:r>
          </w:p>
          <w:p w14:paraId="63B79E40" w14:textId="77777777" w:rsidR="007960A8" w:rsidRDefault="00A26397">
            <w:pPr>
              <w:spacing w:after="15"/>
              <w:rPr>
                <w:b/>
                <w:bCs/>
                <w:sz w:val="21"/>
                <w:szCs w:val="21"/>
              </w:rPr>
            </w:pPr>
            <w:r>
              <w:rPr>
                <w:b/>
                <w:bCs/>
                <w:sz w:val="21"/>
                <w:szCs w:val="21"/>
              </w:rPr>
              <w:t>Plan"</w:t>
            </w:r>
          </w:p>
        </w:tc>
        <w:tc>
          <w:tcPr>
            <w:tcW w:w="5244" w:type="dxa"/>
            <w:gridSpan w:val="2"/>
          </w:tcPr>
          <w:p w14:paraId="163EE088" w14:textId="77777777" w:rsidR="007960A8" w:rsidRDefault="00A26397">
            <w:pPr>
              <w:spacing w:after="15"/>
              <w:rPr>
                <w:sz w:val="21"/>
                <w:szCs w:val="21"/>
              </w:rPr>
            </w:pPr>
            <w:r>
              <w:rPr>
                <w:sz w:val="21"/>
                <w:szCs w:val="21"/>
              </w:rPr>
              <w:t xml:space="preserve">a plan setting out how the </w:t>
            </w:r>
            <w:r>
              <w:rPr>
                <w:i/>
                <w:iCs/>
                <w:sz w:val="21"/>
                <w:szCs w:val="21"/>
              </w:rPr>
              <w:t>Service Provider</w:t>
            </w:r>
            <w:r>
              <w:rPr>
                <w:sz w:val="21"/>
                <w:szCs w:val="21"/>
              </w:rPr>
              <w:t xml:space="preserve"> will ensure the continued pe</w:t>
            </w:r>
            <w:r>
              <w:rPr>
                <w:sz w:val="21"/>
                <w:szCs w:val="21"/>
              </w:rPr>
              <w:t xml:space="preserve">rformance and delivery of the </w:t>
            </w:r>
            <w:r>
              <w:rPr>
                <w:i/>
                <w:iCs/>
                <w:sz w:val="21"/>
                <w:szCs w:val="21"/>
              </w:rPr>
              <w:t>services</w:t>
            </w:r>
            <w:r>
              <w:rPr>
                <w:sz w:val="21"/>
                <w:szCs w:val="21"/>
              </w:rPr>
              <w:t xml:space="preserve"> in accordance with the Contract in the event that a Financial Distress Event occurs;</w:t>
            </w:r>
          </w:p>
          <w:p w14:paraId="05388EBC" w14:textId="77777777" w:rsidR="007960A8" w:rsidRDefault="007960A8">
            <w:pPr>
              <w:spacing w:after="15"/>
              <w:rPr>
                <w:sz w:val="21"/>
                <w:szCs w:val="21"/>
              </w:rPr>
            </w:pPr>
          </w:p>
        </w:tc>
      </w:tr>
      <w:tr w:rsidR="007960A8" w14:paraId="4674E782" w14:textId="77777777">
        <w:trPr>
          <w:gridAfter w:val="1"/>
        </w:trPr>
        <w:tc>
          <w:tcPr>
            <w:tcW w:w="2410" w:type="dxa"/>
          </w:tcPr>
          <w:p w14:paraId="58F5E099" w14:textId="77777777" w:rsidR="007960A8" w:rsidRDefault="00A26397">
            <w:pPr>
              <w:spacing w:after="159" w:line="312" w:lineRule="auto"/>
              <w:ind w:right="355"/>
              <w:rPr>
                <w:b/>
                <w:bCs/>
                <w:sz w:val="21"/>
                <w:szCs w:val="21"/>
              </w:rPr>
            </w:pPr>
            <w:r>
              <w:rPr>
                <w:b/>
                <w:bCs/>
                <w:sz w:val="21"/>
                <w:szCs w:val="21"/>
              </w:rPr>
              <w:t>“Monitored Company”</w:t>
            </w:r>
            <w:r>
              <w:rPr>
                <w:noProof/>
              </w:rPr>
              <mc:AlternateContent>
                <mc:Choice Requires="wpg">
                  <w:drawing>
                    <wp:anchor distT="0" distB="0" distL="0" distR="0" simplePos="0" relativeHeight="251659264" behindDoc="1" locked="0" layoutInCell="1" hidden="0" allowOverlap="1" wp14:anchorId="4B13979A" wp14:editId="49ABD29A">
                      <wp:simplePos x="0" y="0"/>
                      <wp:positionH relativeFrom="column">
                        <wp:posOffset>2380484</wp:posOffset>
                      </wp:positionH>
                      <wp:positionV relativeFrom="paragraph">
                        <wp:posOffset>-30869</wp:posOffset>
                      </wp:positionV>
                      <wp:extent cx="2755398" cy="350525"/>
                      <wp:effectExtent l="0" t="0" r="0" b="0"/>
                      <wp:wrapNone/>
                      <wp:docPr id="6" name="Group 6"/>
                      <wp:cNvGraphicFramePr/>
                      <a:graphic xmlns:a="http://schemas.openxmlformats.org/drawingml/2006/main">
                        <a:graphicData uri="http://schemas.microsoft.com/office/word/2010/wordprocessingGroup">
                          <wpg:wgp>
                            <wpg:cNvGrpSpPr/>
                            <wpg:grpSpPr>
                              <a:xfrm>
                                <a:off x="0" y="0"/>
                                <a:ext cx="2755398" cy="350525"/>
                                <a:chOff x="3968300" y="3604725"/>
                                <a:chExt cx="2755400" cy="350550"/>
                              </a:xfrm>
                            </wpg:grpSpPr>
                            <wpg:grpSp>
                              <wpg:cNvPr id="7" name="Group 7"/>
                              <wpg:cNvGrpSpPr/>
                              <wpg:grpSpPr>
                                <a:xfrm>
                                  <a:off x="3968301" y="3604738"/>
                                  <a:ext cx="2755398" cy="350525"/>
                                  <a:chOff x="0" y="0"/>
                                  <a:chExt cx="2755398" cy="350525"/>
                                </a:xfrm>
                              </wpg:grpSpPr>
                              <wps:wsp>
                                <wps:cNvPr id="8" name="Rectangle 8"/>
                                <wps:cNvSpPr/>
                                <wps:spPr>
                                  <a:xfrm>
                                    <a:off x="0" y="0"/>
                                    <a:ext cx="2755375" cy="350525"/>
                                  </a:xfrm>
                                  <a:prstGeom prst="rect">
                                    <a:avLst/>
                                  </a:prstGeom>
                                  <a:noFill/>
                                  <a:ln>
                                    <a:noFill/>
                                  </a:ln>
                                </wps:spPr>
                                <wps:txbx>
                                  <w:txbxContent>
                                    <w:p w14:paraId="6744D5EB" w14:textId="77777777" w:rsidR="007960A8" w:rsidRDefault="007960A8">
                                      <w:pPr>
                                        <w:textDirection w:val="btLr"/>
                                      </w:pPr>
                                    </w:p>
                                  </w:txbxContent>
                                </wps:txbx>
                                <wps:bodyPr spcFirstLastPara="1" wrap="square" lIns="91425" tIns="91425" rIns="91425" bIns="91425" anchor="ctr" anchorCtr="0">
                                  <a:noAutofit/>
                                </wps:bodyPr>
                              </wps:wsp>
                              <wps:wsp>
                                <wps:cNvPr id="9" name="Free-form: Shape 9"/>
                                <wps:cNvSpPr/>
                                <wps:spPr>
                                  <a:xfrm>
                                    <a:off x="601987" y="0"/>
                                    <a:ext cx="2153411" cy="175263"/>
                                  </a:xfrm>
                                  <a:custGeom>
                                    <a:avLst/>
                                    <a:gdLst/>
                                    <a:ahLst/>
                                    <a:cxnLst/>
                                    <a:rect l="l" t="t" r="r" b="b"/>
                                    <a:pathLst>
                                      <a:path w="2153412" h="175260" extrusionOk="0">
                                        <a:moveTo>
                                          <a:pt x="0" y="0"/>
                                        </a:moveTo>
                                        <a:lnTo>
                                          <a:pt x="2153412" y="0"/>
                                        </a:lnTo>
                                        <a:lnTo>
                                          <a:pt x="2153412" y="175260"/>
                                        </a:lnTo>
                                        <a:lnTo>
                                          <a:pt x="0" y="175260"/>
                                        </a:lnTo>
                                        <a:lnTo>
                                          <a:pt x="0" y="0"/>
                                        </a:lnTo>
                                      </a:path>
                                    </a:pathLst>
                                  </a:custGeom>
                                  <a:noFill/>
                                  <a:ln>
                                    <a:noFill/>
                                  </a:ln>
                                </wps:spPr>
                                <wps:bodyPr spcFirstLastPara="1" wrap="square" lIns="91425" tIns="91425" rIns="91425" bIns="91425" anchor="ctr" anchorCtr="0">
                                  <a:noAutofit/>
                                </wps:bodyPr>
                              </wps:wsp>
                              <wps:wsp>
                                <wps:cNvPr id="10" name="Free-form: Shape 10"/>
                                <wps:cNvSpPr/>
                                <wps:spPr>
                                  <a:xfrm>
                                    <a:off x="0" y="175262"/>
                                    <a:ext cx="2532888" cy="175263"/>
                                  </a:xfrm>
                                  <a:custGeom>
                                    <a:avLst/>
                                    <a:gdLst/>
                                    <a:ahLst/>
                                    <a:cxnLst/>
                                    <a:rect l="l" t="t" r="r" b="b"/>
                                    <a:pathLst>
                                      <a:path w="2532888" h="175260" extrusionOk="0">
                                        <a:moveTo>
                                          <a:pt x="0" y="0"/>
                                        </a:moveTo>
                                        <a:lnTo>
                                          <a:pt x="2532888" y="0"/>
                                        </a:lnTo>
                                        <a:lnTo>
                                          <a:pt x="2532888" y="175260"/>
                                        </a:lnTo>
                                        <a:lnTo>
                                          <a:pt x="0" y="175260"/>
                                        </a:lnTo>
                                        <a:lnTo>
                                          <a:pt x="0" y="0"/>
                                        </a:lnTo>
                                      </a:path>
                                    </a:pathLst>
                                  </a:custGeom>
                                  <a:noFill/>
                                  <a:ln>
                                    <a:noFill/>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2380484</wp:posOffset>
                      </wp:positionH>
                      <wp:positionV relativeFrom="paragraph">
                        <wp:posOffset>-30869</wp:posOffset>
                      </wp:positionV>
                      <wp:extent cx="2755398" cy="350525"/>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755398" cy="350525"/>
                              </a:xfrm>
                              <a:prstGeom prst="rect"/>
                              <a:ln/>
                            </pic:spPr>
                          </pic:pic>
                        </a:graphicData>
                      </a:graphic>
                    </wp:anchor>
                  </w:drawing>
                </mc:Fallback>
              </mc:AlternateContent>
            </w:r>
          </w:p>
        </w:tc>
        <w:tc>
          <w:tcPr>
            <w:tcW w:w="5184" w:type="dxa"/>
          </w:tcPr>
          <w:p w14:paraId="6BB629F7" w14:textId="77777777" w:rsidR="007960A8" w:rsidRDefault="00A26397">
            <w:pPr>
              <w:spacing w:after="159" w:line="312" w:lineRule="auto"/>
              <w:ind w:right="355"/>
              <w:rPr>
                <w:sz w:val="21"/>
                <w:szCs w:val="21"/>
              </w:rPr>
            </w:pPr>
            <w:r>
              <w:rPr>
                <w:sz w:val="21"/>
                <w:szCs w:val="21"/>
              </w:rPr>
              <w:t xml:space="preserve">[the </w:t>
            </w:r>
            <w:r>
              <w:rPr>
                <w:i/>
                <w:iCs/>
                <w:sz w:val="21"/>
                <w:szCs w:val="21"/>
              </w:rPr>
              <w:t>Service Provider</w:t>
            </w:r>
            <w:r>
              <w:rPr>
                <w:sz w:val="21"/>
                <w:szCs w:val="21"/>
              </w:rPr>
              <w:t xml:space="preserve"> or any Subcontractor listed in Annex 2 to this Schedule;</w:t>
            </w:r>
          </w:p>
        </w:tc>
      </w:tr>
      <w:tr w:rsidR="007960A8" w14:paraId="7EC38C69" w14:textId="77777777">
        <w:trPr>
          <w:gridAfter w:val="1"/>
        </w:trPr>
        <w:tc>
          <w:tcPr>
            <w:tcW w:w="2410" w:type="dxa"/>
          </w:tcPr>
          <w:p w14:paraId="0DE24CF5" w14:textId="77777777" w:rsidR="007960A8" w:rsidRDefault="00A26397">
            <w:pPr>
              <w:spacing w:after="159" w:line="312" w:lineRule="auto"/>
              <w:ind w:right="355"/>
              <w:rPr>
                <w:b/>
                <w:bCs/>
                <w:sz w:val="21"/>
                <w:szCs w:val="21"/>
              </w:rPr>
            </w:pPr>
            <w:r>
              <w:rPr>
                <w:b/>
                <w:bCs/>
                <w:sz w:val="21"/>
                <w:szCs w:val="21"/>
              </w:rPr>
              <w:t>“Month”</w:t>
            </w:r>
          </w:p>
        </w:tc>
        <w:tc>
          <w:tcPr>
            <w:tcW w:w="5184" w:type="dxa"/>
          </w:tcPr>
          <w:p w14:paraId="3DAF079B" w14:textId="77777777" w:rsidR="007960A8" w:rsidRDefault="00A26397">
            <w:pPr>
              <w:spacing w:after="159" w:line="312" w:lineRule="auto"/>
              <w:ind w:right="355"/>
              <w:rPr>
                <w:sz w:val="21"/>
                <w:szCs w:val="21"/>
              </w:rPr>
            </w:pPr>
            <w:r>
              <w:rPr>
                <w:sz w:val="21"/>
                <w:szCs w:val="21"/>
              </w:rPr>
              <w:t>a calendar month and “</w:t>
            </w:r>
            <w:r>
              <w:rPr>
                <w:b/>
                <w:bCs/>
                <w:sz w:val="21"/>
                <w:szCs w:val="21"/>
              </w:rPr>
              <w:t>Monthly</w:t>
            </w:r>
            <w:r>
              <w:rPr>
                <w:sz w:val="21"/>
                <w:szCs w:val="21"/>
              </w:rPr>
              <w:t>” shall be interpreted accordingly;</w:t>
            </w:r>
          </w:p>
        </w:tc>
      </w:tr>
      <w:tr w:rsidR="007960A8" w14:paraId="6020B4A6" w14:textId="77777777">
        <w:trPr>
          <w:gridAfter w:val="1"/>
        </w:trPr>
        <w:tc>
          <w:tcPr>
            <w:tcW w:w="2410" w:type="dxa"/>
          </w:tcPr>
          <w:p w14:paraId="2EEEA6CF" w14:textId="77777777" w:rsidR="007960A8" w:rsidRDefault="00A26397">
            <w:pPr>
              <w:spacing w:after="159" w:line="312" w:lineRule="auto"/>
              <w:ind w:right="355"/>
              <w:rPr>
                <w:b/>
                <w:bCs/>
                <w:sz w:val="21"/>
                <w:szCs w:val="21"/>
              </w:rPr>
            </w:pPr>
            <w:r>
              <w:rPr>
                <w:b/>
                <w:bCs/>
                <w:sz w:val="21"/>
                <w:szCs w:val="21"/>
              </w:rPr>
              <w:t xml:space="preserve">"Rating Agency" </w:t>
            </w:r>
          </w:p>
        </w:tc>
        <w:tc>
          <w:tcPr>
            <w:tcW w:w="5184" w:type="dxa"/>
          </w:tcPr>
          <w:p w14:paraId="1482270C" w14:textId="77777777" w:rsidR="007960A8" w:rsidRDefault="00A26397">
            <w:pPr>
              <w:spacing w:after="159" w:line="312" w:lineRule="auto"/>
              <w:ind w:right="355"/>
              <w:rPr>
                <w:sz w:val="21"/>
                <w:szCs w:val="21"/>
              </w:rPr>
            </w:pPr>
            <w:r>
              <w:rPr>
                <w:sz w:val="21"/>
                <w:szCs w:val="21"/>
              </w:rPr>
              <w:t xml:space="preserve"> the rating agency stated in Annex 1. </w:t>
            </w:r>
          </w:p>
        </w:tc>
      </w:tr>
    </w:tbl>
    <w:p w14:paraId="61BF3478"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 xml:space="preserve">When this Schedule applies </w:t>
      </w:r>
    </w:p>
    <w:p w14:paraId="7F4CDC92"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Parties shall comply with the provisions of this Schedule in relation to the assessment of the financial standing of the Monitored Companies and the consequences of a change to that financial standing. </w:t>
      </w:r>
    </w:p>
    <w:p w14:paraId="42B6CC58"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The terms of this Schedule shall survive terminat</w:t>
      </w:r>
      <w:r>
        <w:rPr>
          <w:color w:val="000000"/>
          <w:sz w:val="21"/>
          <w:szCs w:val="21"/>
        </w:rPr>
        <w:t xml:space="preserve">ion or expiry of this Contract.  </w:t>
      </w:r>
    </w:p>
    <w:p w14:paraId="79CA16D2"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 xml:space="preserve">What happens when your credit rating changes </w:t>
      </w:r>
    </w:p>
    <w:p w14:paraId="58DA61BC"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warrants and represents to the </w:t>
      </w:r>
      <w:r>
        <w:rPr>
          <w:i/>
          <w:iCs/>
          <w:color w:val="000000"/>
          <w:sz w:val="21"/>
          <w:szCs w:val="21"/>
        </w:rPr>
        <w:t>Client</w:t>
      </w:r>
      <w:r>
        <w:rPr>
          <w:color w:val="000000"/>
          <w:sz w:val="21"/>
          <w:szCs w:val="21"/>
        </w:rPr>
        <w:t xml:space="preserve"> that as at the Contract Date the credit rating issued for the Monitored Companies by the Rating Agency is as set out </w:t>
      </w:r>
      <w:r>
        <w:rPr>
          <w:color w:val="000000"/>
          <w:sz w:val="21"/>
          <w:szCs w:val="21"/>
        </w:rPr>
        <w:t xml:space="preserve">in Annex 2.  </w:t>
      </w:r>
    </w:p>
    <w:p w14:paraId="4CE4556B"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promptly (and in any event within ten (10) working days) notify the </w:t>
      </w:r>
      <w:r>
        <w:rPr>
          <w:i/>
          <w:iCs/>
          <w:color w:val="000000"/>
          <w:sz w:val="21"/>
          <w:szCs w:val="21"/>
        </w:rPr>
        <w:t>Client</w:t>
      </w:r>
      <w:r>
        <w:rPr>
          <w:color w:val="000000"/>
          <w:sz w:val="21"/>
          <w:szCs w:val="21"/>
        </w:rPr>
        <w:t xml:space="preserve"> in writing if there is any downgrade in the credit rating issued by the Rating Agency for a Monitored Company which means that the credit ra</w:t>
      </w:r>
      <w:r>
        <w:rPr>
          <w:color w:val="000000"/>
          <w:sz w:val="21"/>
          <w:szCs w:val="21"/>
        </w:rPr>
        <w:t xml:space="preserve">ting for the Monitored Company falls below the Credit Rating Threshold. </w:t>
      </w:r>
    </w:p>
    <w:p w14:paraId="6EADC7D4"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If there is any such downgrade credit rating issued by the Rating Agency for a Monitored Company the </w:t>
      </w:r>
      <w:r>
        <w:rPr>
          <w:i/>
          <w:iCs/>
          <w:color w:val="000000"/>
          <w:sz w:val="21"/>
          <w:szCs w:val="21"/>
        </w:rPr>
        <w:t>Service Provider</w:t>
      </w:r>
      <w:r>
        <w:rPr>
          <w:color w:val="000000"/>
          <w:sz w:val="21"/>
          <w:szCs w:val="21"/>
        </w:rPr>
        <w:t xml:space="preserve"> shall at the </w:t>
      </w:r>
      <w:r>
        <w:rPr>
          <w:i/>
          <w:iCs/>
          <w:color w:val="000000"/>
          <w:sz w:val="21"/>
          <w:szCs w:val="21"/>
        </w:rPr>
        <w:t>Client’s</w:t>
      </w:r>
      <w:r>
        <w:rPr>
          <w:color w:val="000000"/>
          <w:sz w:val="21"/>
          <w:szCs w:val="21"/>
        </w:rPr>
        <w:t xml:space="preserve"> request ensure that the Monitored Company’s</w:t>
      </w:r>
      <w:r>
        <w:rPr>
          <w:color w:val="000000"/>
          <w:sz w:val="21"/>
          <w:szCs w:val="21"/>
        </w:rPr>
        <w:t xml:space="preserve"> auditors thereafter provide the </w:t>
      </w:r>
      <w:r>
        <w:rPr>
          <w:i/>
          <w:iCs/>
          <w:color w:val="000000"/>
          <w:sz w:val="21"/>
          <w:szCs w:val="21"/>
        </w:rPr>
        <w:t>Client</w:t>
      </w:r>
      <w:r>
        <w:rPr>
          <w:color w:val="000000"/>
          <w:sz w:val="21"/>
          <w:szCs w:val="21"/>
        </w:rPr>
        <w:t xml:space="preserve"> within 10 working days of the end of each Contract Year and within 10 working days of written request by the </w:t>
      </w:r>
      <w:r>
        <w:rPr>
          <w:i/>
          <w:iCs/>
          <w:color w:val="000000"/>
          <w:sz w:val="21"/>
          <w:szCs w:val="21"/>
        </w:rPr>
        <w:t>Client</w:t>
      </w:r>
      <w:r>
        <w:rPr>
          <w:color w:val="000000"/>
          <w:sz w:val="21"/>
          <w:szCs w:val="21"/>
        </w:rPr>
        <w:t xml:space="preserve"> (such requests not to exceed 4 in any Contract Year) with written calculations of the quick ratio fo</w:t>
      </w:r>
      <w:r>
        <w:rPr>
          <w:color w:val="000000"/>
          <w:sz w:val="21"/>
          <w:szCs w:val="21"/>
        </w:rPr>
        <w:t xml:space="preserve">r the Monitored Company as at the end of each Contract Year or such other date as may be requested by the </w:t>
      </w:r>
      <w:r>
        <w:rPr>
          <w:i/>
          <w:iCs/>
          <w:color w:val="000000"/>
          <w:sz w:val="21"/>
          <w:szCs w:val="21"/>
        </w:rPr>
        <w:t>Client</w:t>
      </w:r>
      <w:r>
        <w:rPr>
          <w:color w:val="000000"/>
          <w:sz w:val="21"/>
          <w:szCs w:val="21"/>
        </w:rPr>
        <w:t xml:space="preserve">.  For these purposes the "quick ratio" on any date means: </w:t>
      </w:r>
    </w:p>
    <w:p w14:paraId="1BD807AE" w14:textId="77777777" w:rsidR="007960A8" w:rsidRDefault="00A26397">
      <w:pPr>
        <w:spacing w:after="160" w:line="251" w:lineRule="auto"/>
        <w:rPr>
          <w:rFonts w:ascii="Calibri" w:eastAsia="Calibri" w:hAnsi="Calibri" w:cs="Calibri"/>
          <w:sz w:val="21"/>
          <w:szCs w:val="21"/>
        </w:rPr>
      </w:pPr>
      <w:r>
        <w:rPr>
          <w:rFonts w:ascii="Calibri" w:eastAsia="Calibri" w:hAnsi="Calibri" w:cs="Calibri"/>
          <w:sz w:val="21"/>
          <w:szCs w:val="21"/>
        </w:rPr>
        <w:t xml:space="preserve">       </w:t>
      </w:r>
      <w:r>
        <w:rPr>
          <w:rFonts w:ascii="Calibri" w:eastAsia="Calibri" w:hAnsi="Calibri" w:cs="Calibri"/>
          <w:noProof/>
          <w:sz w:val="21"/>
          <w:szCs w:val="21"/>
        </w:rPr>
        <w:drawing>
          <wp:inline distT="0" distB="0" distL="0" distR="0" wp14:anchorId="5FBB27C0" wp14:editId="29F0C75E">
            <wp:extent cx="1225296" cy="329184"/>
            <wp:effectExtent l="0" t="0" r="0" b="0"/>
            <wp:docPr id="11" name="image2.jpg" descr="A black and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black and white text&#10;&#10;AI-generated content may be incorrect."/>
                    <pic:cNvPicPr preferRelativeResize="0"/>
                  </pic:nvPicPr>
                  <pic:blipFill>
                    <a:blip r:embed="rId34"/>
                    <a:srcRect/>
                    <a:stretch>
                      <a:fillRect/>
                    </a:stretch>
                  </pic:blipFill>
                  <pic:spPr>
                    <a:xfrm>
                      <a:off x="0" y="0"/>
                      <a:ext cx="1225296" cy="329184"/>
                    </a:xfrm>
                    <a:prstGeom prst="rect">
                      <a:avLst/>
                    </a:prstGeom>
                    <a:ln/>
                  </pic:spPr>
                </pic:pic>
              </a:graphicData>
            </a:graphic>
          </wp:inline>
        </w:drawing>
      </w:r>
      <w:r>
        <w:rPr>
          <w:rFonts w:ascii="Calibri" w:eastAsia="Calibri" w:hAnsi="Calibri" w:cs="Calibri"/>
          <w:sz w:val="21"/>
          <w:szCs w:val="21"/>
        </w:rPr>
        <w:t xml:space="preserve"> </w:t>
      </w:r>
    </w:p>
    <w:p w14:paraId="49AB54D5"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 xml:space="preserve">where: </w:t>
      </w:r>
    </w:p>
    <w:p w14:paraId="4CE2592D" w14:textId="77777777" w:rsidR="007960A8" w:rsidRDefault="00A26397">
      <w:pPr>
        <w:widowControl/>
        <w:numPr>
          <w:ilvl w:val="0"/>
          <w:numId w:val="21"/>
        </w:numPr>
        <w:spacing w:after="231"/>
        <w:ind w:left="2268" w:hanging="815"/>
        <w:jc w:val="both"/>
        <w:rPr>
          <w:sz w:val="21"/>
          <w:szCs w:val="21"/>
        </w:rPr>
      </w:pPr>
      <w:r>
        <w:rPr>
          <w:sz w:val="21"/>
          <w:szCs w:val="21"/>
        </w:rPr>
        <w:t xml:space="preserve">is the value at the relevant date of all cash in hand and at the bank of the Monitored Company; </w:t>
      </w:r>
    </w:p>
    <w:p w14:paraId="2283FF79" w14:textId="77777777" w:rsidR="007960A8" w:rsidRDefault="00A26397">
      <w:pPr>
        <w:widowControl/>
        <w:numPr>
          <w:ilvl w:val="0"/>
          <w:numId w:val="21"/>
        </w:numPr>
        <w:spacing w:after="229"/>
        <w:ind w:left="2268" w:hanging="815"/>
        <w:jc w:val="both"/>
        <w:rPr>
          <w:sz w:val="21"/>
          <w:szCs w:val="21"/>
        </w:rPr>
      </w:pPr>
      <w:r>
        <w:rPr>
          <w:sz w:val="21"/>
          <w:szCs w:val="21"/>
        </w:rPr>
        <w:t xml:space="preserve">is the value of all marketable securities held by the </w:t>
      </w:r>
      <w:r>
        <w:rPr>
          <w:i/>
          <w:iCs/>
          <w:sz w:val="21"/>
          <w:szCs w:val="21"/>
        </w:rPr>
        <w:t>Service Provider</w:t>
      </w:r>
      <w:r>
        <w:rPr>
          <w:sz w:val="21"/>
          <w:szCs w:val="21"/>
        </w:rPr>
        <w:t xml:space="preserve"> the Monitored Company determined using closing prices on the working day preceding the r</w:t>
      </w:r>
      <w:r>
        <w:rPr>
          <w:sz w:val="21"/>
          <w:szCs w:val="21"/>
        </w:rPr>
        <w:t xml:space="preserve">elevant date;  </w:t>
      </w:r>
    </w:p>
    <w:p w14:paraId="3CEC7C8E" w14:textId="77777777" w:rsidR="007960A8" w:rsidRDefault="00A26397">
      <w:pPr>
        <w:widowControl/>
        <w:numPr>
          <w:ilvl w:val="0"/>
          <w:numId w:val="21"/>
        </w:numPr>
        <w:spacing w:after="231"/>
        <w:ind w:left="2268" w:hanging="815"/>
        <w:jc w:val="both"/>
        <w:rPr>
          <w:sz w:val="21"/>
          <w:szCs w:val="21"/>
        </w:rPr>
      </w:pPr>
      <w:r>
        <w:rPr>
          <w:sz w:val="21"/>
          <w:szCs w:val="21"/>
        </w:rPr>
        <w:t xml:space="preserve">is the value at the relevant date of all account receivables of the Monitored Company; and </w:t>
      </w:r>
    </w:p>
    <w:p w14:paraId="577324E2" w14:textId="77777777" w:rsidR="007960A8" w:rsidRDefault="00A26397">
      <w:pPr>
        <w:widowControl/>
        <w:numPr>
          <w:ilvl w:val="0"/>
          <w:numId w:val="21"/>
        </w:numPr>
        <w:spacing w:after="329"/>
        <w:ind w:left="2268" w:hanging="815"/>
        <w:jc w:val="both"/>
        <w:rPr>
          <w:sz w:val="21"/>
          <w:szCs w:val="21"/>
        </w:rPr>
      </w:pPr>
      <w:r>
        <w:rPr>
          <w:sz w:val="21"/>
          <w:szCs w:val="21"/>
        </w:rPr>
        <w:t xml:space="preserve">is the value at the relevant date of the current liabilities of the Monitored Company. </w:t>
      </w:r>
    </w:p>
    <w:p w14:paraId="775ACF02"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w:t>
      </w:r>
    </w:p>
    <w:p w14:paraId="71C488EB"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regularly monitor the credit ratings of each Monitored Company with the Rating Agency; and  </w:t>
      </w:r>
    </w:p>
    <w:p w14:paraId="1BC58FB1"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promptly notify (or shall procure that its auditors promptly notify) the </w:t>
      </w:r>
      <w:r>
        <w:rPr>
          <w:i/>
          <w:iCs/>
          <w:color w:val="000000"/>
          <w:sz w:val="21"/>
          <w:szCs w:val="21"/>
        </w:rPr>
        <w:t>Client</w:t>
      </w:r>
      <w:r>
        <w:rPr>
          <w:color w:val="000000"/>
          <w:sz w:val="21"/>
          <w:szCs w:val="21"/>
        </w:rPr>
        <w:t xml:space="preserve"> in writing following the occurrence of a Financial Distress Event or any fact, circ</w:t>
      </w:r>
      <w:r>
        <w:rPr>
          <w:color w:val="000000"/>
          <w:sz w:val="21"/>
          <w:szCs w:val="21"/>
        </w:rPr>
        <w:t xml:space="preserve">umstance or matter which could cause a Financial Distress Event and in any event, ensure that such notification is made within 10 Working Days of the date on which the </w:t>
      </w:r>
      <w:r>
        <w:rPr>
          <w:i/>
          <w:iCs/>
          <w:color w:val="000000"/>
          <w:sz w:val="21"/>
          <w:szCs w:val="21"/>
        </w:rPr>
        <w:t>Service Provider</w:t>
      </w:r>
      <w:r>
        <w:rPr>
          <w:color w:val="000000"/>
          <w:sz w:val="21"/>
          <w:szCs w:val="21"/>
        </w:rPr>
        <w:t xml:space="preserve"> first becomes aware of the Financial Distress Event or the fact, circum</w:t>
      </w:r>
      <w:r>
        <w:rPr>
          <w:color w:val="000000"/>
          <w:sz w:val="21"/>
          <w:szCs w:val="21"/>
        </w:rPr>
        <w:t xml:space="preserve">stance or matter which could cause a Financial Distress Event. </w:t>
      </w:r>
    </w:p>
    <w:p w14:paraId="05263792"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For the purposes of determining whether a Financial Distress Event has occurred the credit rating of the Monitored Company shall be deemed to have dropped below the applicable Credit Rating Th</w:t>
      </w:r>
      <w:r>
        <w:rPr>
          <w:color w:val="000000"/>
          <w:sz w:val="21"/>
          <w:szCs w:val="21"/>
        </w:rPr>
        <w:t xml:space="preserve">reshold if the Rating Agency has rated the Monitored Company at or below the applicable Credit Rating Threshold. </w:t>
      </w:r>
    </w:p>
    <w:p w14:paraId="262E8D58"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 xml:space="preserve">What happens if there is a financial distress event </w:t>
      </w:r>
    </w:p>
    <w:p w14:paraId="62F13060"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In the event of a Financial Distress Event then, immediately upon notification of the Financial Distress Event (or if the </w:t>
      </w:r>
      <w:r>
        <w:rPr>
          <w:i/>
          <w:iCs/>
          <w:color w:val="000000"/>
          <w:sz w:val="21"/>
          <w:szCs w:val="21"/>
        </w:rPr>
        <w:t>Client</w:t>
      </w:r>
      <w:r>
        <w:rPr>
          <w:color w:val="000000"/>
          <w:sz w:val="21"/>
          <w:szCs w:val="21"/>
        </w:rPr>
        <w:t xml:space="preserve"> becomes aware of the Financial Distress Event without notification and brings the event to the attention of the </w:t>
      </w:r>
      <w:r>
        <w:rPr>
          <w:i/>
          <w:iCs/>
          <w:color w:val="000000"/>
          <w:sz w:val="21"/>
          <w:szCs w:val="21"/>
        </w:rPr>
        <w:t>Service Provide</w:t>
      </w:r>
      <w:r>
        <w:rPr>
          <w:i/>
          <w:iCs/>
          <w:color w:val="000000"/>
          <w:sz w:val="21"/>
          <w:szCs w:val="21"/>
        </w:rPr>
        <w:t>r</w:t>
      </w:r>
      <w:r>
        <w:rPr>
          <w:color w:val="000000"/>
          <w:sz w:val="21"/>
          <w:szCs w:val="21"/>
        </w:rPr>
        <w:t xml:space="preserve">), the </w:t>
      </w:r>
      <w:r>
        <w:rPr>
          <w:i/>
          <w:iCs/>
          <w:color w:val="000000"/>
          <w:sz w:val="21"/>
          <w:szCs w:val="21"/>
        </w:rPr>
        <w:t>Service Provider</w:t>
      </w:r>
      <w:r>
        <w:rPr>
          <w:color w:val="000000"/>
          <w:sz w:val="21"/>
          <w:szCs w:val="21"/>
        </w:rPr>
        <w:t xml:space="preserve"> shall have the obligations and the </w:t>
      </w:r>
      <w:r>
        <w:rPr>
          <w:i/>
          <w:iCs/>
          <w:color w:val="000000"/>
          <w:sz w:val="21"/>
          <w:szCs w:val="21"/>
        </w:rPr>
        <w:t>Client</w:t>
      </w:r>
      <w:r>
        <w:rPr>
          <w:color w:val="000000"/>
          <w:sz w:val="21"/>
          <w:szCs w:val="21"/>
        </w:rPr>
        <w:t xml:space="preserve"> shall have the rights and remedies as set out in Paragraphs 4.3 to 4.6. </w:t>
      </w:r>
    </w:p>
    <w:p w14:paraId="59D9B0AF"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In the event that a Financial Distress Event arises due to a Key Subcontractor notifying the </w:t>
      </w:r>
      <w:r>
        <w:rPr>
          <w:i/>
          <w:iCs/>
          <w:color w:val="000000"/>
          <w:sz w:val="21"/>
          <w:szCs w:val="21"/>
        </w:rPr>
        <w:t>Client</w:t>
      </w:r>
      <w:r>
        <w:rPr>
          <w:color w:val="000000"/>
          <w:sz w:val="21"/>
          <w:szCs w:val="21"/>
        </w:rPr>
        <w:t xml:space="preserve"> that the </w:t>
      </w:r>
      <w:r>
        <w:rPr>
          <w:i/>
          <w:iCs/>
          <w:color w:val="000000"/>
          <w:sz w:val="21"/>
          <w:szCs w:val="21"/>
        </w:rPr>
        <w:t>Service</w:t>
      </w:r>
      <w:r>
        <w:rPr>
          <w:i/>
          <w:iCs/>
          <w:color w:val="000000"/>
          <w:sz w:val="21"/>
          <w:szCs w:val="21"/>
        </w:rPr>
        <w:t xml:space="preserve"> Provider</w:t>
      </w:r>
      <w:r>
        <w:rPr>
          <w:color w:val="000000"/>
          <w:sz w:val="21"/>
          <w:szCs w:val="21"/>
        </w:rPr>
        <w:t xml:space="preserve"> has not satisfied any sums properly due under a specified invoice and not subject to a genuine dispute then, the </w:t>
      </w:r>
      <w:r>
        <w:rPr>
          <w:i/>
          <w:iCs/>
          <w:color w:val="000000"/>
          <w:sz w:val="21"/>
          <w:szCs w:val="21"/>
        </w:rPr>
        <w:t>Client</w:t>
      </w:r>
      <w:r>
        <w:rPr>
          <w:color w:val="000000"/>
          <w:sz w:val="21"/>
          <w:szCs w:val="21"/>
        </w:rPr>
        <w:t xml:space="preserve"> shall not exercise any of its rights or remedies under Paragraph 4.3 without first giving the </w:t>
      </w:r>
      <w:r>
        <w:rPr>
          <w:i/>
          <w:iCs/>
          <w:color w:val="000000"/>
          <w:sz w:val="21"/>
          <w:szCs w:val="21"/>
        </w:rPr>
        <w:t>Service Provider</w:t>
      </w:r>
      <w:r>
        <w:rPr>
          <w:color w:val="000000"/>
          <w:sz w:val="21"/>
          <w:szCs w:val="21"/>
        </w:rPr>
        <w:t xml:space="preserve"> ten (10) workin</w:t>
      </w:r>
      <w:r>
        <w:rPr>
          <w:color w:val="000000"/>
          <w:sz w:val="21"/>
          <w:szCs w:val="21"/>
        </w:rPr>
        <w:t xml:space="preserve">g days to: </w:t>
      </w:r>
    </w:p>
    <w:p w14:paraId="0F5C134D"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rectify such late or non-payment; or  </w:t>
      </w:r>
    </w:p>
    <w:p w14:paraId="5A5D2FC3"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demonstrate to the </w:t>
      </w:r>
      <w:r>
        <w:rPr>
          <w:i/>
          <w:iCs/>
          <w:color w:val="000000"/>
          <w:sz w:val="21"/>
          <w:szCs w:val="21"/>
        </w:rPr>
        <w:t>Client's</w:t>
      </w:r>
      <w:r>
        <w:rPr>
          <w:color w:val="000000"/>
          <w:sz w:val="21"/>
          <w:szCs w:val="21"/>
        </w:rPr>
        <w:t xml:space="preserve"> reasonable satisfaction that there is a valid reason for late or non-payment. </w:t>
      </w:r>
    </w:p>
    <w:p w14:paraId="43FE2DEC"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and shall procure that the other Monitored Companies shall: </w:t>
      </w:r>
    </w:p>
    <w:p w14:paraId="093487A9"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at the req</w:t>
      </w:r>
      <w:r>
        <w:rPr>
          <w:color w:val="000000"/>
          <w:sz w:val="21"/>
          <w:szCs w:val="21"/>
        </w:rPr>
        <w:t xml:space="preserve">uest of the </w:t>
      </w:r>
      <w:r>
        <w:rPr>
          <w:i/>
          <w:iCs/>
          <w:color w:val="000000"/>
          <w:sz w:val="21"/>
          <w:szCs w:val="21"/>
        </w:rPr>
        <w:t>Client</w:t>
      </w:r>
      <w:r>
        <w:rPr>
          <w:color w:val="000000"/>
          <w:sz w:val="21"/>
          <w:szCs w:val="21"/>
        </w:rPr>
        <w:t xml:space="preserve"> meet the </w:t>
      </w:r>
      <w:r>
        <w:rPr>
          <w:i/>
          <w:iCs/>
          <w:color w:val="000000"/>
          <w:sz w:val="21"/>
          <w:szCs w:val="21"/>
        </w:rPr>
        <w:t>Client</w:t>
      </w:r>
      <w:r>
        <w:rPr>
          <w:color w:val="000000"/>
          <w:sz w:val="21"/>
          <w:szCs w:val="21"/>
        </w:rPr>
        <w:t xml:space="preserve"> as soon as reasonably practicable (and in any event within three (3) Working Days of the initial notification (or awareness) of the Financial Distress Event) to review the effect of the Financial Distress Event on the con</w:t>
      </w:r>
      <w:r>
        <w:rPr>
          <w:color w:val="000000"/>
          <w:sz w:val="21"/>
          <w:szCs w:val="21"/>
        </w:rPr>
        <w:t xml:space="preserve">tinued performance of the Contract and delivery of the </w:t>
      </w:r>
      <w:r>
        <w:rPr>
          <w:i/>
          <w:iCs/>
          <w:color w:val="000000"/>
          <w:sz w:val="21"/>
          <w:szCs w:val="21"/>
        </w:rPr>
        <w:t>services</w:t>
      </w:r>
      <w:r>
        <w:rPr>
          <w:color w:val="000000"/>
          <w:sz w:val="21"/>
          <w:szCs w:val="21"/>
        </w:rPr>
        <w:t xml:space="preserve">; and </w:t>
      </w:r>
    </w:p>
    <w:p w14:paraId="3F451877"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reasonably believes (taking into account the discussions and any representations made under Paragraph 4.3.1) that the Financial Distress Event could impact on the continued performance of the Contract and delivery of the </w:t>
      </w:r>
      <w:r>
        <w:rPr>
          <w:i/>
          <w:iCs/>
          <w:color w:val="000000"/>
          <w:sz w:val="21"/>
          <w:szCs w:val="21"/>
        </w:rPr>
        <w:t>services</w:t>
      </w:r>
      <w:r>
        <w:rPr>
          <w:color w:val="000000"/>
          <w:sz w:val="21"/>
          <w:szCs w:val="21"/>
        </w:rPr>
        <w:t xml:space="preserve">:  </w:t>
      </w:r>
    </w:p>
    <w:p w14:paraId="58C85E4D" w14:textId="77777777" w:rsidR="007960A8" w:rsidRDefault="00A26397">
      <w:pPr>
        <w:widowControl/>
        <w:numPr>
          <w:ilvl w:val="4"/>
          <w:numId w:val="24"/>
        </w:numPr>
        <w:pBdr>
          <w:top w:val="nil"/>
          <w:left w:val="nil"/>
          <w:bottom w:val="nil"/>
          <w:right w:val="nil"/>
          <w:between w:val="nil"/>
        </w:pBdr>
        <w:spacing w:after="240"/>
        <w:jc w:val="both"/>
      </w:pPr>
      <w:r>
        <w:rPr>
          <w:color w:val="000000"/>
          <w:sz w:val="21"/>
          <w:szCs w:val="21"/>
        </w:rPr>
        <w:t xml:space="preserve">submit to the </w:t>
      </w:r>
      <w:r>
        <w:rPr>
          <w:i/>
          <w:iCs/>
          <w:color w:val="000000"/>
          <w:sz w:val="21"/>
          <w:szCs w:val="21"/>
        </w:rPr>
        <w:t>Client</w:t>
      </w:r>
      <w:r>
        <w:rPr>
          <w:color w:val="000000"/>
          <w:sz w:val="21"/>
          <w:szCs w:val="21"/>
        </w:rPr>
        <w:t xml:space="preserve"> f</w:t>
      </w:r>
      <w:r>
        <w:rPr>
          <w:color w:val="000000"/>
          <w:sz w:val="21"/>
          <w:szCs w:val="21"/>
        </w:rPr>
        <w:t xml:space="preserve">or its Approval, a draft Financial Distress Service Continuity Plan as soon as reasonably practicable (and in any event, within ten (10) working days of the initial notification (or awareness) of the Financial Distress Event); and </w:t>
      </w:r>
    </w:p>
    <w:p w14:paraId="19D69E58" w14:textId="77777777" w:rsidR="007960A8" w:rsidRDefault="00A26397">
      <w:pPr>
        <w:widowControl/>
        <w:numPr>
          <w:ilvl w:val="4"/>
          <w:numId w:val="24"/>
        </w:numPr>
        <w:pBdr>
          <w:top w:val="nil"/>
          <w:left w:val="nil"/>
          <w:bottom w:val="nil"/>
          <w:right w:val="nil"/>
          <w:between w:val="nil"/>
        </w:pBdr>
        <w:spacing w:after="240"/>
        <w:jc w:val="both"/>
      </w:pPr>
      <w:r>
        <w:rPr>
          <w:color w:val="000000"/>
          <w:sz w:val="21"/>
          <w:szCs w:val="21"/>
        </w:rPr>
        <w:t>provide such financial i</w:t>
      </w:r>
      <w:r>
        <w:rPr>
          <w:color w:val="000000"/>
          <w:sz w:val="21"/>
          <w:szCs w:val="21"/>
        </w:rPr>
        <w:t xml:space="preserve">nformation relating to the Monitored Company as the </w:t>
      </w:r>
      <w:r>
        <w:rPr>
          <w:i/>
          <w:iCs/>
          <w:color w:val="000000"/>
          <w:sz w:val="21"/>
          <w:szCs w:val="21"/>
        </w:rPr>
        <w:t>Client</w:t>
      </w:r>
      <w:r>
        <w:rPr>
          <w:color w:val="000000"/>
          <w:sz w:val="21"/>
          <w:szCs w:val="21"/>
        </w:rPr>
        <w:t xml:space="preserve"> may reasonably require. </w:t>
      </w:r>
    </w:p>
    <w:p w14:paraId="59855ECC"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does not (acting reasonably) approve the draft Financial Distress Service Continuity Plan, it shall inform the </w:t>
      </w:r>
      <w:r>
        <w:rPr>
          <w:i/>
          <w:iCs/>
          <w:color w:val="000000"/>
          <w:sz w:val="21"/>
          <w:szCs w:val="21"/>
        </w:rPr>
        <w:t>Service Provider</w:t>
      </w:r>
      <w:r>
        <w:rPr>
          <w:color w:val="000000"/>
          <w:sz w:val="21"/>
          <w:szCs w:val="21"/>
        </w:rPr>
        <w:t xml:space="preserve"> of its reasons and the </w:t>
      </w:r>
      <w:r>
        <w:rPr>
          <w:i/>
          <w:iCs/>
          <w:color w:val="000000"/>
          <w:sz w:val="21"/>
          <w:szCs w:val="21"/>
        </w:rPr>
        <w:t>Service Provider</w:t>
      </w:r>
      <w:r>
        <w:rPr>
          <w:color w:val="000000"/>
          <w:sz w:val="21"/>
          <w:szCs w:val="21"/>
        </w:rPr>
        <w:t xml:space="preserve"> shall take those reasons into account in the preparation of a further draft Financial Distress Service Continuity Plan, which shall be resubmitted to the </w:t>
      </w:r>
      <w:r>
        <w:rPr>
          <w:i/>
          <w:iCs/>
          <w:color w:val="000000"/>
          <w:sz w:val="21"/>
          <w:szCs w:val="21"/>
        </w:rPr>
        <w:t>Client</w:t>
      </w:r>
      <w:r>
        <w:rPr>
          <w:color w:val="000000"/>
          <w:sz w:val="21"/>
          <w:szCs w:val="21"/>
        </w:rPr>
        <w:t xml:space="preserve"> within five (5) working days of the rejection of the f</w:t>
      </w:r>
      <w:r>
        <w:rPr>
          <w:color w:val="000000"/>
          <w:sz w:val="21"/>
          <w:szCs w:val="21"/>
        </w:rPr>
        <w:t xml:space="preserve">irst or subsequent (as the case may be) drafts. This process shall be repeated until the Financial Distress Service Continuity Plan is Approved by the </w:t>
      </w:r>
      <w:r>
        <w:rPr>
          <w:i/>
          <w:iCs/>
          <w:color w:val="000000"/>
          <w:sz w:val="21"/>
          <w:szCs w:val="21"/>
        </w:rPr>
        <w:t>Client</w:t>
      </w:r>
      <w:r>
        <w:rPr>
          <w:color w:val="000000"/>
          <w:sz w:val="21"/>
          <w:szCs w:val="21"/>
        </w:rPr>
        <w:t xml:space="preserve"> or referred to the Dispute Resolution Procedure. </w:t>
      </w:r>
    </w:p>
    <w:p w14:paraId="6C92A73A"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considers that the draft Financial</w:t>
      </w:r>
      <w:r>
        <w:rPr>
          <w:color w:val="000000"/>
          <w:sz w:val="21"/>
          <w:szCs w:val="21"/>
        </w:rPr>
        <w:t xml:space="preserve"> Distress Service Continuity Plan is insufficiently detailed to be properly evaluated, will take too long to complete or will not remedy the relevant Financial Distress Event, then it may either agree a further time period for the development and agreement</w:t>
      </w:r>
      <w:r>
        <w:rPr>
          <w:color w:val="000000"/>
          <w:sz w:val="21"/>
          <w:szCs w:val="21"/>
        </w:rPr>
        <w:t xml:space="preserve"> of the Financial Distress Service Continuity Plan or escalate any issues with the draft Financial Distress Service Continuity Plan using the Dispute Resolution Procedure.  </w:t>
      </w:r>
    </w:p>
    <w:p w14:paraId="51264438"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Following Approval of the Financial Distress Service Continuity Plan by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shall: </w:t>
      </w:r>
    </w:p>
    <w:p w14:paraId="441404C4"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on a regular basis (which shall not be less than Monthly), review the Financial Distress Service Continuity Plan and assess whether it remains adequate and up to date to ensure the continued performance the Contract and deliv</w:t>
      </w:r>
      <w:r>
        <w:rPr>
          <w:color w:val="000000"/>
          <w:sz w:val="21"/>
          <w:szCs w:val="21"/>
        </w:rPr>
        <w:t xml:space="preserve">ery of the </w:t>
      </w:r>
      <w:r>
        <w:rPr>
          <w:i/>
          <w:iCs/>
          <w:color w:val="000000"/>
          <w:sz w:val="21"/>
          <w:szCs w:val="21"/>
        </w:rPr>
        <w:t>services</w:t>
      </w:r>
      <w:r>
        <w:rPr>
          <w:color w:val="000000"/>
          <w:sz w:val="21"/>
          <w:szCs w:val="21"/>
        </w:rPr>
        <w:t xml:space="preserve">; </w:t>
      </w:r>
    </w:p>
    <w:p w14:paraId="4F07A6AC"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where the Financial Distress Service Continuity Plan is not adequate or up to date in accordance with Paragraph 4.6.1, submit an updated Financial Distress Service Continuity Plan to the </w:t>
      </w:r>
      <w:r>
        <w:rPr>
          <w:i/>
          <w:iCs/>
          <w:color w:val="000000"/>
          <w:sz w:val="21"/>
          <w:szCs w:val="21"/>
        </w:rPr>
        <w:t>Client</w:t>
      </w:r>
      <w:r>
        <w:rPr>
          <w:color w:val="000000"/>
          <w:sz w:val="21"/>
          <w:szCs w:val="21"/>
        </w:rPr>
        <w:t xml:space="preserve"> for its Approval, and the provisions of </w:t>
      </w:r>
      <w:r>
        <w:rPr>
          <w:color w:val="000000"/>
          <w:sz w:val="21"/>
          <w:szCs w:val="21"/>
        </w:rPr>
        <w:t xml:space="preserve">Paragraphs 4.5 and 4.6 shall apply to the </w:t>
      </w:r>
    </w:p>
    <w:p w14:paraId="7391FBA8"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review and Approval process for the updated Financial Distress Service Continuity Plan; and  </w:t>
      </w:r>
    </w:p>
    <w:p w14:paraId="427060CE"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comply with the Financial Distress Service Continuity Plan (including any updated Financial Distress Service Continuity</w:t>
      </w:r>
      <w:r>
        <w:rPr>
          <w:color w:val="000000"/>
          <w:sz w:val="21"/>
          <w:szCs w:val="21"/>
        </w:rPr>
        <w:t xml:space="preserve"> Plan). </w:t>
      </w:r>
    </w:p>
    <w:p w14:paraId="6C3E9394"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reasonably believes that the relevant Financial Distress Event (or the circumstance or matter which has caused or otherwise led to it) no longer exists, it shall notify the </w:t>
      </w:r>
      <w:r>
        <w:rPr>
          <w:i/>
          <w:iCs/>
          <w:color w:val="000000"/>
          <w:sz w:val="21"/>
          <w:szCs w:val="21"/>
        </w:rPr>
        <w:t>Client</w:t>
      </w:r>
      <w:r>
        <w:rPr>
          <w:color w:val="000000"/>
          <w:sz w:val="21"/>
          <w:szCs w:val="21"/>
        </w:rPr>
        <w:t xml:space="preserve"> and subject to the agreement of the Parties, the </w:t>
      </w:r>
      <w:r>
        <w:rPr>
          <w:i/>
          <w:iCs/>
          <w:color w:val="000000"/>
          <w:sz w:val="21"/>
          <w:szCs w:val="21"/>
        </w:rPr>
        <w:t>Service Provider</w:t>
      </w:r>
      <w:r>
        <w:rPr>
          <w:color w:val="000000"/>
          <w:sz w:val="21"/>
          <w:szCs w:val="21"/>
        </w:rPr>
        <w:t xml:space="preserve"> may be re</w:t>
      </w:r>
      <w:r>
        <w:rPr>
          <w:color w:val="000000"/>
          <w:sz w:val="21"/>
          <w:szCs w:val="21"/>
        </w:rPr>
        <w:t xml:space="preserve">lieved of its obligations under Paragraph 4.6.  </w:t>
      </w:r>
    </w:p>
    <w:p w14:paraId="37B07F51"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 xml:space="preserve">When the </w:t>
      </w:r>
      <w:r>
        <w:rPr>
          <w:b/>
          <w:bCs/>
          <w:i/>
          <w:iCs/>
          <w:color w:val="000000"/>
          <w:sz w:val="21"/>
          <w:szCs w:val="21"/>
        </w:rPr>
        <w:t>Client</w:t>
      </w:r>
      <w:r>
        <w:rPr>
          <w:b/>
          <w:bCs/>
          <w:color w:val="000000"/>
          <w:sz w:val="21"/>
          <w:szCs w:val="21"/>
        </w:rPr>
        <w:t xml:space="preserve"> can terminate for financial distress  </w:t>
      </w:r>
    </w:p>
    <w:p w14:paraId="0911054B"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shall be entitled to terminate this Contract if:  </w:t>
      </w:r>
    </w:p>
    <w:p w14:paraId="6D04D0EE"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fails to notify the </w:t>
      </w:r>
      <w:r>
        <w:rPr>
          <w:i/>
          <w:iCs/>
          <w:color w:val="000000"/>
          <w:sz w:val="21"/>
          <w:szCs w:val="21"/>
        </w:rPr>
        <w:t>Client</w:t>
      </w:r>
      <w:r>
        <w:rPr>
          <w:color w:val="000000"/>
          <w:sz w:val="21"/>
          <w:szCs w:val="21"/>
        </w:rPr>
        <w:t xml:space="preserve"> of a Financial Distress Event in accordance with Paragraph 3.4;  </w:t>
      </w:r>
    </w:p>
    <w:p w14:paraId="6CD02DA0"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and the </w:t>
      </w:r>
      <w:r>
        <w:rPr>
          <w:i/>
          <w:iCs/>
          <w:color w:val="000000"/>
          <w:sz w:val="21"/>
          <w:szCs w:val="21"/>
        </w:rPr>
        <w:t>Service Provider</w:t>
      </w:r>
      <w:r>
        <w:rPr>
          <w:color w:val="000000"/>
          <w:sz w:val="21"/>
          <w:szCs w:val="21"/>
        </w:rPr>
        <w:t xml:space="preserve"> fail to agree a Financial Distress Service Continuity Plan (or any updated Financial Distress Service Continuity Plan) in accordance with Paragraphs 4.3 </w:t>
      </w:r>
      <w:r>
        <w:rPr>
          <w:color w:val="000000"/>
          <w:sz w:val="21"/>
          <w:szCs w:val="21"/>
        </w:rPr>
        <w:t xml:space="preserve">to 4.5; and/or </w:t>
      </w:r>
    </w:p>
    <w:p w14:paraId="09733403"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fails to comply with the terms of the Financial Distress Service Continuity Plan (or any updated Financial Distress Service Continuity Plan) in accordance with Paragraph 4.6.3. </w:t>
      </w:r>
    </w:p>
    <w:p w14:paraId="239F0553" w14:textId="77777777" w:rsidR="007960A8" w:rsidRDefault="00A26397">
      <w:pPr>
        <w:widowControl/>
        <w:numPr>
          <w:ilvl w:val="1"/>
          <w:numId w:val="24"/>
        </w:numPr>
        <w:pBdr>
          <w:top w:val="nil"/>
          <w:left w:val="nil"/>
          <w:bottom w:val="nil"/>
          <w:right w:val="nil"/>
          <w:between w:val="nil"/>
        </w:pBdr>
        <w:spacing w:after="240"/>
        <w:jc w:val="both"/>
        <w:rPr>
          <w:b/>
          <w:bCs/>
          <w:color w:val="000000"/>
          <w:sz w:val="21"/>
          <w:szCs w:val="21"/>
        </w:rPr>
      </w:pPr>
      <w:r>
        <w:rPr>
          <w:b/>
          <w:bCs/>
          <w:color w:val="000000"/>
          <w:sz w:val="21"/>
          <w:szCs w:val="21"/>
        </w:rPr>
        <w:t>What happens If your credit rating is sti</w:t>
      </w:r>
      <w:r>
        <w:rPr>
          <w:b/>
          <w:bCs/>
          <w:color w:val="000000"/>
          <w:sz w:val="21"/>
          <w:szCs w:val="21"/>
        </w:rPr>
        <w:t xml:space="preserve">ll good </w:t>
      </w:r>
    </w:p>
    <w:p w14:paraId="269BF767" w14:textId="77777777" w:rsidR="007960A8" w:rsidRDefault="00A26397">
      <w:pPr>
        <w:widowControl/>
        <w:numPr>
          <w:ilvl w:val="2"/>
          <w:numId w:val="24"/>
        </w:numPr>
        <w:pBdr>
          <w:top w:val="nil"/>
          <w:left w:val="nil"/>
          <w:bottom w:val="nil"/>
          <w:right w:val="nil"/>
          <w:between w:val="nil"/>
        </w:pBdr>
        <w:spacing w:after="240"/>
        <w:jc w:val="both"/>
      </w:pPr>
      <w:r>
        <w:rPr>
          <w:color w:val="000000"/>
          <w:sz w:val="21"/>
          <w:szCs w:val="21"/>
        </w:rPr>
        <w:t xml:space="preserve">Without prejudice to the </w:t>
      </w:r>
      <w:r>
        <w:rPr>
          <w:i/>
          <w:iCs/>
          <w:color w:val="000000"/>
          <w:sz w:val="21"/>
          <w:szCs w:val="21"/>
        </w:rPr>
        <w:t>Service Provider’s</w:t>
      </w:r>
      <w:r>
        <w:rPr>
          <w:color w:val="000000"/>
          <w:sz w:val="21"/>
          <w:szCs w:val="21"/>
        </w:rPr>
        <w:t xml:space="preserve"> obligations and the </w:t>
      </w:r>
      <w:r>
        <w:rPr>
          <w:i/>
          <w:iCs/>
          <w:color w:val="000000"/>
          <w:sz w:val="21"/>
          <w:szCs w:val="21"/>
        </w:rPr>
        <w:t>Client’s</w:t>
      </w:r>
      <w:r>
        <w:rPr>
          <w:color w:val="000000"/>
          <w:sz w:val="21"/>
          <w:szCs w:val="21"/>
        </w:rPr>
        <w:t xml:space="preserve"> rights and remedies under Paragraph 5, if, following the occurrence of a Financial Distress Event, the Rating Agency reviews and reports subsequently that the credit rating d</w:t>
      </w:r>
      <w:r>
        <w:rPr>
          <w:color w:val="000000"/>
          <w:sz w:val="21"/>
          <w:szCs w:val="21"/>
        </w:rPr>
        <w:t xml:space="preserve">oes not drop below the relevant Credit Rating Threshold, then: </w:t>
      </w:r>
    </w:p>
    <w:p w14:paraId="486EF160"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be relieved automatically of its obligations under Paragraphs 4.3 to 4.6; and </w:t>
      </w:r>
    </w:p>
    <w:p w14:paraId="632ECA3D" w14:textId="77777777" w:rsidR="007960A8" w:rsidRDefault="00A26397">
      <w:pPr>
        <w:widowControl/>
        <w:numPr>
          <w:ilvl w:val="3"/>
          <w:numId w:val="2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shall not be entitled to require the </w:t>
      </w:r>
      <w:r>
        <w:rPr>
          <w:i/>
          <w:iCs/>
          <w:color w:val="000000"/>
          <w:sz w:val="21"/>
          <w:szCs w:val="21"/>
        </w:rPr>
        <w:t>Service Provider</w:t>
      </w:r>
      <w:r>
        <w:rPr>
          <w:color w:val="000000"/>
          <w:sz w:val="21"/>
          <w:szCs w:val="21"/>
        </w:rPr>
        <w:t xml:space="preserve"> to provide financial information in accordance with Paragraph 4.3.2(b).  </w:t>
      </w:r>
    </w:p>
    <w:p w14:paraId="15116240" w14:textId="77777777" w:rsidR="007960A8" w:rsidRDefault="00A26397">
      <w:pPr>
        <w:spacing w:line="251" w:lineRule="auto"/>
        <w:rPr>
          <w:rFonts w:ascii="Calibri" w:eastAsia="Calibri" w:hAnsi="Calibri" w:cs="Calibri"/>
        </w:rPr>
      </w:pPr>
      <w:r>
        <w:rPr>
          <w:rFonts w:ascii="Calibri" w:eastAsia="Calibri" w:hAnsi="Calibri" w:cs="Calibri"/>
          <w:color w:val="FFFFFF"/>
        </w:rPr>
        <w:t xml:space="preserve">0. </w:t>
      </w:r>
    </w:p>
    <w:p w14:paraId="56F2EDCA" w14:textId="77777777" w:rsidR="007960A8" w:rsidRDefault="00A26397">
      <w:pPr>
        <w:keepNext/>
        <w:pageBreakBefore/>
        <w:widowControl/>
        <w:numPr>
          <w:ilvl w:val="0"/>
          <w:numId w:val="22"/>
        </w:numPr>
        <w:pBdr>
          <w:top w:val="nil"/>
          <w:left w:val="nil"/>
          <w:bottom w:val="nil"/>
          <w:right w:val="nil"/>
          <w:between w:val="nil"/>
        </w:pBdr>
        <w:tabs>
          <w:tab w:val="left" w:pos="2160"/>
        </w:tabs>
        <w:spacing w:after="240"/>
        <w:jc w:val="center"/>
      </w:pPr>
      <w:r>
        <w:rPr>
          <w:b/>
          <w:bCs/>
          <w:color w:val="000000"/>
          <w:sz w:val="28"/>
          <w:szCs w:val="28"/>
        </w:rPr>
        <w:t xml:space="preserve">Rating Agency </w:t>
      </w:r>
    </w:p>
    <w:p w14:paraId="40995598" w14:textId="77777777" w:rsidR="007960A8" w:rsidRDefault="00A26397">
      <w:pPr>
        <w:ind w:left="142"/>
        <w:rPr>
          <w:rFonts w:ascii="Calibri" w:eastAsia="Calibri" w:hAnsi="Calibri" w:cs="Calibri"/>
        </w:rPr>
      </w:pPr>
      <w:r>
        <w:rPr>
          <w:rFonts w:ascii="Calibri" w:eastAsia="Calibri" w:hAnsi="Calibri" w:cs="Calibri"/>
        </w:rPr>
        <w:t>[</w:t>
      </w:r>
      <w:r>
        <w:rPr>
          <w:rFonts w:ascii="Calibri" w:eastAsia="Calibri" w:hAnsi="Calibri" w:cs="Calibri"/>
        </w:rPr>
        <w:tab/>
      </w:r>
      <w:r>
        <w:rPr>
          <w:rFonts w:ascii="Calibri" w:eastAsia="Calibri" w:hAnsi="Calibri" w:cs="Calibri"/>
        </w:rPr>
        <w:tab/>
        <w:t>]</w:t>
      </w:r>
    </w:p>
    <w:p w14:paraId="557581AF" w14:textId="77777777" w:rsidR="007960A8" w:rsidRDefault="00A26397">
      <w:pPr>
        <w:keepNext/>
        <w:pageBreakBefore/>
        <w:widowControl/>
        <w:numPr>
          <w:ilvl w:val="0"/>
          <w:numId w:val="22"/>
        </w:numPr>
        <w:pBdr>
          <w:top w:val="nil"/>
          <w:left w:val="nil"/>
          <w:bottom w:val="nil"/>
          <w:right w:val="nil"/>
          <w:between w:val="nil"/>
        </w:pBdr>
        <w:tabs>
          <w:tab w:val="left" w:pos="2160"/>
        </w:tabs>
        <w:spacing w:after="240"/>
        <w:jc w:val="center"/>
      </w:pPr>
      <w:r>
        <w:rPr>
          <w:b/>
          <w:bCs/>
          <w:color w:val="000000"/>
          <w:sz w:val="28"/>
          <w:szCs w:val="28"/>
        </w:rPr>
        <w:t>Credit Ratings &amp; Credit Rating Thresholds</w:t>
      </w:r>
      <w:r>
        <w:rPr>
          <w:b/>
          <w:bCs/>
          <w:color w:val="000000"/>
          <w:sz w:val="28"/>
          <w:szCs w:val="28"/>
          <w:vertAlign w:val="subscript"/>
        </w:rPr>
        <w:t xml:space="preserve"> </w:t>
      </w:r>
    </w:p>
    <w:p w14:paraId="17FCEBC5" w14:textId="77777777" w:rsidR="007960A8" w:rsidRDefault="00A26397">
      <w:pPr>
        <w:pStyle w:val="Heading1"/>
        <w:widowControl/>
        <w:numPr>
          <w:ilvl w:val="0"/>
          <w:numId w:val="97"/>
        </w:numPr>
        <w:spacing w:after="240"/>
        <w:jc w:val="both"/>
        <w:rPr>
          <w:sz w:val="21"/>
          <w:szCs w:val="21"/>
        </w:rPr>
      </w:pPr>
      <w:r>
        <w:rPr>
          <w:sz w:val="21"/>
          <w:szCs w:val="21"/>
        </w:rPr>
        <w:t xml:space="preserve"> Current Rating </w:t>
      </w:r>
    </w:p>
    <w:tbl>
      <w:tblPr>
        <w:tblStyle w:val="af3"/>
        <w:tblW w:w="9017" w:type="dxa"/>
        <w:tblInd w:w="5" w:type="dxa"/>
        <w:tblLayout w:type="fixed"/>
        <w:tblLook w:val="0400" w:firstRow="0" w:lastRow="0" w:firstColumn="0" w:lastColumn="0" w:noHBand="0" w:noVBand="1"/>
      </w:tblPr>
      <w:tblGrid>
        <w:gridCol w:w="2579"/>
        <w:gridCol w:w="467"/>
        <w:gridCol w:w="3031"/>
        <w:gridCol w:w="2940"/>
      </w:tblGrid>
      <w:tr w:rsidR="007960A8" w14:paraId="1C5C2AF1" w14:textId="77777777">
        <w:trPr>
          <w:trHeight w:val="924"/>
        </w:trPr>
        <w:tc>
          <w:tcPr>
            <w:tcW w:w="2579" w:type="dxa"/>
            <w:tcBorders>
              <w:top w:val="single" w:sz="4" w:space="0" w:color="000000"/>
              <w:left w:val="single" w:sz="4" w:space="0" w:color="000000"/>
              <w:bottom w:val="single" w:sz="6" w:space="0" w:color="000000"/>
            </w:tcBorders>
            <w:tcMar>
              <w:top w:w="48" w:type="dxa"/>
              <w:left w:w="0" w:type="dxa"/>
              <w:bottom w:w="2" w:type="dxa"/>
              <w:right w:w="0" w:type="dxa"/>
            </w:tcMar>
          </w:tcPr>
          <w:p w14:paraId="5CEDAC32" w14:textId="77777777" w:rsidR="007960A8" w:rsidRDefault="00A26397">
            <w:pPr>
              <w:spacing w:line="251" w:lineRule="auto"/>
              <w:ind w:left="250"/>
              <w:rPr>
                <w:b/>
                <w:bCs/>
                <w:sz w:val="21"/>
                <w:szCs w:val="21"/>
              </w:rPr>
            </w:pPr>
            <w:r>
              <w:rPr>
                <w:b/>
                <w:bCs/>
                <w:sz w:val="21"/>
                <w:szCs w:val="21"/>
              </w:rPr>
              <w:t xml:space="preserve">Entity </w:t>
            </w:r>
          </w:p>
        </w:tc>
        <w:tc>
          <w:tcPr>
            <w:tcW w:w="467" w:type="dxa"/>
            <w:tcBorders>
              <w:top w:val="single" w:sz="4" w:space="0" w:color="000000"/>
              <w:bottom w:val="single" w:sz="6" w:space="0" w:color="000000"/>
              <w:right w:val="single" w:sz="6" w:space="0" w:color="000000"/>
            </w:tcBorders>
            <w:tcMar>
              <w:top w:w="48" w:type="dxa"/>
              <w:left w:w="0" w:type="dxa"/>
              <w:bottom w:w="2" w:type="dxa"/>
              <w:right w:w="0" w:type="dxa"/>
            </w:tcMar>
          </w:tcPr>
          <w:p w14:paraId="24F3ECE2" w14:textId="77777777" w:rsidR="007960A8" w:rsidRDefault="007960A8">
            <w:pPr>
              <w:spacing w:after="160" w:line="251" w:lineRule="auto"/>
              <w:rPr>
                <w:b/>
                <w:bCs/>
                <w:sz w:val="21"/>
                <w:szCs w:val="21"/>
              </w:rPr>
            </w:pPr>
          </w:p>
        </w:tc>
        <w:tc>
          <w:tcPr>
            <w:tcW w:w="3031" w:type="dxa"/>
            <w:tcBorders>
              <w:top w:val="single" w:sz="4" w:space="0" w:color="000000"/>
              <w:left w:val="single" w:sz="6" w:space="0" w:color="000000"/>
              <w:bottom w:val="single" w:sz="6" w:space="0" w:color="000000"/>
              <w:right w:val="single" w:sz="6" w:space="0" w:color="000000"/>
            </w:tcBorders>
            <w:tcMar>
              <w:top w:w="48" w:type="dxa"/>
              <w:left w:w="0" w:type="dxa"/>
              <w:bottom w:w="2" w:type="dxa"/>
              <w:right w:w="0" w:type="dxa"/>
            </w:tcMar>
          </w:tcPr>
          <w:p w14:paraId="3CD35119" w14:textId="77777777" w:rsidR="007960A8" w:rsidRDefault="00A26397">
            <w:pPr>
              <w:spacing w:line="251" w:lineRule="auto"/>
              <w:ind w:left="250"/>
              <w:rPr>
                <w:b/>
                <w:bCs/>
                <w:sz w:val="21"/>
                <w:szCs w:val="21"/>
              </w:rPr>
            </w:pPr>
            <w:r>
              <w:rPr>
                <w:b/>
                <w:bCs/>
                <w:sz w:val="21"/>
                <w:szCs w:val="21"/>
              </w:rPr>
              <w:t xml:space="preserve">Credit rating (D&amp;B Failure Rating) </w:t>
            </w:r>
          </w:p>
        </w:tc>
        <w:tc>
          <w:tcPr>
            <w:tcW w:w="2940" w:type="dxa"/>
            <w:tcBorders>
              <w:top w:val="single" w:sz="4" w:space="0" w:color="000000"/>
              <w:left w:val="single" w:sz="6" w:space="0" w:color="000000"/>
              <w:bottom w:val="single" w:sz="6" w:space="0" w:color="000000"/>
              <w:right w:val="single" w:sz="4" w:space="0" w:color="000000"/>
            </w:tcBorders>
            <w:tcMar>
              <w:top w:w="48" w:type="dxa"/>
              <w:left w:w="0" w:type="dxa"/>
              <w:bottom w:w="2" w:type="dxa"/>
              <w:right w:w="0" w:type="dxa"/>
            </w:tcMar>
          </w:tcPr>
          <w:p w14:paraId="11DB125D" w14:textId="77777777" w:rsidR="007960A8" w:rsidRDefault="00A26397">
            <w:pPr>
              <w:spacing w:line="251" w:lineRule="auto"/>
              <w:ind w:left="250"/>
              <w:rPr>
                <w:b/>
                <w:bCs/>
                <w:sz w:val="21"/>
                <w:szCs w:val="21"/>
              </w:rPr>
            </w:pPr>
            <w:r>
              <w:rPr>
                <w:b/>
                <w:bCs/>
                <w:sz w:val="21"/>
                <w:szCs w:val="21"/>
              </w:rPr>
              <w:t xml:space="preserve">Credit Rating Threshold </w:t>
            </w:r>
          </w:p>
        </w:tc>
      </w:tr>
      <w:tr w:rsidR="007960A8" w14:paraId="55E59F00" w14:textId="77777777">
        <w:trPr>
          <w:trHeight w:val="926"/>
        </w:trPr>
        <w:tc>
          <w:tcPr>
            <w:tcW w:w="2579" w:type="dxa"/>
            <w:tcBorders>
              <w:top w:val="single" w:sz="6" w:space="0" w:color="000000"/>
              <w:left w:val="single" w:sz="4" w:space="0" w:color="000000"/>
              <w:bottom w:val="single" w:sz="6" w:space="0" w:color="000000"/>
            </w:tcBorders>
            <w:tcMar>
              <w:top w:w="48" w:type="dxa"/>
              <w:left w:w="0" w:type="dxa"/>
              <w:bottom w:w="2" w:type="dxa"/>
              <w:right w:w="0" w:type="dxa"/>
            </w:tcMar>
          </w:tcPr>
          <w:p w14:paraId="16E81906" w14:textId="77777777" w:rsidR="007960A8" w:rsidRDefault="00A26397">
            <w:pPr>
              <w:spacing w:line="251" w:lineRule="auto"/>
              <w:ind w:left="250"/>
              <w:rPr>
                <w:sz w:val="21"/>
                <w:szCs w:val="21"/>
              </w:rPr>
            </w:pPr>
            <w:r>
              <w:rPr>
                <w:sz w:val="21"/>
                <w:szCs w:val="21"/>
              </w:rPr>
              <w:t>Service Provider</w:t>
            </w:r>
          </w:p>
        </w:tc>
        <w:tc>
          <w:tcPr>
            <w:tcW w:w="467" w:type="dxa"/>
            <w:tcBorders>
              <w:top w:val="single" w:sz="6" w:space="0" w:color="000000"/>
              <w:bottom w:val="single" w:sz="6" w:space="0" w:color="000000"/>
              <w:right w:val="single" w:sz="6" w:space="0" w:color="000000"/>
            </w:tcBorders>
            <w:tcMar>
              <w:top w:w="48" w:type="dxa"/>
              <w:left w:w="0" w:type="dxa"/>
              <w:bottom w:w="2" w:type="dxa"/>
              <w:right w:w="0" w:type="dxa"/>
            </w:tcMar>
          </w:tcPr>
          <w:p w14:paraId="6114BADE" w14:textId="77777777" w:rsidR="007960A8" w:rsidRDefault="007960A8">
            <w:pPr>
              <w:spacing w:after="160" w:line="251" w:lineRule="auto"/>
              <w:rPr>
                <w:sz w:val="21"/>
                <w:szCs w:val="21"/>
              </w:rPr>
            </w:pPr>
          </w:p>
        </w:tc>
        <w:tc>
          <w:tcPr>
            <w:tcW w:w="3031" w:type="dxa"/>
            <w:tcBorders>
              <w:top w:val="single" w:sz="6" w:space="0" w:color="000000"/>
              <w:left w:val="single" w:sz="6" w:space="0" w:color="000000"/>
              <w:bottom w:val="single" w:sz="6" w:space="0" w:color="000000"/>
              <w:right w:val="single" w:sz="6" w:space="0" w:color="000000"/>
            </w:tcBorders>
            <w:tcMar>
              <w:top w:w="48" w:type="dxa"/>
              <w:left w:w="0" w:type="dxa"/>
              <w:bottom w:w="2" w:type="dxa"/>
              <w:right w:w="0" w:type="dxa"/>
            </w:tcMar>
          </w:tcPr>
          <w:p w14:paraId="7351BF9F" w14:textId="77777777" w:rsidR="007960A8" w:rsidRDefault="00A26397">
            <w:pPr>
              <w:spacing w:line="251" w:lineRule="auto"/>
              <w:ind w:left="250"/>
              <w:rPr>
                <w:sz w:val="21"/>
                <w:szCs w:val="21"/>
              </w:rPr>
            </w:pPr>
            <w:r>
              <w:rPr>
                <w:sz w:val="21"/>
                <w:szCs w:val="21"/>
              </w:rPr>
              <w:t>[  ( )]</w:t>
            </w:r>
          </w:p>
          <w:p w14:paraId="223122F6" w14:textId="77777777" w:rsidR="007960A8" w:rsidRDefault="007960A8">
            <w:pPr>
              <w:spacing w:line="251" w:lineRule="auto"/>
              <w:ind w:left="250"/>
              <w:rPr>
                <w:sz w:val="21"/>
                <w:szCs w:val="21"/>
              </w:rPr>
            </w:pPr>
          </w:p>
        </w:tc>
        <w:tc>
          <w:tcPr>
            <w:tcW w:w="2940" w:type="dxa"/>
            <w:tcBorders>
              <w:top w:val="single" w:sz="6" w:space="0" w:color="000000"/>
              <w:left w:val="single" w:sz="6" w:space="0" w:color="000000"/>
              <w:bottom w:val="single" w:sz="6" w:space="0" w:color="000000"/>
              <w:right w:val="single" w:sz="4" w:space="0" w:color="000000"/>
            </w:tcBorders>
            <w:tcMar>
              <w:top w:w="48" w:type="dxa"/>
              <w:left w:w="0" w:type="dxa"/>
              <w:bottom w:w="2" w:type="dxa"/>
              <w:right w:w="0" w:type="dxa"/>
            </w:tcMar>
            <w:vAlign w:val="bottom"/>
          </w:tcPr>
          <w:p w14:paraId="5216F5EE" w14:textId="77777777" w:rsidR="007960A8" w:rsidRDefault="00A26397">
            <w:pPr>
              <w:spacing w:line="251" w:lineRule="auto"/>
              <w:ind w:left="250"/>
              <w:rPr>
                <w:sz w:val="21"/>
                <w:szCs w:val="21"/>
              </w:rPr>
            </w:pPr>
            <w:r>
              <w:rPr>
                <w:sz w:val="21"/>
                <w:szCs w:val="21"/>
              </w:rPr>
              <w:t xml:space="preserve"> </w:t>
            </w:r>
          </w:p>
        </w:tc>
      </w:tr>
      <w:tr w:rsidR="007960A8" w14:paraId="19196E13" w14:textId="77777777">
        <w:trPr>
          <w:trHeight w:val="926"/>
        </w:trPr>
        <w:tc>
          <w:tcPr>
            <w:tcW w:w="2579" w:type="dxa"/>
            <w:tcBorders>
              <w:top w:val="single" w:sz="6" w:space="0" w:color="000000"/>
              <w:left w:val="single" w:sz="4" w:space="0" w:color="000000"/>
              <w:bottom w:val="single" w:sz="4" w:space="0" w:color="000000"/>
            </w:tcBorders>
            <w:tcMar>
              <w:top w:w="48" w:type="dxa"/>
              <w:left w:w="0" w:type="dxa"/>
              <w:bottom w:w="2" w:type="dxa"/>
              <w:right w:w="0" w:type="dxa"/>
            </w:tcMar>
          </w:tcPr>
          <w:p w14:paraId="6511A049" w14:textId="77777777" w:rsidR="007960A8" w:rsidRDefault="00A26397">
            <w:pPr>
              <w:spacing w:line="251" w:lineRule="auto"/>
              <w:ind w:left="51"/>
              <w:jc w:val="center"/>
              <w:rPr>
                <w:sz w:val="21"/>
                <w:szCs w:val="21"/>
              </w:rPr>
            </w:pPr>
            <w:r>
              <w:rPr>
                <w:sz w:val="21"/>
                <w:szCs w:val="21"/>
              </w:rPr>
              <w:t>Key Subcontractor</w:t>
            </w:r>
          </w:p>
        </w:tc>
        <w:tc>
          <w:tcPr>
            <w:tcW w:w="467" w:type="dxa"/>
            <w:tcBorders>
              <w:top w:val="single" w:sz="6" w:space="0" w:color="000000"/>
              <w:bottom w:val="single" w:sz="4" w:space="0" w:color="000000"/>
              <w:right w:val="single" w:sz="6" w:space="0" w:color="000000"/>
            </w:tcBorders>
            <w:tcMar>
              <w:top w:w="48" w:type="dxa"/>
              <w:left w:w="0" w:type="dxa"/>
              <w:bottom w:w="2" w:type="dxa"/>
              <w:right w:w="0" w:type="dxa"/>
            </w:tcMar>
          </w:tcPr>
          <w:p w14:paraId="703EEFD3" w14:textId="77777777" w:rsidR="007960A8" w:rsidRDefault="007960A8">
            <w:pPr>
              <w:spacing w:after="160" w:line="251" w:lineRule="auto"/>
              <w:rPr>
                <w:sz w:val="21"/>
                <w:szCs w:val="21"/>
              </w:rPr>
            </w:pPr>
          </w:p>
        </w:tc>
        <w:tc>
          <w:tcPr>
            <w:tcW w:w="3031" w:type="dxa"/>
            <w:tcBorders>
              <w:top w:val="single" w:sz="6" w:space="0" w:color="000000"/>
              <w:left w:val="single" w:sz="6" w:space="0" w:color="000000"/>
              <w:bottom w:val="single" w:sz="4" w:space="0" w:color="000000"/>
              <w:right w:val="single" w:sz="6" w:space="0" w:color="000000"/>
            </w:tcBorders>
            <w:tcMar>
              <w:top w:w="48" w:type="dxa"/>
              <w:left w:w="0" w:type="dxa"/>
              <w:bottom w:w="2" w:type="dxa"/>
              <w:right w:w="0" w:type="dxa"/>
            </w:tcMar>
          </w:tcPr>
          <w:p w14:paraId="398373A7" w14:textId="77777777" w:rsidR="007960A8" w:rsidRDefault="00A26397">
            <w:pPr>
              <w:spacing w:line="251" w:lineRule="auto"/>
              <w:ind w:left="250"/>
              <w:rPr>
                <w:sz w:val="21"/>
                <w:szCs w:val="21"/>
              </w:rPr>
            </w:pPr>
            <w:r>
              <w:rPr>
                <w:sz w:val="21"/>
                <w:szCs w:val="21"/>
              </w:rPr>
              <w:t>[  ( )]</w:t>
            </w:r>
          </w:p>
        </w:tc>
        <w:tc>
          <w:tcPr>
            <w:tcW w:w="2940" w:type="dxa"/>
            <w:tcBorders>
              <w:top w:val="single" w:sz="6" w:space="0" w:color="000000"/>
              <w:left w:val="single" w:sz="6" w:space="0" w:color="000000"/>
              <w:bottom w:val="single" w:sz="4" w:space="0" w:color="000000"/>
              <w:right w:val="single" w:sz="4" w:space="0" w:color="000000"/>
            </w:tcBorders>
            <w:tcMar>
              <w:top w:w="48" w:type="dxa"/>
              <w:left w:w="0" w:type="dxa"/>
              <w:bottom w:w="2" w:type="dxa"/>
              <w:right w:w="0" w:type="dxa"/>
            </w:tcMar>
            <w:vAlign w:val="bottom"/>
          </w:tcPr>
          <w:p w14:paraId="02F8AD35" w14:textId="77777777" w:rsidR="007960A8" w:rsidRDefault="007960A8">
            <w:pPr>
              <w:spacing w:line="251" w:lineRule="auto"/>
              <w:ind w:left="250"/>
              <w:rPr>
                <w:sz w:val="21"/>
                <w:szCs w:val="21"/>
              </w:rPr>
            </w:pPr>
          </w:p>
        </w:tc>
      </w:tr>
    </w:tbl>
    <w:p w14:paraId="7FA07BA2" w14:textId="77777777" w:rsidR="007960A8" w:rsidRDefault="007960A8">
      <w:pPr>
        <w:rPr>
          <w:rFonts w:ascii="Calibri" w:eastAsia="Calibri" w:hAnsi="Calibri" w:cs="Calibri"/>
        </w:rPr>
      </w:pPr>
    </w:p>
    <w:p w14:paraId="4AB3F78D" w14:textId="77777777" w:rsidR="007960A8" w:rsidRDefault="007960A8">
      <w:pPr>
        <w:widowControl/>
        <w:spacing w:after="160" w:line="259" w:lineRule="auto"/>
        <w:rPr>
          <w:b/>
          <w:bCs/>
          <w:u w:val="single"/>
        </w:rPr>
        <w:sectPr w:rsidR="007960A8">
          <w:pgSz w:w="11910" w:h="16840"/>
          <w:pgMar w:top="2080" w:right="1220" w:bottom="1200" w:left="1220" w:header="838" w:footer="1000" w:gutter="0"/>
          <w:cols w:space="720"/>
        </w:sectPr>
      </w:pPr>
    </w:p>
    <w:p w14:paraId="752CC63E" w14:textId="77777777" w:rsidR="007960A8" w:rsidRDefault="00A26397">
      <w:pPr>
        <w:pBdr>
          <w:top w:val="nil"/>
          <w:left w:val="nil"/>
          <w:bottom w:val="nil"/>
          <w:right w:val="nil"/>
          <w:between w:val="nil"/>
        </w:pBdr>
        <w:rPr>
          <w:b/>
          <w:bCs/>
          <w:i/>
          <w:iCs/>
          <w:color w:val="000000"/>
          <w:highlight w:val="yellow"/>
        </w:rPr>
      </w:pPr>
      <w:r>
        <w:rPr>
          <w:b/>
          <w:bCs/>
          <w:i/>
          <w:iCs/>
          <w:color w:val="000000"/>
          <w:highlight w:val="yellow"/>
        </w:rPr>
        <w:t>[Client Guidance: Clients may include their own security requirements in the Contract, or use the optional Security Schedule. The Security Schedule will need to be completed and then incorporated into in the Contract</w:t>
      </w:r>
    </w:p>
    <w:p w14:paraId="51BE398D" w14:textId="77777777" w:rsidR="007960A8" w:rsidRDefault="00A26397">
      <w:pPr>
        <w:pBdr>
          <w:top w:val="nil"/>
          <w:left w:val="nil"/>
          <w:bottom w:val="nil"/>
          <w:right w:val="nil"/>
          <w:between w:val="nil"/>
        </w:pBdr>
        <w:rPr>
          <w:b/>
          <w:bCs/>
          <w:i/>
          <w:iCs/>
          <w:color w:val="000000"/>
          <w:highlight w:val="yellow"/>
        </w:rPr>
      </w:pPr>
      <w:r>
        <w:rPr>
          <w:b/>
          <w:bCs/>
          <w:i/>
          <w:iCs/>
          <w:color w:val="000000"/>
          <w:highlight w:val="yellow"/>
        </w:rPr>
        <w:t>Please note that certain information wi</w:t>
      </w:r>
      <w:r>
        <w:rPr>
          <w:b/>
          <w:bCs/>
          <w:i/>
          <w:iCs/>
          <w:color w:val="000000"/>
          <w:highlight w:val="yellow"/>
        </w:rPr>
        <w:t>ll need to be populated/confirmed by Clients within the provisions of this Schedule in order to reflect the Client's own specific policies/requirements – the relevant provisions are highlighted in yellow.]</w:t>
      </w:r>
    </w:p>
    <w:p w14:paraId="09B2A7F9" w14:textId="77777777" w:rsidR="007960A8" w:rsidRDefault="007960A8">
      <w:pPr>
        <w:pBdr>
          <w:top w:val="nil"/>
          <w:left w:val="nil"/>
          <w:bottom w:val="nil"/>
          <w:right w:val="nil"/>
          <w:between w:val="nil"/>
        </w:pBdr>
        <w:rPr>
          <w:b/>
          <w:bCs/>
          <w:color w:val="000000"/>
        </w:rPr>
      </w:pPr>
    </w:p>
    <w:p w14:paraId="25E2B574" w14:textId="77777777" w:rsidR="007960A8" w:rsidRDefault="00A26397">
      <w:pPr>
        <w:pBdr>
          <w:top w:val="nil"/>
          <w:left w:val="nil"/>
          <w:bottom w:val="nil"/>
          <w:right w:val="nil"/>
          <w:between w:val="nil"/>
        </w:pBdr>
        <w:rPr>
          <w:b/>
          <w:bCs/>
          <w:color w:val="000000"/>
        </w:rPr>
      </w:pPr>
      <w:r>
        <w:rPr>
          <w:b/>
          <w:bCs/>
          <w:color w:val="000000"/>
        </w:rPr>
        <w:t>Schedule [Guidance: insert schedule ref here] Sec</w:t>
      </w:r>
      <w:r>
        <w:rPr>
          <w:b/>
          <w:bCs/>
          <w:color w:val="000000"/>
        </w:rPr>
        <w:t>urity</w:t>
      </w:r>
    </w:p>
    <w:p w14:paraId="0557ED40" w14:textId="77777777" w:rsidR="007960A8" w:rsidRDefault="007960A8">
      <w:pPr>
        <w:pBdr>
          <w:top w:val="nil"/>
          <w:left w:val="nil"/>
          <w:bottom w:val="nil"/>
          <w:right w:val="nil"/>
          <w:between w:val="nil"/>
        </w:pBdr>
        <w:rPr>
          <w:b/>
          <w:bCs/>
          <w:color w:val="000000"/>
        </w:rPr>
      </w:pPr>
    </w:p>
    <w:p w14:paraId="19355604" w14:textId="77777777" w:rsidR="007960A8" w:rsidRDefault="00A26397">
      <w:pPr>
        <w:widowControl/>
        <w:numPr>
          <w:ilvl w:val="1"/>
          <w:numId w:val="30"/>
        </w:numPr>
        <w:pBdr>
          <w:top w:val="nil"/>
          <w:left w:val="nil"/>
          <w:bottom w:val="nil"/>
          <w:right w:val="nil"/>
          <w:between w:val="nil"/>
        </w:pBdr>
        <w:spacing w:after="240"/>
        <w:jc w:val="both"/>
        <w:rPr>
          <w:b/>
          <w:bCs/>
          <w:color w:val="000000"/>
          <w:sz w:val="21"/>
          <w:szCs w:val="21"/>
        </w:rPr>
      </w:pPr>
      <w:r>
        <w:rPr>
          <w:b/>
          <w:bCs/>
          <w:color w:val="000000"/>
          <w:sz w:val="21"/>
          <w:szCs w:val="21"/>
        </w:rPr>
        <w:t>Client Options</w:t>
      </w:r>
    </w:p>
    <w:p w14:paraId="2E319FE9"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Where the </w:t>
      </w:r>
      <w:r>
        <w:rPr>
          <w:i/>
          <w:iCs/>
          <w:color w:val="000000"/>
          <w:sz w:val="21"/>
          <w:szCs w:val="21"/>
        </w:rPr>
        <w:t>Client</w:t>
      </w:r>
      <w:r>
        <w:rPr>
          <w:color w:val="000000"/>
          <w:sz w:val="21"/>
          <w:szCs w:val="21"/>
        </w:rPr>
        <w:t xml:space="preserve"> has selected an option in the table below, the </w:t>
      </w:r>
      <w:r>
        <w:rPr>
          <w:i/>
          <w:iCs/>
          <w:color w:val="000000"/>
          <w:sz w:val="21"/>
          <w:szCs w:val="21"/>
        </w:rPr>
        <w:t>Service Provider</w:t>
      </w:r>
      <w:r>
        <w:rPr>
          <w:color w:val="000000"/>
          <w:sz w:val="21"/>
          <w:szCs w:val="21"/>
        </w:rPr>
        <w:t xml:space="preserve"> must comply with the requirements relating to that option set out in the relevant Paragraph:</w:t>
      </w:r>
    </w:p>
    <w:tbl>
      <w:tblPr>
        <w:tblStyle w:val="af4"/>
        <w:tblW w:w="831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5101"/>
        <w:gridCol w:w="936"/>
      </w:tblGrid>
      <w:tr w:rsidR="007960A8" w14:paraId="18E22921" w14:textId="77777777">
        <w:tc>
          <w:tcPr>
            <w:tcW w:w="8312" w:type="dxa"/>
            <w:gridSpan w:val="3"/>
          </w:tcPr>
          <w:p w14:paraId="40D079E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Client Security Policies </w:t>
            </w:r>
            <w:r>
              <w:rPr>
                <w:color w:val="000000"/>
                <w:sz w:val="21"/>
                <w:szCs w:val="21"/>
              </w:rPr>
              <w:t>(see Paragraph 5)</w:t>
            </w:r>
          </w:p>
        </w:tc>
      </w:tr>
      <w:tr w:rsidR="007960A8" w14:paraId="1C052767" w14:textId="77777777">
        <w:trPr>
          <w:trHeight w:val="1495"/>
        </w:trPr>
        <w:tc>
          <w:tcPr>
            <w:tcW w:w="7376" w:type="dxa"/>
            <w:gridSpan w:val="2"/>
          </w:tcPr>
          <w:p w14:paraId="37509B0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requires the </w:t>
            </w:r>
            <w:r>
              <w:rPr>
                <w:i/>
                <w:iCs/>
                <w:color w:val="000000"/>
                <w:sz w:val="21"/>
                <w:szCs w:val="21"/>
              </w:rPr>
              <w:t>Service Provider</w:t>
            </w:r>
            <w:r>
              <w:rPr>
                <w:color w:val="000000"/>
                <w:sz w:val="21"/>
                <w:szCs w:val="21"/>
              </w:rPr>
              <w:t xml:space="preserve"> to comply with the following policies relating to security management:</w:t>
            </w:r>
          </w:p>
          <w:p w14:paraId="2A580C53" w14:textId="77777777" w:rsidR="007960A8" w:rsidRDefault="00A26397">
            <w:pPr>
              <w:widowControl/>
              <w:numPr>
                <w:ilvl w:val="0"/>
                <w:numId w:val="25"/>
              </w:numPr>
              <w:pBdr>
                <w:top w:val="nil"/>
                <w:left w:val="nil"/>
                <w:bottom w:val="nil"/>
                <w:right w:val="nil"/>
                <w:between w:val="nil"/>
              </w:pBdr>
              <w:spacing w:after="240"/>
              <w:jc w:val="both"/>
              <w:rPr>
                <w:b/>
                <w:bCs/>
                <w:i/>
                <w:iCs/>
                <w:color w:val="000000"/>
                <w:sz w:val="21"/>
                <w:szCs w:val="21"/>
                <w:highlight w:val="yellow"/>
              </w:rPr>
            </w:pPr>
            <w:r>
              <w:rPr>
                <w:b/>
                <w:bCs/>
                <w:i/>
                <w:iCs/>
                <w:color w:val="000000"/>
                <w:sz w:val="21"/>
                <w:szCs w:val="21"/>
                <w:highlight w:val="yellow"/>
              </w:rPr>
              <w:t xml:space="preserve">[Client Guidance: List Client security policies with which the Service Provider and Sub-contractors must comply] </w:t>
            </w:r>
          </w:p>
          <w:p w14:paraId="0EDD892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w:t>
            </w:r>
            <w:r>
              <w:rPr>
                <w:b/>
                <w:bCs/>
                <w:i/>
                <w:iCs/>
                <w:color w:val="000000"/>
                <w:sz w:val="21"/>
                <w:szCs w:val="21"/>
              </w:rPr>
              <w:t>Client Security Policies</w:t>
            </w:r>
            <w:r>
              <w:rPr>
                <w:color w:val="000000"/>
                <w:sz w:val="21"/>
                <w:szCs w:val="21"/>
              </w:rPr>
              <w:t>”</w:t>
            </w:r>
          </w:p>
        </w:tc>
        <w:tc>
          <w:tcPr>
            <w:tcW w:w="936" w:type="dxa"/>
          </w:tcPr>
          <w:p w14:paraId="63E324BC" w14:textId="77777777" w:rsidR="007960A8" w:rsidRDefault="00A26397">
            <w:pPr>
              <w:pBdr>
                <w:top w:val="nil"/>
                <w:left w:val="nil"/>
                <w:bottom w:val="nil"/>
                <w:right w:val="nil"/>
                <w:between w:val="nil"/>
              </w:pBdr>
              <w:spacing w:after="240"/>
              <w:rPr>
                <w:color w:val="000000"/>
                <w:sz w:val="21"/>
                <w:szCs w:val="21"/>
              </w:rPr>
            </w:pPr>
            <w:sdt>
              <w:sdtPr>
                <w:tag w:val="goog_rdk_0"/>
                <w:id w:val="1719085389"/>
              </w:sdtPr>
              <w:sdtEndPr/>
              <w:sdtContent>
                <w:r>
                  <w:rPr>
                    <w:rFonts w:ascii="Arial Unicode MS" w:eastAsia="Arial Unicode MS" w:hAnsi="Arial Unicode MS" w:cs="Arial Unicode MS"/>
                    <w:color w:val="000000"/>
                    <w:sz w:val="21"/>
                    <w:szCs w:val="21"/>
                  </w:rPr>
                  <w:t>☐</w:t>
                </w:r>
              </w:sdtContent>
            </w:sdt>
          </w:p>
        </w:tc>
      </w:tr>
      <w:tr w:rsidR="007960A8" w14:paraId="07EE2001" w14:textId="77777777">
        <w:tc>
          <w:tcPr>
            <w:tcW w:w="8312" w:type="dxa"/>
            <w:gridSpan w:val="3"/>
          </w:tcPr>
          <w:p w14:paraId="0CC54B8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Secure by Design Principles </w:t>
            </w:r>
            <w:r>
              <w:rPr>
                <w:color w:val="000000"/>
                <w:sz w:val="21"/>
                <w:szCs w:val="21"/>
              </w:rPr>
              <w:t>(see Paragraph 14.6)</w:t>
            </w:r>
          </w:p>
        </w:tc>
      </w:tr>
      <w:tr w:rsidR="007960A8" w14:paraId="42C51DD9" w14:textId="77777777">
        <w:tc>
          <w:tcPr>
            <w:tcW w:w="7376" w:type="dxa"/>
            <w:gridSpan w:val="2"/>
          </w:tcPr>
          <w:p w14:paraId="554E8A2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waives the requirement for the Security Management Plan to include an assessment of the </w:t>
            </w:r>
            <w:r>
              <w:rPr>
                <w:i/>
                <w:iCs/>
                <w:color w:val="000000"/>
                <w:sz w:val="21"/>
                <w:szCs w:val="21"/>
              </w:rPr>
              <w:t>Service Provider</w:t>
            </w:r>
            <w:r>
              <w:rPr>
                <w:color w:val="000000"/>
                <w:sz w:val="21"/>
                <w:szCs w:val="21"/>
              </w:rPr>
              <w:t xml:space="preserve"> Information Management System against the table in Appendix 6 (Secure by Design Principles Evaluation Table).</w:t>
            </w:r>
            <w:r>
              <w:rPr>
                <w:color w:val="000000"/>
                <w:sz w:val="21"/>
                <w:szCs w:val="21"/>
              </w:rPr>
              <w:tab/>
            </w:r>
            <w:sdt>
              <w:sdtPr>
                <w:tag w:val="goog_rdk_1"/>
                <w:id w:val="251503384"/>
              </w:sdtPr>
              <w:sdtEndPr/>
              <w:sdtContent>
                <w:r>
                  <w:rPr>
                    <w:rFonts w:ascii="Arial Unicode MS" w:eastAsia="Arial Unicode MS" w:hAnsi="Arial Unicode MS" w:cs="Arial Unicode MS"/>
                    <w:color w:val="000000"/>
                    <w:sz w:val="21"/>
                    <w:szCs w:val="21"/>
                  </w:rPr>
                  <w:t>☐</w:t>
                </w:r>
              </w:sdtContent>
            </w:sdt>
          </w:p>
        </w:tc>
        <w:tc>
          <w:tcPr>
            <w:tcW w:w="936" w:type="dxa"/>
          </w:tcPr>
          <w:p w14:paraId="4117A296" w14:textId="77777777" w:rsidR="007960A8" w:rsidRDefault="00A26397">
            <w:pPr>
              <w:pBdr>
                <w:top w:val="nil"/>
                <w:left w:val="nil"/>
                <w:bottom w:val="nil"/>
                <w:right w:val="nil"/>
                <w:between w:val="nil"/>
              </w:pBdr>
              <w:spacing w:after="240"/>
              <w:rPr>
                <w:color w:val="000000"/>
                <w:sz w:val="21"/>
                <w:szCs w:val="21"/>
              </w:rPr>
            </w:pPr>
            <w:sdt>
              <w:sdtPr>
                <w:tag w:val="goog_rdk_2"/>
                <w:id w:val="1491280483"/>
              </w:sdtPr>
              <w:sdtEndPr/>
              <w:sdtContent>
                <w:r>
                  <w:rPr>
                    <w:rFonts w:ascii="Arial Unicode MS" w:eastAsia="Arial Unicode MS" w:hAnsi="Arial Unicode MS" w:cs="Arial Unicode MS"/>
                    <w:color w:val="000000"/>
                    <w:sz w:val="21"/>
                    <w:szCs w:val="21"/>
                  </w:rPr>
                  <w:t>☐</w:t>
                </w:r>
              </w:sdtContent>
            </w:sdt>
          </w:p>
        </w:tc>
      </w:tr>
      <w:tr w:rsidR="007960A8" w14:paraId="4BC2AEAA" w14:textId="77777777">
        <w:tc>
          <w:tcPr>
            <w:tcW w:w="8312" w:type="dxa"/>
            <w:gridSpan w:val="3"/>
          </w:tcPr>
          <w:p w14:paraId="1F16E10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Locations </w:t>
            </w:r>
            <w:r>
              <w:rPr>
                <w:color w:val="000000"/>
                <w:sz w:val="21"/>
                <w:szCs w:val="21"/>
              </w:rPr>
              <w:t>(see Paragraph 1 of Appendix 1)</w:t>
            </w:r>
            <w:r>
              <w:rPr>
                <w:color w:val="000000"/>
                <w:sz w:val="21"/>
                <w:szCs w:val="21"/>
              </w:rPr>
              <w:tab/>
            </w:r>
          </w:p>
        </w:tc>
      </w:tr>
      <w:tr w:rsidR="007960A8" w14:paraId="73709A4B" w14:textId="77777777">
        <w:trPr>
          <w:trHeight w:val="197"/>
        </w:trPr>
        <w:tc>
          <w:tcPr>
            <w:tcW w:w="2275" w:type="dxa"/>
            <w:vMerge w:val="restart"/>
          </w:tcPr>
          <w:p w14:paraId="06B39EA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and Sub-contractors may store, access or Handle Government Data in: </w:t>
            </w:r>
          </w:p>
          <w:p w14:paraId="33DA3FEA" w14:textId="77777777" w:rsidR="007960A8" w:rsidRDefault="00A26397">
            <w:pPr>
              <w:pBdr>
                <w:top w:val="nil"/>
                <w:left w:val="nil"/>
                <w:bottom w:val="nil"/>
                <w:right w:val="nil"/>
                <w:between w:val="nil"/>
              </w:pBdr>
              <w:spacing w:after="240"/>
              <w:rPr>
                <w:b/>
                <w:bCs/>
                <w:i/>
                <w:iCs/>
                <w:color w:val="000000"/>
                <w:sz w:val="21"/>
                <w:szCs w:val="21"/>
              </w:rPr>
            </w:pPr>
            <w:r>
              <w:rPr>
                <w:b/>
                <w:bCs/>
                <w:i/>
                <w:iCs/>
                <w:color w:val="000000"/>
                <w:sz w:val="21"/>
                <w:szCs w:val="21"/>
                <w:highlight w:val="yellow"/>
              </w:rPr>
              <w:t>[Client Guidance: Include an "X" against the applicable item in the final column opposite]</w:t>
            </w:r>
          </w:p>
        </w:tc>
        <w:tc>
          <w:tcPr>
            <w:tcW w:w="5101" w:type="dxa"/>
          </w:tcPr>
          <w:p w14:paraId="56D2C64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United Kingdom only</w:t>
            </w:r>
          </w:p>
        </w:tc>
        <w:tc>
          <w:tcPr>
            <w:tcW w:w="936" w:type="dxa"/>
          </w:tcPr>
          <w:p w14:paraId="6F0D7C90" w14:textId="77777777" w:rsidR="007960A8" w:rsidRDefault="00A26397">
            <w:pPr>
              <w:pBdr>
                <w:top w:val="nil"/>
                <w:left w:val="nil"/>
                <w:bottom w:val="nil"/>
                <w:right w:val="nil"/>
                <w:between w:val="nil"/>
              </w:pBdr>
              <w:spacing w:after="240"/>
              <w:rPr>
                <w:color w:val="000000"/>
                <w:sz w:val="21"/>
                <w:szCs w:val="21"/>
              </w:rPr>
            </w:pPr>
            <w:sdt>
              <w:sdtPr>
                <w:tag w:val="goog_rdk_3"/>
                <w:id w:val="627696980"/>
              </w:sdtPr>
              <w:sdtEndPr/>
              <w:sdtContent>
                <w:r>
                  <w:rPr>
                    <w:rFonts w:ascii="Arial Unicode MS" w:eastAsia="Arial Unicode MS" w:hAnsi="Arial Unicode MS" w:cs="Arial Unicode MS"/>
                    <w:color w:val="000000"/>
                    <w:sz w:val="21"/>
                    <w:szCs w:val="21"/>
                  </w:rPr>
                  <w:t>☐</w:t>
                </w:r>
              </w:sdtContent>
            </w:sdt>
          </w:p>
        </w:tc>
      </w:tr>
      <w:tr w:rsidR="007960A8" w14:paraId="2A7D0CBB" w14:textId="77777777">
        <w:trPr>
          <w:trHeight w:val="1205"/>
        </w:trPr>
        <w:tc>
          <w:tcPr>
            <w:tcW w:w="2275" w:type="dxa"/>
            <w:vMerge/>
          </w:tcPr>
          <w:p w14:paraId="41DC245C"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356BB3A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territory as permitted by and in accordance with any regulations for the time being in force made under section 17A of the Data Protection Act 2018 (adequacy decisions by the Secretary of State)</w:t>
            </w:r>
          </w:p>
        </w:tc>
        <w:tc>
          <w:tcPr>
            <w:tcW w:w="936" w:type="dxa"/>
          </w:tcPr>
          <w:p w14:paraId="7FD85D37" w14:textId="77777777" w:rsidR="007960A8" w:rsidRDefault="00A26397">
            <w:pPr>
              <w:pBdr>
                <w:top w:val="nil"/>
                <w:left w:val="nil"/>
                <w:bottom w:val="nil"/>
                <w:right w:val="nil"/>
                <w:between w:val="nil"/>
              </w:pBdr>
              <w:spacing w:after="240"/>
              <w:rPr>
                <w:color w:val="000000"/>
                <w:sz w:val="21"/>
                <w:szCs w:val="21"/>
              </w:rPr>
            </w:pPr>
            <w:sdt>
              <w:sdtPr>
                <w:tag w:val="goog_rdk_4"/>
                <w:id w:val="-2022837946"/>
              </w:sdtPr>
              <w:sdtEndPr/>
              <w:sdtContent>
                <w:r>
                  <w:rPr>
                    <w:rFonts w:ascii="Arial Unicode MS" w:eastAsia="Arial Unicode MS" w:hAnsi="Arial Unicode MS" w:cs="Arial Unicode MS"/>
                    <w:color w:val="000000"/>
                    <w:sz w:val="21"/>
                    <w:szCs w:val="21"/>
                  </w:rPr>
                  <w:t>☐</w:t>
                </w:r>
              </w:sdtContent>
            </w:sdt>
          </w:p>
        </w:tc>
      </w:tr>
      <w:tr w:rsidR="007960A8" w14:paraId="7175A693" w14:textId="77777777">
        <w:trPr>
          <w:trHeight w:val="1205"/>
        </w:trPr>
        <w:tc>
          <w:tcPr>
            <w:tcW w:w="2275" w:type="dxa"/>
            <w:vMerge/>
          </w:tcPr>
          <w:p w14:paraId="1A5E1E41"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27BB5F8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anywhere in the world not prohibited by the </w:t>
            </w:r>
            <w:r>
              <w:rPr>
                <w:i/>
                <w:iCs/>
                <w:color w:val="000000"/>
                <w:sz w:val="21"/>
                <w:szCs w:val="21"/>
              </w:rPr>
              <w:t>Client</w:t>
            </w:r>
            <w:r>
              <w:rPr>
                <w:color w:val="000000"/>
                <w:sz w:val="21"/>
                <w:szCs w:val="21"/>
              </w:rPr>
              <w:t xml:space="preserve"> [Client Guidance: Where selecting this option Clients should review the Cabinet Office list of prohibited countries and any other Client specific policies and agree with the </w:t>
            </w:r>
            <w:r>
              <w:rPr>
                <w:i/>
                <w:iCs/>
                <w:color w:val="000000"/>
                <w:sz w:val="21"/>
                <w:szCs w:val="21"/>
              </w:rPr>
              <w:t>Service Provider</w:t>
            </w:r>
            <w:r>
              <w:rPr>
                <w:color w:val="000000"/>
                <w:sz w:val="21"/>
                <w:szCs w:val="21"/>
              </w:rPr>
              <w:t xml:space="preserve"> a written list</w:t>
            </w:r>
            <w:r>
              <w:rPr>
                <w:color w:val="000000"/>
                <w:sz w:val="21"/>
                <w:szCs w:val="21"/>
              </w:rPr>
              <w:t xml:space="preserve"> of permitted locations prior to the </w:t>
            </w:r>
            <w:r>
              <w:rPr>
                <w:i/>
                <w:iCs/>
                <w:color w:val="000000"/>
                <w:sz w:val="21"/>
                <w:szCs w:val="21"/>
              </w:rPr>
              <w:t>Service Provider</w:t>
            </w:r>
            <w:r>
              <w:rPr>
                <w:color w:val="000000"/>
                <w:sz w:val="21"/>
                <w:szCs w:val="21"/>
              </w:rPr>
              <w:t xml:space="preserve"> commencing any activities]</w:t>
            </w:r>
          </w:p>
        </w:tc>
        <w:tc>
          <w:tcPr>
            <w:tcW w:w="936" w:type="dxa"/>
          </w:tcPr>
          <w:p w14:paraId="5A4DB06A" w14:textId="77777777" w:rsidR="007960A8" w:rsidRDefault="00A26397">
            <w:pPr>
              <w:pBdr>
                <w:top w:val="nil"/>
                <w:left w:val="nil"/>
                <w:bottom w:val="nil"/>
                <w:right w:val="nil"/>
                <w:between w:val="nil"/>
              </w:pBdr>
              <w:spacing w:after="240"/>
              <w:rPr>
                <w:color w:val="000000"/>
                <w:sz w:val="21"/>
                <w:szCs w:val="21"/>
              </w:rPr>
            </w:pPr>
            <w:sdt>
              <w:sdtPr>
                <w:tag w:val="goog_rdk_5"/>
                <w:id w:val="-1740217140"/>
              </w:sdtPr>
              <w:sdtEndPr/>
              <w:sdtContent>
                <w:r>
                  <w:rPr>
                    <w:rFonts w:ascii="Arial Unicode MS" w:eastAsia="Arial Unicode MS" w:hAnsi="Arial Unicode MS" w:cs="Arial Unicode MS"/>
                    <w:color w:val="000000"/>
                    <w:sz w:val="21"/>
                    <w:szCs w:val="21"/>
                  </w:rPr>
                  <w:t>☐</w:t>
                </w:r>
              </w:sdtContent>
            </w:sdt>
          </w:p>
        </w:tc>
      </w:tr>
      <w:tr w:rsidR="007960A8" w14:paraId="73AFBA3E" w14:textId="77777777">
        <w:tc>
          <w:tcPr>
            <w:tcW w:w="8312" w:type="dxa"/>
            <w:gridSpan w:val="3"/>
          </w:tcPr>
          <w:p w14:paraId="49844DF6" w14:textId="77777777" w:rsidR="007960A8" w:rsidRDefault="00A26397">
            <w:pPr>
              <w:pBdr>
                <w:top w:val="nil"/>
                <w:left w:val="nil"/>
                <w:bottom w:val="nil"/>
                <w:right w:val="nil"/>
                <w:between w:val="nil"/>
              </w:pBdr>
              <w:spacing w:after="240"/>
              <w:rPr>
                <w:color w:val="000000"/>
                <w:sz w:val="21"/>
                <w:szCs w:val="21"/>
              </w:rPr>
            </w:pPr>
            <w:r>
              <w:rPr>
                <w:b/>
                <w:bCs/>
                <w:color w:val="000000"/>
                <w:sz w:val="21"/>
                <w:szCs w:val="21"/>
              </w:rPr>
              <w:t>Support Locations</w:t>
            </w:r>
            <w:r>
              <w:rPr>
                <w:color w:val="000000"/>
                <w:sz w:val="21"/>
                <w:szCs w:val="21"/>
              </w:rPr>
              <w:t xml:space="preserve"> (see Paragraph 1 of Appendix 1)</w:t>
            </w:r>
          </w:p>
        </w:tc>
      </w:tr>
      <w:tr w:rsidR="007960A8" w14:paraId="1AF60789" w14:textId="77777777">
        <w:trPr>
          <w:trHeight w:val="129"/>
        </w:trPr>
        <w:tc>
          <w:tcPr>
            <w:tcW w:w="2275" w:type="dxa"/>
            <w:vMerge w:val="restart"/>
          </w:tcPr>
          <w:p w14:paraId="3788E19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and Sub-contractors may operate Support Locations in: </w:t>
            </w:r>
          </w:p>
          <w:p w14:paraId="194374D7" w14:textId="77777777" w:rsidR="007960A8" w:rsidRDefault="00A26397">
            <w:pPr>
              <w:pBdr>
                <w:top w:val="nil"/>
                <w:left w:val="nil"/>
                <w:bottom w:val="nil"/>
                <w:right w:val="nil"/>
                <w:between w:val="nil"/>
              </w:pBdr>
              <w:spacing w:after="240"/>
              <w:rPr>
                <w:color w:val="000000"/>
                <w:sz w:val="21"/>
                <w:szCs w:val="21"/>
              </w:rPr>
            </w:pPr>
            <w:r>
              <w:rPr>
                <w:b/>
                <w:bCs/>
                <w:i/>
                <w:iCs/>
                <w:color w:val="000000"/>
                <w:sz w:val="21"/>
                <w:szCs w:val="21"/>
                <w:highlight w:val="yellow"/>
              </w:rPr>
              <w:t>[Client Guidance: Include an "X" against the applicable item in the final column opposite]</w:t>
            </w:r>
          </w:p>
        </w:tc>
        <w:tc>
          <w:tcPr>
            <w:tcW w:w="5101" w:type="dxa"/>
          </w:tcPr>
          <w:p w14:paraId="4BE60FC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United Kingdom only </w:t>
            </w:r>
          </w:p>
        </w:tc>
        <w:tc>
          <w:tcPr>
            <w:tcW w:w="936" w:type="dxa"/>
          </w:tcPr>
          <w:p w14:paraId="53F93869" w14:textId="77777777" w:rsidR="007960A8" w:rsidRDefault="00A26397">
            <w:pPr>
              <w:pBdr>
                <w:top w:val="nil"/>
                <w:left w:val="nil"/>
                <w:bottom w:val="nil"/>
                <w:right w:val="nil"/>
                <w:between w:val="nil"/>
              </w:pBdr>
              <w:spacing w:after="240"/>
              <w:rPr>
                <w:color w:val="000000"/>
                <w:sz w:val="21"/>
                <w:szCs w:val="21"/>
              </w:rPr>
            </w:pPr>
            <w:sdt>
              <w:sdtPr>
                <w:tag w:val="goog_rdk_6"/>
                <w:id w:val="-1296481929"/>
              </w:sdtPr>
              <w:sdtEndPr/>
              <w:sdtContent>
                <w:r>
                  <w:rPr>
                    <w:rFonts w:ascii="Arial Unicode MS" w:eastAsia="Arial Unicode MS" w:hAnsi="Arial Unicode MS" w:cs="Arial Unicode MS"/>
                    <w:color w:val="000000"/>
                    <w:sz w:val="21"/>
                    <w:szCs w:val="21"/>
                  </w:rPr>
                  <w:t>☐</w:t>
                </w:r>
              </w:sdtContent>
            </w:sdt>
          </w:p>
        </w:tc>
      </w:tr>
      <w:tr w:rsidR="007960A8" w14:paraId="47A09E13" w14:textId="77777777">
        <w:trPr>
          <w:trHeight w:val="965"/>
        </w:trPr>
        <w:tc>
          <w:tcPr>
            <w:tcW w:w="2275" w:type="dxa"/>
            <w:vMerge/>
          </w:tcPr>
          <w:p w14:paraId="6B8BE21E"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706E807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territory as permitted by and in accordance with any regulations for the time being in force made under section 17A of the Data Protection Act 2018 (adequacy decisions by the Secretary of State)</w:t>
            </w:r>
          </w:p>
        </w:tc>
        <w:tc>
          <w:tcPr>
            <w:tcW w:w="936" w:type="dxa"/>
          </w:tcPr>
          <w:p w14:paraId="5A4296D0" w14:textId="77777777" w:rsidR="007960A8" w:rsidRDefault="00A26397">
            <w:pPr>
              <w:pBdr>
                <w:top w:val="nil"/>
                <w:left w:val="nil"/>
                <w:bottom w:val="nil"/>
                <w:right w:val="nil"/>
                <w:between w:val="nil"/>
              </w:pBdr>
              <w:spacing w:after="240"/>
              <w:rPr>
                <w:color w:val="000000"/>
                <w:sz w:val="21"/>
                <w:szCs w:val="21"/>
              </w:rPr>
            </w:pPr>
            <w:sdt>
              <w:sdtPr>
                <w:tag w:val="goog_rdk_7"/>
                <w:id w:val="-913255021"/>
              </w:sdtPr>
              <w:sdtEndPr/>
              <w:sdtContent>
                <w:r>
                  <w:rPr>
                    <w:rFonts w:ascii="Arial Unicode MS" w:eastAsia="Arial Unicode MS" w:hAnsi="Arial Unicode MS" w:cs="Arial Unicode MS"/>
                    <w:color w:val="000000"/>
                    <w:sz w:val="21"/>
                    <w:szCs w:val="21"/>
                  </w:rPr>
                  <w:t>☐</w:t>
                </w:r>
              </w:sdtContent>
            </w:sdt>
          </w:p>
        </w:tc>
      </w:tr>
      <w:tr w:rsidR="007960A8" w14:paraId="2F4C6619" w14:textId="77777777">
        <w:trPr>
          <w:trHeight w:val="477"/>
        </w:trPr>
        <w:tc>
          <w:tcPr>
            <w:tcW w:w="2275" w:type="dxa"/>
            <w:vMerge/>
          </w:tcPr>
          <w:p w14:paraId="77DD2A0C"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7AA304D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anywhere in the world not prohibited by the </w:t>
            </w:r>
            <w:r>
              <w:rPr>
                <w:i/>
                <w:iCs/>
                <w:color w:val="000000"/>
                <w:sz w:val="21"/>
                <w:szCs w:val="21"/>
              </w:rPr>
              <w:t>Client</w:t>
            </w:r>
          </w:p>
        </w:tc>
        <w:tc>
          <w:tcPr>
            <w:tcW w:w="936" w:type="dxa"/>
          </w:tcPr>
          <w:p w14:paraId="5AFCCCDF" w14:textId="77777777" w:rsidR="007960A8" w:rsidRDefault="00A26397">
            <w:pPr>
              <w:pBdr>
                <w:top w:val="nil"/>
                <w:left w:val="nil"/>
                <w:bottom w:val="nil"/>
                <w:right w:val="nil"/>
                <w:between w:val="nil"/>
              </w:pBdr>
              <w:spacing w:after="240"/>
              <w:rPr>
                <w:color w:val="000000"/>
                <w:sz w:val="21"/>
                <w:szCs w:val="21"/>
              </w:rPr>
            </w:pPr>
            <w:sdt>
              <w:sdtPr>
                <w:tag w:val="goog_rdk_8"/>
                <w:id w:val="-667900604"/>
              </w:sdtPr>
              <w:sdtEndPr/>
              <w:sdtContent>
                <w:r>
                  <w:rPr>
                    <w:rFonts w:ascii="Arial Unicode MS" w:eastAsia="Arial Unicode MS" w:hAnsi="Arial Unicode MS" w:cs="Arial Unicode MS"/>
                    <w:color w:val="000000"/>
                    <w:sz w:val="21"/>
                    <w:szCs w:val="21"/>
                  </w:rPr>
                  <w:t>☐</w:t>
                </w:r>
              </w:sdtContent>
            </w:sdt>
          </w:p>
        </w:tc>
      </w:tr>
      <w:tr w:rsidR="007960A8" w14:paraId="08347E63" w14:textId="77777777">
        <w:tc>
          <w:tcPr>
            <w:tcW w:w="8312" w:type="dxa"/>
            <w:gridSpan w:val="3"/>
          </w:tcPr>
          <w:p w14:paraId="20F593D1" w14:textId="77777777" w:rsidR="007960A8" w:rsidRDefault="00A26397">
            <w:pPr>
              <w:pBdr>
                <w:top w:val="nil"/>
                <w:left w:val="nil"/>
                <w:bottom w:val="nil"/>
                <w:right w:val="nil"/>
                <w:between w:val="nil"/>
              </w:pBdr>
              <w:spacing w:after="240"/>
              <w:rPr>
                <w:color w:val="000000"/>
                <w:sz w:val="21"/>
                <w:szCs w:val="21"/>
              </w:rPr>
            </w:pPr>
            <w:r>
              <w:rPr>
                <w:b/>
                <w:bCs/>
                <w:color w:val="000000"/>
                <w:sz w:val="21"/>
                <w:szCs w:val="21"/>
              </w:rPr>
              <w:t>Development Activity</w:t>
            </w:r>
            <w:r>
              <w:rPr>
                <w:color w:val="000000"/>
                <w:sz w:val="21"/>
                <w:szCs w:val="21"/>
              </w:rPr>
              <w:t xml:space="preserve"> (see Appendix 2)</w:t>
            </w:r>
          </w:p>
        </w:tc>
      </w:tr>
      <w:tr w:rsidR="007960A8" w14:paraId="09E8285A" w14:textId="77777777">
        <w:tc>
          <w:tcPr>
            <w:tcW w:w="7376" w:type="dxa"/>
            <w:gridSpan w:val="2"/>
          </w:tcPr>
          <w:p w14:paraId="60E15E0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requires the </w:t>
            </w:r>
            <w:r>
              <w:rPr>
                <w:i/>
                <w:iCs/>
                <w:color w:val="000000"/>
                <w:sz w:val="21"/>
                <w:szCs w:val="21"/>
              </w:rPr>
              <w:t>Service Provider</w:t>
            </w:r>
            <w:r>
              <w:rPr>
                <w:color w:val="000000"/>
                <w:sz w:val="21"/>
                <w:szCs w:val="21"/>
              </w:rPr>
              <w:t xml:space="preserve"> to undertake Development Activity under the Contract and, as a consequence, Appendix 2 applies</w:t>
            </w:r>
          </w:p>
          <w:p w14:paraId="40E1FA81" w14:textId="77777777" w:rsidR="007960A8" w:rsidRDefault="00A26397">
            <w:pPr>
              <w:pBdr>
                <w:top w:val="nil"/>
                <w:left w:val="nil"/>
                <w:bottom w:val="nil"/>
                <w:right w:val="nil"/>
                <w:between w:val="nil"/>
              </w:pBdr>
              <w:spacing w:after="240"/>
              <w:rPr>
                <w:color w:val="000000"/>
                <w:sz w:val="21"/>
                <w:szCs w:val="21"/>
              </w:rPr>
            </w:pPr>
            <w:r>
              <w:rPr>
                <w:b/>
                <w:bCs/>
                <w:i/>
                <w:iCs/>
                <w:color w:val="000000"/>
                <w:sz w:val="21"/>
                <w:szCs w:val="21"/>
                <w:highlight w:val="yellow"/>
              </w:rPr>
              <w:t>[Client Guidance: Include an "X" in the final column opposite if Development Activity is required, or leave blank if no Development Activity is required]</w:t>
            </w:r>
          </w:p>
        </w:tc>
        <w:tc>
          <w:tcPr>
            <w:tcW w:w="936" w:type="dxa"/>
          </w:tcPr>
          <w:p w14:paraId="38540247" w14:textId="77777777" w:rsidR="007960A8" w:rsidRDefault="00A26397">
            <w:pPr>
              <w:pBdr>
                <w:top w:val="nil"/>
                <w:left w:val="nil"/>
                <w:bottom w:val="nil"/>
                <w:right w:val="nil"/>
                <w:between w:val="nil"/>
              </w:pBdr>
              <w:spacing w:after="240"/>
              <w:rPr>
                <w:color w:val="000000"/>
                <w:sz w:val="21"/>
                <w:szCs w:val="21"/>
              </w:rPr>
            </w:pPr>
            <w:sdt>
              <w:sdtPr>
                <w:tag w:val="goog_rdk_9"/>
                <w:id w:val="1932554875"/>
              </w:sdtPr>
              <w:sdtEndPr/>
              <w:sdtContent>
                <w:r>
                  <w:rPr>
                    <w:rFonts w:ascii="Arial Unicode MS" w:eastAsia="Arial Unicode MS" w:hAnsi="Arial Unicode MS" w:cs="Arial Unicode MS"/>
                    <w:color w:val="000000"/>
                    <w:sz w:val="21"/>
                    <w:szCs w:val="21"/>
                  </w:rPr>
                  <w:t>☐</w:t>
                </w:r>
              </w:sdtContent>
            </w:sdt>
          </w:p>
        </w:tc>
      </w:tr>
      <w:tr w:rsidR="007960A8" w14:paraId="526048AE" w14:textId="77777777">
        <w:tc>
          <w:tcPr>
            <w:tcW w:w="7376" w:type="dxa"/>
            <w:gridSpan w:val="2"/>
          </w:tcPr>
          <w:p w14:paraId="2A60ADE8" w14:textId="77777777" w:rsidR="007960A8" w:rsidRDefault="00A26397">
            <w:pPr>
              <w:pBdr>
                <w:top w:val="nil"/>
                <w:left w:val="nil"/>
                <w:bottom w:val="nil"/>
                <w:right w:val="nil"/>
                <w:between w:val="nil"/>
              </w:pBdr>
              <w:spacing w:after="240"/>
              <w:rPr>
                <w:color w:val="000000"/>
                <w:sz w:val="21"/>
                <w:szCs w:val="21"/>
              </w:rPr>
            </w:pPr>
            <w:r>
              <w:rPr>
                <w:b/>
                <w:bCs/>
                <w:color w:val="000000"/>
                <w:sz w:val="21"/>
                <w:szCs w:val="21"/>
              </w:rPr>
              <w:t>Locations for Development Activity</w:t>
            </w:r>
            <w:r>
              <w:rPr>
                <w:color w:val="000000"/>
                <w:sz w:val="21"/>
                <w:szCs w:val="21"/>
              </w:rPr>
              <w:t xml:space="preserve"> (applies only if the option relating to Development Activities is selected; see Paragraph 1 of Appendix 1) </w:t>
            </w:r>
          </w:p>
          <w:p w14:paraId="59FC735F" w14:textId="77777777" w:rsidR="007960A8" w:rsidRDefault="00A26397">
            <w:pPr>
              <w:pBdr>
                <w:top w:val="nil"/>
                <w:left w:val="nil"/>
                <w:bottom w:val="nil"/>
                <w:right w:val="nil"/>
                <w:between w:val="nil"/>
              </w:pBdr>
              <w:spacing w:after="240"/>
              <w:rPr>
                <w:color w:val="000000"/>
                <w:sz w:val="21"/>
                <w:szCs w:val="21"/>
              </w:rPr>
            </w:pPr>
            <w:r>
              <w:rPr>
                <w:b/>
                <w:bCs/>
                <w:i/>
                <w:iCs/>
                <w:color w:val="000000"/>
                <w:sz w:val="21"/>
                <w:szCs w:val="21"/>
                <w:highlight w:val="yellow"/>
              </w:rPr>
              <w:t>[Client Guidance: Include an "X" against the applicable item in the final column opposite, only if Development Ac</w:t>
            </w:r>
            <w:r>
              <w:rPr>
                <w:b/>
                <w:bCs/>
                <w:i/>
                <w:iCs/>
                <w:color w:val="000000"/>
                <w:sz w:val="21"/>
                <w:szCs w:val="21"/>
                <w:highlight w:val="yellow"/>
              </w:rPr>
              <w:t>tivity is required as confirmed in the preceding row]</w:t>
            </w:r>
          </w:p>
        </w:tc>
        <w:tc>
          <w:tcPr>
            <w:tcW w:w="936" w:type="dxa"/>
          </w:tcPr>
          <w:p w14:paraId="44E2F866" w14:textId="77777777" w:rsidR="007960A8" w:rsidRDefault="00A26397">
            <w:pPr>
              <w:pBdr>
                <w:top w:val="nil"/>
                <w:left w:val="nil"/>
                <w:bottom w:val="nil"/>
                <w:right w:val="nil"/>
                <w:between w:val="nil"/>
              </w:pBdr>
              <w:spacing w:after="240"/>
              <w:rPr>
                <w:color w:val="000000"/>
                <w:sz w:val="21"/>
                <w:szCs w:val="21"/>
              </w:rPr>
            </w:pPr>
            <w:sdt>
              <w:sdtPr>
                <w:tag w:val="goog_rdk_10"/>
                <w:id w:val="321224507"/>
              </w:sdtPr>
              <w:sdtEndPr/>
              <w:sdtContent>
                <w:r>
                  <w:rPr>
                    <w:rFonts w:ascii="Arial Unicode MS" w:eastAsia="Arial Unicode MS" w:hAnsi="Arial Unicode MS" w:cs="Arial Unicode MS"/>
                    <w:color w:val="000000"/>
                    <w:sz w:val="21"/>
                    <w:szCs w:val="21"/>
                  </w:rPr>
                  <w:t>☐</w:t>
                </w:r>
              </w:sdtContent>
            </w:sdt>
          </w:p>
        </w:tc>
      </w:tr>
      <w:tr w:rsidR="007960A8" w14:paraId="2351528D" w14:textId="77777777">
        <w:trPr>
          <w:trHeight w:val="215"/>
        </w:trPr>
        <w:tc>
          <w:tcPr>
            <w:tcW w:w="2275" w:type="dxa"/>
            <w:vMerge w:val="restart"/>
          </w:tcPr>
          <w:p w14:paraId="52D11D1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and Sub-contractors may undertake Development Activity in:</w:t>
            </w:r>
          </w:p>
        </w:tc>
        <w:tc>
          <w:tcPr>
            <w:tcW w:w="5101" w:type="dxa"/>
          </w:tcPr>
          <w:p w14:paraId="3B54F78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United Kingdom only</w:t>
            </w:r>
          </w:p>
        </w:tc>
        <w:tc>
          <w:tcPr>
            <w:tcW w:w="936" w:type="dxa"/>
          </w:tcPr>
          <w:p w14:paraId="45A9EF62" w14:textId="77777777" w:rsidR="007960A8" w:rsidRDefault="00A26397">
            <w:pPr>
              <w:pBdr>
                <w:top w:val="nil"/>
                <w:left w:val="nil"/>
                <w:bottom w:val="nil"/>
                <w:right w:val="nil"/>
                <w:between w:val="nil"/>
              </w:pBdr>
              <w:spacing w:after="240"/>
              <w:rPr>
                <w:color w:val="000000"/>
                <w:sz w:val="21"/>
                <w:szCs w:val="21"/>
              </w:rPr>
            </w:pPr>
            <w:sdt>
              <w:sdtPr>
                <w:tag w:val="goog_rdk_11"/>
                <w:id w:val="1543852562"/>
              </w:sdtPr>
              <w:sdtEndPr/>
              <w:sdtContent>
                <w:r>
                  <w:rPr>
                    <w:rFonts w:ascii="Arial Unicode MS" w:eastAsia="Arial Unicode MS" w:hAnsi="Arial Unicode MS" w:cs="Arial Unicode MS"/>
                    <w:color w:val="000000"/>
                    <w:sz w:val="21"/>
                    <w:szCs w:val="21"/>
                  </w:rPr>
                  <w:t>☐</w:t>
                </w:r>
              </w:sdtContent>
            </w:sdt>
          </w:p>
        </w:tc>
      </w:tr>
      <w:tr w:rsidR="007960A8" w14:paraId="25A34853" w14:textId="77777777">
        <w:trPr>
          <w:trHeight w:val="851"/>
        </w:trPr>
        <w:tc>
          <w:tcPr>
            <w:tcW w:w="2275" w:type="dxa"/>
            <w:vMerge/>
          </w:tcPr>
          <w:p w14:paraId="01D8BDCC"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72F5F50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territory as permitted by and in accordance with any regulations for the time being in force made under section 17A of the Data Protection Act 2018 (adequacy decisions by the Secretary of State)</w:t>
            </w:r>
          </w:p>
        </w:tc>
        <w:tc>
          <w:tcPr>
            <w:tcW w:w="936" w:type="dxa"/>
          </w:tcPr>
          <w:p w14:paraId="60C5F70B" w14:textId="77777777" w:rsidR="007960A8" w:rsidRDefault="00A26397">
            <w:pPr>
              <w:pBdr>
                <w:top w:val="nil"/>
                <w:left w:val="nil"/>
                <w:bottom w:val="nil"/>
                <w:right w:val="nil"/>
                <w:between w:val="nil"/>
              </w:pBdr>
              <w:spacing w:after="240"/>
              <w:rPr>
                <w:color w:val="000000"/>
                <w:sz w:val="21"/>
                <w:szCs w:val="21"/>
              </w:rPr>
            </w:pPr>
            <w:sdt>
              <w:sdtPr>
                <w:tag w:val="goog_rdk_12"/>
                <w:id w:val="-1628849584"/>
              </w:sdtPr>
              <w:sdtEndPr/>
              <w:sdtContent>
                <w:r>
                  <w:rPr>
                    <w:rFonts w:ascii="Arial Unicode MS" w:eastAsia="Arial Unicode MS" w:hAnsi="Arial Unicode MS" w:cs="Arial Unicode MS"/>
                    <w:color w:val="000000"/>
                    <w:sz w:val="21"/>
                    <w:szCs w:val="21"/>
                  </w:rPr>
                  <w:t>☐</w:t>
                </w:r>
              </w:sdtContent>
            </w:sdt>
          </w:p>
        </w:tc>
      </w:tr>
      <w:tr w:rsidR="007960A8" w14:paraId="061ADFD6" w14:textId="77777777">
        <w:trPr>
          <w:trHeight w:val="345"/>
        </w:trPr>
        <w:tc>
          <w:tcPr>
            <w:tcW w:w="2275" w:type="dxa"/>
            <w:vMerge/>
          </w:tcPr>
          <w:p w14:paraId="041A5E24" w14:textId="77777777" w:rsidR="007960A8" w:rsidRDefault="007960A8">
            <w:pPr>
              <w:pBdr>
                <w:top w:val="nil"/>
                <w:left w:val="nil"/>
                <w:bottom w:val="nil"/>
                <w:right w:val="nil"/>
                <w:between w:val="nil"/>
              </w:pBdr>
              <w:spacing w:line="276" w:lineRule="auto"/>
              <w:rPr>
                <w:color w:val="000000"/>
                <w:sz w:val="21"/>
                <w:szCs w:val="21"/>
              </w:rPr>
            </w:pPr>
          </w:p>
        </w:tc>
        <w:tc>
          <w:tcPr>
            <w:tcW w:w="5101" w:type="dxa"/>
          </w:tcPr>
          <w:p w14:paraId="029A313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anywhere in the world not prohibited by the </w:t>
            </w:r>
            <w:r>
              <w:rPr>
                <w:i/>
                <w:iCs/>
                <w:color w:val="000000"/>
                <w:sz w:val="21"/>
                <w:szCs w:val="21"/>
              </w:rPr>
              <w:t>Client</w:t>
            </w:r>
          </w:p>
        </w:tc>
        <w:tc>
          <w:tcPr>
            <w:tcW w:w="936" w:type="dxa"/>
          </w:tcPr>
          <w:p w14:paraId="705EF646" w14:textId="77777777" w:rsidR="007960A8" w:rsidRDefault="00A26397">
            <w:pPr>
              <w:pBdr>
                <w:top w:val="nil"/>
                <w:left w:val="nil"/>
                <w:bottom w:val="nil"/>
                <w:right w:val="nil"/>
                <w:between w:val="nil"/>
              </w:pBdr>
              <w:spacing w:after="240"/>
              <w:rPr>
                <w:color w:val="000000"/>
                <w:sz w:val="21"/>
                <w:szCs w:val="21"/>
              </w:rPr>
            </w:pPr>
            <w:sdt>
              <w:sdtPr>
                <w:tag w:val="goog_rdk_13"/>
                <w:id w:val="-1583503812"/>
              </w:sdtPr>
              <w:sdtEndPr/>
              <w:sdtContent>
                <w:r>
                  <w:rPr>
                    <w:rFonts w:ascii="Arial Unicode MS" w:eastAsia="Arial Unicode MS" w:hAnsi="Arial Unicode MS" w:cs="Arial Unicode MS"/>
                    <w:color w:val="000000"/>
                    <w:sz w:val="21"/>
                    <w:szCs w:val="21"/>
                  </w:rPr>
                  <w:t>☐</w:t>
                </w:r>
              </w:sdtContent>
            </w:sdt>
          </w:p>
        </w:tc>
      </w:tr>
    </w:tbl>
    <w:p w14:paraId="5009B749" w14:textId="77777777" w:rsidR="007960A8" w:rsidRDefault="007960A8">
      <w:pPr>
        <w:widowControl/>
        <w:pBdr>
          <w:top w:val="nil"/>
          <w:left w:val="nil"/>
          <w:bottom w:val="nil"/>
          <w:right w:val="nil"/>
          <w:between w:val="nil"/>
        </w:pBdr>
        <w:spacing w:after="240"/>
        <w:ind w:left="720" w:hanging="720"/>
        <w:jc w:val="both"/>
        <w:rPr>
          <w:b/>
          <w:bCs/>
          <w:color w:val="000000"/>
          <w:sz w:val="21"/>
          <w:szCs w:val="21"/>
        </w:rPr>
      </w:pPr>
    </w:p>
    <w:p w14:paraId="1FC93B3F"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Definitions</w:t>
      </w:r>
    </w:p>
    <w:p w14:paraId="05F29D8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In this Schedule, the following words shall have the following meanings and they shall supplement the definitions in the Contract:</w:t>
      </w:r>
    </w:p>
    <w:tbl>
      <w:tblPr>
        <w:tblStyle w:val="af5"/>
        <w:tblW w:w="7613" w:type="dxa"/>
        <w:tblInd w:w="1413" w:type="dxa"/>
        <w:tblBorders>
          <w:top w:val="nil"/>
          <w:left w:val="nil"/>
          <w:bottom w:val="nil"/>
          <w:right w:val="nil"/>
          <w:insideH w:val="nil"/>
          <w:insideV w:val="nil"/>
        </w:tblBorders>
        <w:tblLayout w:type="fixed"/>
        <w:tblLook w:val="0400" w:firstRow="0" w:lastRow="0" w:firstColumn="0" w:lastColumn="0" w:noHBand="0" w:noVBand="1"/>
      </w:tblPr>
      <w:tblGrid>
        <w:gridCol w:w="2415"/>
        <w:gridCol w:w="5198"/>
      </w:tblGrid>
      <w:tr w:rsidR="007960A8" w14:paraId="093C5FFF" w14:textId="77777777">
        <w:tc>
          <w:tcPr>
            <w:tcW w:w="2415" w:type="dxa"/>
          </w:tcPr>
          <w:p w14:paraId="479316D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“Authority Cause”</w:t>
            </w:r>
          </w:p>
        </w:tc>
        <w:tc>
          <w:tcPr>
            <w:tcW w:w="5198" w:type="dxa"/>
          </w:tcPr>
          <w:p w14:paraId="70E12B0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breach of the obligations of the Relevant Authority or any other default, act, omission, negligence or </w:t>
            </w:r>
            <w:r>
              <w:rPr>
                <w:color w:val="000000"/>
                <w:sz w:val="21"/>
                <w:szCs w:val="21"/>
              </w:rPr>
              <w:t xml:space="preserve">statement of the Relevant Authority, of its employees, servants, agents in connection with or in relation to the subject-matter of the Contract and in respect of which the Relevant Authority is liable to the </w:t>
            </w:r>
            <w:r>
              <w:rPr>
                <w:i/>
                <w:iCs/>
                <w:color w:val="000000"/>
                <w:sz w:val="21"/>
                <w:szCs w:val="21"/>
              </w:rPr>
              <w:t>Service Provider</w:t>
            </w:r>
          </w:p>
        </w:tc>
      </w:tr>
      <w:tr w:rsidR="007960A8" w14:paraId="1E6FEFC1" w14:textId="77777777">
        <w:tc>
          <w:tcPr>
            <w:tcW w:w="2415" w:type="dxa"/>
          </w:tcPr>
          <w:p w14:paraId="6C3B72C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"Anti virus Software"</w:t>
            </w:r>
          </w:p>
        </w:tc>
        <w:tc>
          <w:tcPr>
            <w:tcW w:w="5198" w:type="dxa"/>
          </w:tcPr>
          <w:p w14:paraId="3FB03961"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software that: </w:t>
            </w:r>
          </w:p>
          <w:p w14:paraId="6696117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protects the Service Provider Information Management System from the possible introduction of Malicious Software;</w:t>
            </w:r>
          </w:p>
          <w:p w14:paraId="2629945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scans for and identifies possible Malicious Software in the Service Provider Information Management System;</w:t>
            </w:r>
          </w:p>
          <w:p w14:paraId="242BD23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(c)</w:t>
            </w:r>
            <w:r>
              <w:rPr>
                <w:color w:val="000000"/>
                <w:sz w:val="21"/>
                <w:szCs w:val="21"/>
              </w:rPr>
              <w:tab/>
              <w:t>if M</w:t>
            </w:r>
            <w:r>
              <w:rPr>
                <w:color w:val="000000"/>
                <w:sz w:val="21"/>
                <w:szCs w:val="21"/>
              </w:rPr>
              <w:t>alicious Software is detected in the Service Provider Information Management System, so far as possible:</w:t>
            </w:r>
          </w:p>
          <w:p w14:paraId="402BC22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prevents the harmful effects of the Malicious Software; and</w:t>
            </w:r>
          </w:p>
          <w:p w14:paraId="69C3FA8D"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 xml:space="preserve">removes the Malicious Software from the Service Provider Information Management </w:t>
            </w:r>
            <w:r>
              <w:rPr>
                <w:color w:val="000000"/>
                <w:sz w:val="21"/>
                <w:szCs w:val="21"/>
              </w:rPr>
              <w:t>System;</w:t>
            </w:r>
          </w:p>
        </w:tc>
      </w:tr>
      <w:tr w:rsidR="007960A8" w14:paraId="01C5CACC" w14:textId="77777777">
        <w:tc>
          <w:tcPr>
            <w:tcW w:w="2415" w:type="dxa"/>
          </w:tcPr>
          <w:p w14:paraId="474D949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"Assets"</w:t>
            </w:r>
          </w:p>
        </w:tc>
        <w:tc>
          <w:tcPr>
            <w:tcW w:w="5198" w:type="dxa"/>
          </w:tcPr>
          <w:p w14:paraId="064AE1D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all assets and rights used by the </w:t>
            </w:r>
            <w:r>
              <w:rPr>
                <w:i/>
                <w:iCs/>
                <w:color w:val="000000"/>
                <w:sz w:val="21"/>
                <w:szCs w:val="21"/>
              </w:rPr>
              <w:t>Service Provider</w:t>
            </w:r>
            <w:r>
              <w:rPr>
                <w:color w:val="000000"/>
                <w:sz w:val="21"/>
                <w:szCs w:val="21"/>
              </w:rPr>
              <w:t xml:space="preserve"> to provide the </w:t>
            </w:r>
            <w:r>
              <w:rPr>
                <w:i/>
                <w:iCs/>
                <w:color w:val="000000"/>
                <w:sz w:val="21"/>
                <w:szCs w:val="21"/>
              </w:rPr>
              <w:t>services</w:t>
            </w:r>
            <w:r>
              <w:rPr>
                <w:color w:val="000000"/>
                <w:sz w:val="21"/>
                <w:szCs w:val="21"/>
              </w:rPr>
              <w:t xml:space="preserve"> in accordance with the Contract but excluding the Client Assets;</w:t>
            </w:r>
          </w:p>
        </w:tc>
      </w:tr>
      <w:tr w:rsidR="007960A8" w14:paraId="5F32AD53" w14:textId="77777777">
        <w:tc>
          <w:tcPr>
            <w:tcW w:w="2415" w:type="dxa"/>
          </w:tcPr>
          <w:p w14:paraId="1C01AC9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"Backup and Recovery Plan"</w:t>
            </w:r>
          </w:p>
        </w:tc>
        <w:tc>
          <w:tcPr>
            <w:tcW w:w="5198" w:type="dxa"/>
          </w:tcPr>
          <w:p w14:paraId="07478E8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section of the Security Management Plan setting out the </w:t>
            </w:r>
            <w:r>
              <w:rPr>
                <w:i/>
                <w:iCs/>
                <w:color w:val="000000"/>
                <w:sz w:val="21"/>
                <w:szCs w:val="21"/>
              </w:rPr>
              <w:t>Service Providers’</w:t>
            </w:r>
            <w:r>
              <w:rPr>
                <w:color w:val="000000"/>
                <w:sz w:val="21"/>
                <w:szCs w:val="21"/>
              </w:rPr>
              <w:t xml:space="preserve"> and Sub-contractors’ plans for the back and recovery of any Government Data they Handle;</w:t>
            </w:r>
          </w:p>
        </w:tc>
      </w:tr>
      <w:tr w:rsidR="007960A8" w14:paraId="6731F3DA" w14:textId="77777777">
        <w:tc>
          <w:tcPr>
            <w:tcW w:w="2415" w:type="dxa"/>
          </w:tcPr>
          <w:p w14:paraId="3630276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"Breach Action Plan"</w:t>
            </w:r>
          </w:p>
        </w:tc>
        <w:tc>
          <w:tcPr>
            <w:tcW w:w="5198" w:type="dxa"/>
          </w:tcPr>
          <w:p w14:paraId="7064D45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plan prepared under Paragraph 16.3 of Appendix 1 addressing any </w:t>
            </w:r>
            <w:r>
              <w:rPr>
                <w:color w:val="000000"/>
                <w:sz w:val="21"/>
                <w:szCs w:val="21"/>
              </w:rPr>
              <w:t>Breach of Security;</w:t>
            </w:r>
          </w:p>
        </w:tc>
      </w:tr>
      <w:tr w:rsidR="007960A8" w14:paraId="2C527F15" w14:textId="77777777">
        <w:tc>
          <w:tcPr>
            <w:tcW w:w="2415" w:type="dxa"/>
          </w:tcPr>
          <w:p w14:paraId="0264D68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"Breach of Security"</w:t>
            </w:r>
          </w:p>
        </w:tc>
        <w:tc>
          <w:tcPr>
            <w:tcW w:w="5198" w:type="dxa"/>
          </w:tcPr>
          <w:p w14:paraId="7186B4D5"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the occurrence of: </w:t>
            </w:r>
          </w:p>
          <w:p w14:paraId="57D44DA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any unauthorised access to or use of the </w:t>
            </w:r>
            <w:r>
              <w:rPr>
                <w:i/>
                <w:iCs/>
                <w:color w:val="000000"/>
                <w:sz w:val="21"/>
                <w:szCs w:val="21"/>
              </w:rPr>
              <w:t>services</w:t>
            </w:r>
            <w:r>
              <w:rPr>
                <w:color w:val="000000"/>
                <w:sz w:val="21"/>
                <w:szCs w:val="21"/>
              </w:rPr>
              <w:t xml:space="preserve">, the Client Premises, the Sites, the Service Provider Information Management System and/or any information or data used by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or any Sub-contractor in connection with the Contract, including the Government Data and the Code;</w:t>
            </w:r>
          </w:p>
          <w:p w14:paraId="06B3332C"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the loss (physical or otherwise), corruption and/or unauthorised disclosure of any information or data, including copies of such information or data, u</w:t>
            </w:r>
            <w:r>
              <w:rPr>
                <w:color w:val="000000"/>
                <w:sz w:val="21"/>
                <w:szCs w:val="21"/>
              </w:rPr>
              <w:t xml:space="preserve">sed by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or any Sub-contractor in connection with the Contract, including the Government Data and the Code; and/or</w:t>
            </w:r>
          </w:p>
          <w:p w14:paraId="23BEC101"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any part of the Service Provider Information Management System ceasing to be compliant with the Certifica</w:t>
            </w:r>
            <w:r>
              <w:rPr>
                <w:color w:val="000000"/>
                <w:sz w:val="21"/>
                <w:szCs w:val="21"/>
              </w:rPr>
              <w:t>tion Requirements;</w:t>
            </w:r>
          </w:p>
          <w:p w14:paraId="67FF08A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(d) </w:t>
            </w:r>
            <w:r>
              <w:rPr>
                <w:color w:val="000000"/>
                <w:sz w:val="21"/>
                <w:szCs w:val="21"/>
              </w:rPr>
              <w:tab/>
              <w:t>the installation of Malicious Software in the:</w:t>
            </w:r>
          </w:p>
          <w:p w14:paraId="3DFC8900"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Service Provider Information Management System;</w:t>
            </w:r>
          </w:p>
          <w:p w14:paraId="1C2088A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Development Environment; or</w:t>
            </w:r>
          </w:p>
          <w:p w14:paraId="2727960F"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Developed System;</w:t>
            </w:r>
          </w:p>
          <w:p w14:paraId="34B48F0C"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(e) </w:t>
            </w:r>
            <w:r>
              <w:rPr>
                <w:color w:val="000000"/>
                <w:sz w:val="21"/>
                <w:szCs w:val="21"/>
              </w:rPr>
              <w:tab/>
              <w:t>any loss of operational efficiency or failure to operate to specific</w:t>
            </w:r>
            <w:r>
              <w:rPr>
                <w:color w:val="000000"/>
                <w:sz w:val="21"/>
                <w:szCs w:val="21"/>
              </w:rPr>
              <w:t>ation as the result of the installation or operation of Malicious Software in the:</w:t>
            </w:r>
          </w:p>
          <w:p w14:paraId="0DE091C9"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(i) </w:t>
            </w:r>
            <w:r>
              <w:rPr>
                <w:color w:val="000000"/>
                <w:sz w:val="21"/>
                <w:szCs w:val="21"/>
              </w:rPr>
              <w:tab/>
              <w:t>Service Provider Information Management System;</w:t>
            </w:r>
          </w:p>
          <w:p w14:paraId="7B457800"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Development Environment; or</w:t>
            </w:r>
          </w:p>
          <w:p w14:paraId="331989BE"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Developed System; and</w:t>
            </w:r>
          </w:p>
          <w:p w14:paraId="75C60DA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(f) </w:t>
            </w:r>
            <w:r>
              <w:rPr>
                <w:color w:val="000000"/>
                <w:sz w:val="21"/>
                <w:szCs w:val="21"/>
              </w:rPr>
              <w:tab/>
              <w:t>includes any attempt to undertake the activities lis</w:t>
            </w:r>
            <w:r>
              <w:rPr>
                <w:color w:val="000000"/>
                <w:sz w:val="21"/>
                <w:szCs w:val="21"/>
              </w:rPr>
              <w:t xml:space="preserve">ted in sub Paragraph (a) where the </w:t>
            </w:r>
            <w:r>
              <w:rPr>
                <w:i/>
                <w:iCs/>
                <w:color w:val="000000"/>
                <w:sz w:val="21"/>
                <w:szCs w:val="21"/>
              </w:rPr>
              <w:t>Service Provider</w:t>
            </w:r>
            <w:r>
              <w:rPr>
                <w:color w:val="000000"/>
                <w:sz w:val="21"/>
                <w:szCs w:val="21"/>
              </w:rPr>
              <w:t xml:space="preserve"> has reasonable grounds to suspect that attempt:</w:t>
            </w:r>
          </w:p>
          <w:p w14:paraId="4A075C8C"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was part of a wider effort to access information and communications technology operated by or on behalf of Central Government Bodies; or</w:t>
            </w:r>
          </w:p>
          <w:p w14:paraId="1776316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r>
            <w:r>
              <w:rPr>
                <w:color w:val="000000"/>
                <w:sz w:val="21"/>
                <w:szCs w:val="21"/>
              </w:rPr>
              <w:t>was undertaken, or directed by, a state other than the United Kingdom;</w:t>
            </w:r>
          </w:p>
        </w:tc>
      </w:tr>
      <w:tr w:rsidR="007960A8" w14:paraId="4B9B868F" w14:textId="77777777">
        <w:tc>
          <w:tcPr>
            <w:tcW w:w="2415" w:type="dxa"/>
          </w:tcPr>
          <w:p w14:paraId="73E21EB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"Certification Requirements"</w:t>
            </w:r>
          </w:p>
        </w:tc>
        <w:tc>
          <w:tcPr>
            <w:tcW w:w="5198" w:type="dxa"/>
          </w:tcPr>
          <w:p w14:paraId="44C16DB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requirements set out in Paragraph 13;</w:t>
            </w:r>
          </w:p>
        </w:tc>
      </w:tr>
      <w:tr w:rsidR="007960A8" w14:paraId="789CECC6" w14:textId="77777777">
        <w:tc>
          <w:tcPr>
            <w:tcW w:w="2415" w:type="dxa"/>
          </w:tcPr>
          <w:p w14:paraId="2885FDC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"CHECK Scheme"</w:t>
            </w:r>
          </w:p>
        </w:tc>
        <w:tc>
          <w:tcPr>
            <w:tcW w:w="5198" w:type="dxa"/>
          </w:tcPr>
          <w:p w14:paraId="3766AA3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NCSC’s scheme under which approved companies can conduct authorised penetration tests of public sector and critical national infrastructure systems and networks;</w:t>
            </w:r>
          </w:p>
        </w:tc>
      </w:tr>
      <w:tr w:rsidR="007960A8" w14:paraId="6CE87FFB" w14:textId="77777777">
        <w:tc>
          <w:tcPr>
            <w:tcW w:w="2415" w:type="dxa"/>
          </w:tcPr>
          <w:p w14:paraId="37345E3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"CHECK Scheme Provider"</w:t>
            </w:r>
          </w:p>
        </w:tc>
        <w:tc>
          <w:tcPr>
            <w:tcW w:w="5198" w:type="dxa"/>
          </w:tcPr>
          <w:p w14:paraId="6F10432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company which, under the CHECK Scheme: </w:t>
            </w:r>
          </w:p>
          <w:p w14:paraId="5DEDAFD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has been certified by the National Cyber Security Centre;</w:t>
            </w:r>
          </w:p>
          <w:p w14:paraId="0280E38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holds "Green Light" status; and</w:t>
            </w:r>
          </w:p>
          <w:p w14:paraId="25A603B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is authorised to provide the IT Health Check services required by Paragraph 12 of Appendix 1;</w:t>
            </w:r>
          </w:p>
        </w:tc>
      </w:tr>
      <w:tr w:rsidR="007960A8" w14:paraId="3A188389" w14:textId="77777777">
        <w:tc>
          <w:tcPr>
            <w:tcW w:w="2415" w:type="dxa"/>
          </w:tcPr>
          <w:p w14:paraId="2E82B97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"CHECK Team Le</w:t>
            </w:r>
            <w:r>
              <w:rPr>
                <w:b/>
                <w:bCs/>
                <w:color w:val="000000"/>
                <w:sz w:val="21"/>
                <w:szCs w:val="21"/>
              </w:rPr>
              <w:t>ader"</w:t>
            </w:r>
          </w:p>
        </w:tc>
        <w:tc>
          <w:tcPr>
            <w:tcW w:w="5198" w:type="dxa"/>
          </w:tcPr>
          <w:p w14:paraId="6812F39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 individual with a CHECK Scheme team leader qualification issued by the NCSC;</w:t>
            </w:r>
          </w:p>
        </w:tc>
      </w:tr>
      <w:tr w:rsidR="007960A8" w14:paraId="59DB90A2" w14:textId="77777777">
        <w:tc>
          <w:tcPr>
            <w:tcW w:w="2415" w:type="dxa"/>
          </w:tcPr>
          <w:p w14:paraId="597AECC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"CHECK Team Member"</w:t>
            </w:r>
          </w:p>
        </w:tc>
        <w:tc>
          <w:tcPr>
            <w:tcW w:w="5198" w:type="dxa"/>
          </w:tcPr>
          <w:p w14:paraId="5BDA1EC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 individual with a CHECK Scheme team member qualification issued by the NCSC;</w:t>
            </w:r>
          </w:p>
        </w:tc>
      </w:tr>
      <w:tr w:rsidR="007960A8" w14:paraId="69B16235" w14:textId="77777777">
        <w:tc>
          <w:tcPr>
            <w:tcW w:w="2415" w:type="dxa"/>
          </w:tcPr>
          <w:p w14:paraId="5748769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“Client Assets”</w:t>
            </w:r>
          </w:p>
        </w:tc>
        <w:tc>
          <w:tcPr>
            <w:tcW w:w="5198" w:type="dxa"/>
          </w:tcPr>
          <w:p w14:paraId="11FB1DC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Client’s</w:t>
            </w:r>
            <w:r>
              <w:rPr>
                <w:color w:val="000000"/>
                <w:sz w:val="21"/>
                <w:szCs w:val="21"/>
              </w:rPr>
              <w:t xml:space="preserve"> infrastructure, data, software, materials, assets, equipment or other property owned by and/or licensed or leased to the </w:t>
            </w:r>
            <w:r>
              <w:rPr>
                <w:i/>
                <w:iCs/>
                <w:color w:val="000000"/>
                <w:sz w:val="21"/>
                <w:szCs w:val="21"/>
              </w:rPr>
              <w:t>Client</w:t>
            </w:r>
            <w:r>
              <w:rPr>
                <w:color w:val="000000"/>
                <w:sz w:val="21"/>
                <w:szCs w:val="21"/>
              </w:rPr>
              <w:t xml:space="preserve"> and which is or ma</w:t>
            </w:r>
            <w:r>
              <w:rPr>
                <w:color w:val="000000"/>
                <w:sz w:val="21"/>
                <w:szCs w:val="21"/>
              </w:rPr>
              <w:t xml:space="preserve">y be used in connection with the provision of the </w:t>
            </w:r>
            <w:r>
              <w:rPr>
                <w:i/>
                <w:iCs/>
                <w:color w:val="000000"/>
                <w:sz w:val="21"/>
                <w:szCs w:val="21"/>
              </w:rPr>
              <w:t>services</w:t>
            </w:r>
            <w:r>
              <w:rPr>
                <w:color w:val="000000"/>
                <w:sz w:val="21"/>
                <w:szCs w:val="21"/>
              </w:rPr>
              <w:t xml:space="preserve"> which remain property of the </w:t>
            </w:r>
            <w:r>
              <w:rPr>
                <w:i/>
                <w:iCs/>
                <w:color w:val="000000"/>
                <w:sz w:val="21"/>
                <w:szCs w:val="21"/>
              </w:rPr>
              <w:t>Client</w:t>
            </w:r>
            <w:r>
              <w:rPr>
                <w:color w:val="000000"/>
                <w:sz w:val="21"/>
                <w:szCs w:val="21"/>
              </w:rPr>
              <w:t xml:space="preserve"> throughout the term of the Contract;</w:t>
            </w:r>
          </w:p>
        </w:tc>
      </w:tr>
      <w:tr w:rsidR="007960A8" w14:paraId="3F0AEA7A" w14:textId="77777777">
        <w:tc>
          <w:tcPr>
            <w:tcW w:w="2415" w:type="dxa"/>
          </w:tcPr>
          <w:p w14:paraId="5511771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“Client Equipment”</w:t>
            </w:r>
          </w:p>
        </w:tc>
        <w:tc>
          <w:tcPr>
            <w:tcW w:w="5198" w:type="dxa"/>
          </w:tcPr>
          <w:p w14:paraId="1A11FC5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hardware, computer or telecoms devices, and equipment that forms part of the Client System</w:t>
            </w:r>
          </w:p>
        </w:tc>
      </w:tr>
      <w:tr w:rsidR="007960A8" w14:paraId="12E2E5C6" w14:textId="77777777">
        <w:tc>
          <w:tcPr>
            <w:tcW w:w="2415" w:type="dxa"/>
          </w:tcPr>
          <w:p w14:paraId="20D225B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“Client </w:t>
            </w:r>
            <w:r>
              <w:rPr>
                <w:b/>
                <w:bCs/>
                <w:color w:val="000000"/>
                <w:sz w:val="21"/>
                <w:szCs w:val="21"/>
              </w:rPr>
              <w:t>Premises”</w:t>
            </w:r>
          </w:p>
        </w:tc>
        <w:tc>
          <w:tcPr>
            <w:tcW w:w="5198" w:type="dxa"/>
          </w:tcPr>
          <w:p w14:paraId="38FE67D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Premises owned, controlled or occupied by the </w:t>
            </w:r>
            <w:r>
              <w:rPr>
                <w:i/>
                <w:iCs/>
                <w:color w:val="000000"/>
                <w:sz w:val="21"/>
                <w:szCs w:val="21"/>
              </w:rPr>
              <w:t>Client</w:t>
            </w:r>
            <w:r>
              <w:rPr>
                <w:color w:val="000000"/>
                <w:sz w:val="21"/>
                <w:szCs w:val="21"/>
              </w:rPr>
              <w:t xml:space="preserve"> which are made available for use by the </w:t>
            </w:r>
            <w:r>
              <w:rPr>
                <w:i/>
                <w:iCs/>
                <w:color w:val="000000"/>
                <w:sz w:val="21"/>
                <w:szCs w:val="21"/>
              </w:rPr>
              <w:t>Service Provider</w:t>
            </w:r>
            <w:r>
              <w:rPr>
                <w:color w:val="000000"/>
                <w:sz w:val="21"/>
                <w:szCs w:val="21"/>
              </w:rPr>
              <w:t xml:space="preserve"> or its Subcontractors for the provision of the </w:t>
            </w:r>
            <w:r>
              <w:rPr>
                <w:i/>
                <w:iCs/>
                <w:color w:val="000000"/>
                <w:sz w:val="21"/>
                <w:szCs w:val="21"/>
              </w:rPr>
              <w:t>services</w:t>
            </w:r>
            <w:r>
              <w:rPr>
                <w:color w:val="000000"/>
                <w:sz w:val="21"/>
                <w:szCs w:val="21"/>
              </w:rPr>
              <w:t xml:space="preserve"> (or any of them).</w:t>
            </w:r>
          </w:p>
        </w:tc>
      </w:tr>
      <w:tr w:rsidR="007960A8" w14:paraId="57DF3DB9" w14:textId="77777777">
        <w:tc>
          <w:tcPr>
            <w:tcW w:w="2415" w:type="dxa"/>
          </w:tcPr>
          <w:p w14:paraId="25958CA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“Client System”</w:t>
            </w:r>
          </w:p>
        </w:tc>
        <w:tc>
          <w:tcPr>
            <w:tcW w:w="5198" w:type="dxa"/>
          </w:tcPr>
          <w:p w14:paraId="7541FDE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Service Provider’s information and communications technology system, including any software or Service Provider Equipment, owned by the </w:t>
            </w:r>
            <w:r>
              <w:rPr>
                <w:i/>
                <w:iCs/>
                <w:color w:val="000000"/>
                <w:sz w:val="21"/>
                <w:szCs w:val="21"/>
              </w:rPr>
              <w:t>Client</w:t>
            </w:r>
            <w:r>
              <w:rPr>
                <w:color w:val="000000"/>
                <w:sz w:val="21"/>
                <w:szCs w:val="21"/>
              </w:rPr>
              <w:t xml:space="preserve">, or leased or licenced to it by a third party, that: </w:t>
            </w:r>
          </w:p>
          <w:p w14:paraId="7FB707FE"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is used by the </w:t>
            </w:r>
            <w:r>
              <w:rPr>
                <w:i/>
                <w:iCs/>
                <w:color w:val="000000"/>
                <w:sz w:val="21"/>
                <w:szCs w:val="21"/>
              </w:rPr>
              <w:t>Client</w:t>
            </w:r>
            <w:r>
              <w:rPr>
                <w:color w:val="000000"/>
                <w:sz w:val="21"/>
                <w:szCs w:val="21"/>
              </w:rPr>
              <w:t xml:space="preserve"> or the </w:t>
            </w:r>
            <w:r>
              <w:rPr>
                <w:i/>
                <w:iCs/>
                <w:color w:val="000000"/>
                <w:sz w:val="21"/>
                <w:szCs w:val="21"/>
              </w:rPr>
              <w:t>Service Provider</w:t>
            </w:r>
            <w:r>
              <w:rPr>
                <w:color w:val="000000"/>
                <w:sz w:val="21"/>
                <w:szCs w:val="21"/>
              </w:rPr>
              <w:t xml:space="preserve"> in connection with the Contract;</w:t>
            </w:r>
          </w:p>
          <w:p w14:paraId="2BBAA39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interfaces with the Service Provider System; and/or</w:t>
            </w:r>
          </w:p>
          <w:p w14:paraId="3221DB1A"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 xml:space="preserve">is necessary for the </w:t>
            </w:r>
            <w:r>
              <w:rPr>
                <w:i/>
                <w:iCs/>
                <w:color w:val="000000"/>
                <w:sz w:val="21"/>
                <w:szCs w:val="21"/>
              </w:rPr>
              <w:t>Client</w:t>
            </w:r>
            <w:r>
              <w:rPr>
                <w:color w:val="000000"/>
                <w:sz w:val="21"/>
                <w:szCs w:val="21"/>
              </w:rPr>
              <w:t xml:space="preserve"> to receive the </w:t>
            </w:r>
            <w:r>
              <w:rPr>
                <w:i/>
                <w:iCs/>
                <w:color w:val="000000"/>
                <w:sz w:val="21"/>
                <w:szCs w:val="21"/>
              </w:rPr>
              <w:t>services</w:t>
            </w:r>
            <w:r>
              <w:rPr>
                <w:color w:val="000000"/>
                <w:sz w:val="21"/>
                <w:szCs w:val="21"/>
              </w:rPr>
              <w:t>.</w:t>
            </w:r>
          </w:p>
        </w:tc>
      </w:tr>
      <w:tr w:rsidR="007960A8" w14:paraId="0161D864" w14:textId="77777777">
        <w:tc>
          <w:tcPr>
            <w:tcW w:w="2415" w:type="dxa"/>
          </w:tcPr>
          <w:p w14:paraId="2A4FD4C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“Code”</w:t>
            </w:r>
          </w:p>
        </w:tc>
        <w:tc>
          <w:tcPr>
            <w:tcW w:w="5198" w:type="dxa"/>
          </w:tcPr>
          <w:p w14:paraId="53A27F5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w:t>
            </w:r>
          </w:p>
          <w:p w14:paraId="1BFC8E38"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the source code;</w:t>
            </w:r>
          </w:p>
          <w:p w14:paraId="42E8AAB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the object code;</w:t>
            </w:r>
          </w:p>
          <w:p w14:paraId="72EB484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c)</w:t>
            </w:r>
            <w:r>
              <w:rPr>
                <w:color w:val="000000"/>
                <w:sz w:val="21"/>
                <w:szCs w:val="21"/>
              </w:rPr>
              <w:tab/>
            </w:r>
            <w:r>
              <w:rPr>
                <w:color w:val="000000"/>
                <w:sz w:val="21"/>
                <w:szCs w:val="21"/>
              </w:rPr>
              <w:t xml:space="preserve">third party components, including third party coding frameworks and libraries; and </w:t>
            </w:r>
          </w:p>
          <w:p w14:paraId="47401B3D"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d) </w:t>
            </w:r>
            <w:r>
              <w:rPr>
                <w:color w:val="000000"/>
                <w:sz w:val="21"/>
                <w:szCs w:val="21"/>
              </w:rPr>
              <w:tab/>
              <w:t>all supporting documentation;</w:t>
            </w:r>
          </w:p>
        </w:tc>
      </w:tr>
      <w:tr w:rsidR="007960A8" w14:paraId="2FF8CDE6" w14:textId="77777777">
        <w:tc>
          <w:tcPr>
            <w:tcW w:w="2415" w:type="dxa"/>
          </w:tcPr>
          <w:p w14:paraId="21B7370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"Code Review"</w:t>
            </w:r>
          </w:p>
        </w:tc>
        <w:tc>
          <w:tcPr>
            <w:tcW w:w="5198" w:type="dxa"/>
          </w:tcPr>
          <w:p w14:paraId="0CC6614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periodic review of the Code by manual or automated means to: </w:t>
            </w:r>
          </w:p>
          <w:p w14:paraId="318DE6EC"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identify and fix any bugs; and</w:t>
            </w:r>
          </w:p>
          <w:p w14:paraId="2BE0C7E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ensure the Code complies with</w:t>
            </w:r>
          </w:p>
          <w:p w14:paraId="6962F600"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the requirements of this Schedule; and</w:t>
            </w:r>
          </w:p>
          <w:p w14:paraId="14843BD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the Secure Development Guidance;</w:t>
            </w:r>
          </w:p>
        </w:tc>
      </w:tr>
      <w:tr w:rsidR="007960A8" w14:paraId="45609091" w14:textId="77777777">
        <w:tc>
          <w:tcPr>
            <w:tcW w:w="2415" w:type="dxa"/>
          </w:tcPr>
          <w:p w14:paraId="76FFB0C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"Code Review Plan"</w:t>
            </w:r>
          </w:p>
        </w:tc>
        <w:tc>
          <w:tcPr>
            <w:tcW w:w="5198" w:type="dxa"/>
          </w:tcPr>
          <w:p w14:paraId="4A2D429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document agreed with the </w:t>
            </w:r>
            <w:r>
              <w:rPr>
                <w:i/>
                <w:iCs/>
                <w:color w:val="000000"/>
                <w:sz w:val="21"/>
                <w:szCs w:val="21"/>
              </w:rPr>
              <w:t>Client</w:t>
            </w:r>
            <w:r>
              <w:rPr>
                <w:color w:val="000000"/>
                <w:sz w:val="21"/>
                <w:szCs w:val="21"/>
              </w:rPr>
              <w:t xml:space="preserve"> under Paragraph 5.2 of the security requirements for Development Activity in Appendix 2 setting out the requirements for, and frequency of, Code Reviews;</w:t>
            </w:r>
          </w:p>
        </w:tc>
      </w:tr>
      <w:tr w:rsidR="007960A8" w14:paraId="5DD51E81" w14:textId="77777777">
        <w:tc>
          <w:tcPr>
            <w:tcW w:w="2415" w:type="dxa"/>
          </w:tcPr>
          <w:p w14:paraId="2496F23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"Code Review Report"</w:t>
            </w:r>
          </w:p>
        </w:tc>
        <w:tc>
          <w:tcPr>
            <w:tcW w:w="5198" w:type="dxa"/>
          </w:tcPr>
          <w:p w14:paraId="4DD775F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report setting out the findings of a Code </w:t>
            </w:r>
            <w:r>
              <w:rPr>
                <w:color w:val="000000"/>
                <w:sz w:val="21"/>
                <w:szCs w:val="21"/>
              </w:rPr>
              <w:t>Review;</w:t>
            </w:r>
          </w:p>
        </w:tc>
      </w:tr>
      <w:tr w:rsidR="007960A8" w14:paraId="23B04717" w14:textId="77777777">
        <w:tc>
          <w:tcPr>
            <w:tcW w:w="2415" w:type="dxa"/>
          </w:tcPr>
          <w:p w14:paraId="5400274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“Contract Year”</w:t>
            </w:r>
          </w:p>
        </w:tc>
        <w:tc>
          <w:tcPr>
            <w:tcW w:w="5198" w:type="dxa"/>
          </w:tcPr>
          <w:p w14:paraId="24EFEEF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consecutive period of twelve (12) Months commencing on the </w:t>
            </w:r>
            <w:r>
              <w:rPr>
                <w:i/>
                <w:iCs/>
                <w:color w:val="000000"/>
                <w:sz w:val="21"/>
                <w:szCs w:val="21"/>
              </w:rPr>
              <w:t>Starting Date</w:t>
            </w:r>
            <w:r>
              <w:rPr>
                <w:color w:val="000000"/>
                <w:sz w:val="21"/>
                <w:szCs w:val="21"/>
              </w:rPr>
              <w:t xml:space="preserve"> or each anniversary thereof.</w:t>
            </w:r>
          </w:p>
        </w:tc>
      </w:tr>
      <w:tr w:rsidR="007960A8" w14:paraId="1A0C2072" w14:textId="77777777">
        <w:tc>
          <w:tcPr>
            <w:tcW w:w="2415" w:type="dxa"/>
          </w:tcPr>
          <w:p w14:paraId="3CA3F56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“Confidential Information”</w:t>
            </w:r>
          </w:p>
        </w:tc>
        <w:tc>
          <w:tcPr>
            <w:tcW w:w="5198" w:type="dxa"/>
          </w:tcPr>
          <w:p w14:paraId="790A452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information, however it is conveyed, that relates to the business, affairs, developments, trade secrets, Know-How, personnel and suppliers of the </w:t>
            </w:r>
            <w:r>
              <w:rPr>
                <w:i/>
                <w:iCs/>
                <w:color w:val="000000"/>
                <w:sz w:val="21"/>
                <w:szCs w:val="21"/>
              </w:rPr>
              <w:t>Client</w:t>
            </w:r>
            <w:r>
              <w:rPr>
                <w:color w:val="000000"/>
                <w:sz w:val="21"/>
                <w:szCs w:val="21"/>
              </w:rPr>
              <w:t xml:space="preserve"> and the </w:t>
            </w:r>
            <w:r>
              <w:rPr>
                <w:i/>
                <w:iCs/>
                <w:color w:val="000000"/>
                <w:sz w:val="21"/>
                <w:szCs w:val="21"/>
              </w:rPr>
              <w:t>Service Provider</w:t>
            </w:r>
            <w:r>
              <w:rPr>
                <w:color w:val="000000"/>
                <w:sz w:val="21"/>
                <w:szCs w:val="21"/>
              </w:rPr>
              <w:t>, including IPRs, together with information derived from the above, and any</w:t>
            </w:r>
            <w:r>
              <w:rPr>
                <w:color w:val="000000"/>
                <w:sz w:val="21"/>
                <w:szCs w:val="21"/>
              </w:rPr>
              <w:t xml:space="preserve"> other information clearly designated as being confidential (whether or not it is marked as “confidential”) or which ought reasonably to be considered to be confidential;</w:t>
            </w:r>
          </w:p>
        </w:tc>
      </w:tr>
      <w:tr w:rsidR="007960A8" w14:paraId="48AF1B45" w14:textId="77777777">
        <w:tc>
          <w:tcPr>
            <w:tcW w:w="2415" w:type="dxa"/>
          </w:tcPr>
          <w:p w14:paraId="5E45744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“Controller”</w:t>
            </w:r>
          </w:p>
        </w:tc>
        <w:tc>
          <w:tcPr>
            <w:tcW w:w="5198" w:type="dxa"/>
          </w:tcPr>
          <w:p w14:paraId="298AB0D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meaning given to it in the UK GDPR or the EU GDPR as the contex</w:t>
            </w:r>
            <w:r>
              <w:rPr>
                <w:color w:val="000000"/>
                <w:sz w:val="21"/>
                <w:szCs w:val="21"/>
              </w:rPr>
              <w:t>t requires;</w:t>
            </w:r>
          </w:p>
        </w:tc>
      </w:tr>
      <w:tr w:rsidR="007960A8" w14:paraId="485539DD" w14:textId="77777777">
        <w:tc>
          <w:tcPr>
            <w:tcW w:w="2415" w:type="dxa"/>
          </w:tcPr>
          <w:p w14:paraId="00B606E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“COTS Software”</w:t>
            </w:r>
          </w:p>
        </w:tc>
        <w:tc>
          <w:tcPr>
            <w:tcW w:w="5198" w:type="dxa"/>
          </w:tcPr>
          <w:p w14:paraId="62328CE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Non-customised software where the IPR may be owned and licensed either by the </w:t>
            </w:r>
            <w:r>
              <w:rPr>
                <w:i/>
                <w:iCs/>
                <w:color w:val="000000"/>
                <w:sz w:val="21"/>
                <w:szCs w:val="21"/>
              </w:rPr>
              <w:t>Service Provider</w:t>
            </w:r>
            <w:r>
              <w:rPr>
                <w:color w:val="000000"/>
                <w:sz w:val="21"/>
                <w:szCs w:val="21"/>
              </w:rPr>
              <w:t xml:space="preserve"> or a third party depending on the context, and which is commercially available for purchase and subject to standard licence terms;</w:t>
            </w:r>
          </w:p>
        </w:tc>
      </w:tr>
      <w:tr w:rsidR="007960A8" w14:paraId="3AB3D65B" w14:textId="77777777">
        <w:tc>
          <w:tcPr>
            <w:tcW w:w="2415" w:type="dxa"/>
          </w:tcPr>
          <w:p w14:paraId="0899A97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"Cyber Essentials"</w:t>
            </w:r>
          </w:p>
        </w:tc>
        <w:tc>
          <w:tcPr>
            <w:tcW w:w="5198" w:type="dxa"/>
          </w:tcPr>
          <w:p w14:paraId="0A069CA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Cyber Essentials certificate issued under the Cyber Essentials Scheme;</w:t>
            </w:r>
          </w:p>
        </w:tc>
      </w:tr>
      <w:tr w:rsidR="007960A8" w14:paraId="1EF1ED37" w14:textId="77777777">
        <w:tc>
          <w:tcPr>
            <w:tcW w:w="2415" w:type="dxa"/>
          </w:tcPr>
          <w:p w14:paraId="2033434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"Cyber Essentials Plus"</w:t>
            </w:r>
          </w:p>
        </w:tc>
        <w:tc>
          <w:tcPr>
            <w:tcW w:w="5198" w:type="dxa"/>
          </w:tcPr>
          <w:p w14:paraId="69A94CB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Cyber Essentials Plus certificate issued under the Cyber Essentials Scheme;</w:t>
            </w:r>
          </w:p>
        </w:tc>
      </w:tr>
      <w:tr w:rsidR="007960A8" w14:paraId="671BA974" w14:textId="77777777">
        <w:tc>
          <w:tcPr>
            <w:tcW w:w="2415" w:type="dxa"/>
          </w:tcPr>
          <w:p w14:paraId="422628C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"Cyber Essentials Scheme"</w:t>
            </w:r>
          </w:p>
        </w:tc>
        <w:tc>
          <w:tcPr>
            <w:tcW w:w="5198" w:type="dxa"/>
          </w:tcPr>
          <w:p w14:paraId="4CF827C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Cyber Essentials scheme operated by the National Cyber Security Centre;</w:t>
            </w:r>
          </w:p>
        </w:tc>
      </w:tr>
      <w:tr w:rsidR="007960A8" w14:paraId="648F686D" w14:textId="77777777">
        <w:tc>
          <w:tcPr>
            <w:tcW w:w="2415" w:type="dxa"/>
          </w:tcPr>
          <w:p w14:paraId="2B40BA0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"Data Migration Plan"</w:t>
            </w:r>
          </w:p>
        </w:tc>
        <w:tc>
          <w:tcPr>
            <w:tcW w:w="5198" w:type="dxa"/>
          </w:tcPr>
          <w:p w14:paraId="6D2CA3A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plan for the migration</w:t>
            </w:r>
            <w:r>
              <w:rPr>
                <w:color w:val="000000"/>
                <w:sz w:val="21"/>
                <w:szCs w:val="21"/>
              </w:rPr>
              <w:t xml:space="preserve"> of the Government Data to the </w:t>
            </w:r>
            <w:r>
              <w:rPr>
                <w:i/>
                <w:iCs/>
                <w:color w:val="000000"/>
                <w:sz w:val="21"/>
                <w:szCs w:val="21"/>
              </w:rPr>
              <w:t>Client</w:t>
            </w:r>
            <w:r>
              <w:rPr>
                <w:color w:val="000000"/>
                <w:sz w:val="21"/>
                <w:szCs w:val="21"/>
              </w:rPr>
              <w:t xml:space="preserve"> and/or the Replacement Service Provider (as required by the </w:t>
            </w:r>
            <w:r>
              <w:rPr>
                <w:i/>
                <w:iCs/>
                <w:color w:val="000000"/>
                <w:sz w:val="21"/>
                <w:szCs w:val="21"/>
              </w:rPr>
              <w:t>Client</w:t>
            </w:r>
            <w:r>
              <w:rPr>
                <w:color w:val="000000"/>
                <w:sz w:val="21"/>
                <w:szCs w:val="21"/>
              </w:rPr>
              <w:t>) required by Paragraph 17 of Appendix 1;</w:t>
            </w:r>
          </w:p>
        </w:tc>
      </w:tr>
      <w:tr w:rsidR="007960A8" w14:paraId="67B5062A" w14:textId="77777777">
        <w:tc>
          <w:tcPr>
            <w:tcW w:w="2415" w:type="dxa"/>
          </w:tcPr>
          <w:p w14:paraId="6CA61C4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“Data Protection Legislation”</w:t>
            </w:r>
          </w:p>
        </w:tc>
        <w:tc>
          <w:tcPr>
            <w:tcW w:w="5198" w:type="dxa"/>
          </w:tcPr>
          <w:p w14:paraId="3B9895B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(i) the UK GDPR; (ii) the DPA 2018 to the extent that it relates to processing </w:t>
            </w:r>
            <w:r>
              <w:rPr>
                <w:color w:val="000000"/>
                <w:sz w:val="21"/>
                <w:szCs w:val="21"/>
              </w:rPr>
              <w:t xml:space="preserve">of personal data and privacy; (iii) all </w:t>
            </w:r>
            <w:r>
              <w:rPr>
                <w:i/>
                <w:iCs/>
                <w:color w:val="000000"/>
                <w:sz w:val="21"/>
                <w:szCs w:val="21"/>
              </w:rPr>
              <w:t>applicable Law</w:t>
            </w:r>
            <w:r>
              <w:rPr>
                <w:color w:val="000000"/>
                <w:sz w:val="21"/>
                <w:szCs w:val="21"/>
              </w:rPr>
              <w:t xml:space="preserve"> about the processing of personal data and privacy; and (iv) (to the extent that it applies) the EU GDPR</w:t>
            </w:r>
          </w:p>
        </w:tc>
      </w:tr>
      <w:tr w:rsidR="007960A8" w14:paraId="1DF97E12" w14:textId="77777777">
        <w:tc>
          <w:tcPr>
            <w:tcW w:w="2415" w:type="dxa"/>
          </w:tcPr>
          <w:p w14:paraId="26BA744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“Developed System”</w:t>
            </w:r>
          </w:p>
        </w:tc>
        <w:tc>
          <w:tcPr>
            <w:tcW w:w="5198" w:type="dxa"/>
          </w:tcPr>
          <w:p w14:paraId="5A0C1E7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for the purposes of the Security Requirements (if any), and unless the contex</w:t>
            </w:r>
            <w:r>
              <w:rPr>
                <w:color w:val="000000"/>
                <w:sz w:val="21"/>
                <w:szCs w:val="21"/>
              </w:rPr>
              <w:t xml:space="preserve">t requires otherwise, any software or system that the Service Provider will develop under the Contract; a) as part of the </w:t>
            </w:r>
            <w:r>
              <w:rPr>
                <w:i/>
                <w:iCs/>
                <w:color w:val="000000"/>
                <w:sz w:val="21"/>
                <w:szCs w:val="21"/>
              </w:rPr>
              <w:t>services</w:t>
            </w:r>
            <w:r>
              <w:rPr>
                <w:color w:val="000000"/>
                <w:sz w:val="21"/>
                <w:szCs w:val="21"/>
              </w:rPr>
              <w:t xml:space="preserve">; b) to provide the </w:t>
            </w:r>
            <w:r>
              <w:rPr>
                <w:i/>
                <w:iCs/>
                <w:color w:val="000000"/>
                <w:sz w:val="21"/>
                <w:szCs w:val="21"/>
              </w:rPr>
              <w:t>services</w:t>
            </w:r>
            <w:r>
              <w:rPr>
                <w:color w:val="000000"/>
                <w:sz w:val="21"/>
                <w:szCs w:val="21"/>
              </w:rPr>
              <w:t>; or c) to Handle Government Data.</w:t>
            </w:r>
          </w:p>
        </w:tc>
      </w:tr>
      <w:tr w:rsidR="007960A8" w14:paraId="3EE9E6C5" w14:textId="77777777">
        <w:tc>
          <w:tcPr>
            <w:tcW w:w="2415" w:type="dxa"/>
          </w:tcPr>
          <w:p w14:paraId="07662CE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"Development Activity"</w:t>
            </w:r>
          </w:p>
        </w:tc>
        <w:tc>
          <w:tcPr>
            <w:tcW w:w="5198" w:type="dxa"/>
          </w:tcPr>
          <w:p w14:paraId="75D5E59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any activity relating to the development, deployment maintenance and upgrading of the Developed System, including: </w:t>
            </w:r>
          </w:p>
          <w:p w14:paraId="29D506B4"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coding;</w:t>
            </w:r>
          </w:p>
          <w:p w14:paraId="6C6EFA2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testing;</w:t>
            </w:r>
          </w:p>
          <w:p w14:paraId="7880D24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code storage; and</w:t>
            </w:r>
          </w:p>
          <w:p w14:paraId="010F317B"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(d) </w:t>
            </w:r>
            <w:r>
              <w:rPr>
                <w:color w:val="000000"/>
                <w:sz w:val="21"/>
                <w:szCs w:val="21"/>
              </w:rPr>
              <w:tab/>
              <w:t>deployment;</w:t>
            </w:r>
          </w:p>
        </w:tc>
      </w:tr>
      <w:tr w:rsidR="007960A8" w14:paraId="6EB6A4E7" w14:textId="77777777">
        <w:tc>
          <w:tcPr>
            <w:tcW w:w="2415" w:type="dxa"/>
          </w:tcPr>
          <w:p w14:paraId="2E46D80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"Development Environment"</w:t>
            </w:r>
          </w:p>
        </w:tc>
        <w:tc>
          <w:tcPr>
            <w:tcW w:w="5198" w:type="dxa"/>
          </w:tcPr>
          <w:p w14:paraId="6EDB50C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information and communications technology </w:t>
            </w:r>
            <w:r>
              <w:rPr>
                <w:color w:val="000000"/>
                <w:sz w:val="21"/>
                <w:szCs w:val="21"/>
              </w:rPr>
              <w:t xml:space="preserve">system and the Sites forming part of the </w:t>
            </w:r>
            <w:r>
              <w:rPr>
                <w:i/>
                <w:iCs/>
                <w:color w:val="000000"/>
                <w:sz w:val="21"/>
                <w:szCs w:val="21"/>
              </w:rPr>
              <w:t>services</w:t>
            </w:r>
            <w:r>
              <w:rPr>
                <w:color w:val="000000"/>
                <w:sz w:val="21"/>
                <w:szCs w:val="21"/>
              </w:rPr>
              <w:t xml:space="preserve"> Provider Information Management System that the </w:t>
            </w:r>
            <w:r>
              <w:rPr>
                <w:i/>
                <w:iCs/>
                <w:color w:val="000000"/>
                <w:sz w:val="21"/>
                <w:szCs w:val="21"/>
              </w:rPr>
              <w:t>Service Provider</w:t>
            </w:r>
            <w:r>
              <w:rPr>
                <w:color w:val="000000"/>
                <w:sz w:val="21"/>
                <w:szCs w:val="21"/>
              </w:rPr>
              <w:t xml:space="preserve"> or its Sub-contractors will use to provide the Development Activity;</w:t>
            </w:r>
          </w:p>
        </w:tc>
      </w:tr>
      <w:tr w:rsidR="007960A8" w14:paraId="5A9FA33E" w14:textId="77777777">
        <w:tc>
          <w:tcPr>
            <w:tcW w:w="2415" w:type="dxa"/>
          </w:tcPr>
          <w:p w14:paraId="6FE11E3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“Disaster”</w:t>
            </w:r>
          </w:p>
        </w:tc>
        <w:tc>
          <w:tcPr>
            <w:tcW w:w="5198" w:type="dxa"/>
          </w:tcPr>
          <w:p w14:paraId="2A50036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occurrence of one or more events which, either separately or cumulatively, mean that the </w:t>
            </w:r>
            <w:r>
              <w:rPr>
                <w:i/>
                <w:iCs/>
                <w:color w:val="000000"/>
                <w:sz w:val="21"/>
                <w:szCs w:val="21"/>
              </w:rPr>
              <w:t>services</w:t>
            </w:r>
            <w:r>
              <w:rPr>
                <w:color w:val="000000"/>
                <w:sz w:val="21"/>
                <w:szCs w:val="21"/>
              </w:rPr>
              <w:t>, or a material part thereof will be unavailable (or could reasonably be anticipated to be unavailable);</w:t>
            </w:r>
          </w:p>
        </w:tc>
      </w:tr>
      <w:tr w:rsidR="007960A8" w14:paraId="1163C22A" w14:textId="77777777">
        <w:tc>
          <w:tcPr>
            <w:tcW w:w="2415" w:type="dxa"/>
          </w:tcPr>
          <w:p w14:paraId="3946620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"EEA"</w:t>
            </w:r>
          </w:p>
        </w:tc>
        <w:tc>
          <w:tcPr>
            <w:tcW w:w="5198" w:type="dxa"/>
          </w:tcPr>
          <w:p w14:paraId="5C2BA4F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European Economic Area;</w:t>
            </w:r>
          </w:p>
        </w:tc>
      </w:tr>
      <w:tr w:rsidR="007960A8" w14:paraId="705A18C6" w14:textId="77777777">
        <w:tc>
          <w:tcPr>
            <w:tcW w:w="2415" w:type="dxa"/>
          </w:tcPr>
          <w:p w14:paraId="3B1C8E7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"End-user Devi</w:t>
            </w:r>
            <w:r>
              <w:rPr>
                <w:b/>
                <w:bCs/>
                <w:color w:val="000000"/>
                <w:sz w:val="21"/>
                <w:szCs w:val="21"/>
              </w:rPr>
              <w:t>ce"</w:t>
            </w:r>
          </w:p>
        </w:tc>
        <w:tc>
          <w:tcPr>
            <w:tcW w:w="5198" w:type="dxa"/>
          </w:tcPr>
          <w:p w14:paraId="5192307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personal computers, laptops, tablets, terminals, smartphones or other portable electronic device provided by the </w:t>
            </w:r>
            <w:r>
              <w:rPr>
                <w:i/>
                <w:iCs/>
                <w:color w:val="000000"/>
                <w:sz w:val="21"/>
                <w:szCs w:val="21"/>
              </w:rPr>
              <w:t>Service Provider</w:t>
            </w:r>
            <w:r>
              <w:rPr>
                <w:color w:val="000000"/>
                <w:sz w:val="21"/>
                <w:szCs w:val="21"/>
              </w:rPr>
              <w:t xml:space="preserve"> or a Sub-contractor and used in the provision of the </w:t>
            </w:r>
            <w:r>
              <w:rPr>
                <w:i/>
                <w:iCs/>
                <w:color w:val="000000"/>
                <w:sz w:val="21"/>
                <w:szCs w:val="21"/>
              </w:rPr>
              <w:t>services</w:t>
            </w:r>
            <w:r>
              <w:rPr>
                <w:color w:val="000000"/>
                <w:sz w:val="21"/>
                <w:szCs w:val="21"/>
              </w:rPr>
              <w:t>;</w:t>
            </w:r>
          </w:p>
        </w:tc>
      </w:tr>
      <w:tr w:rsidR="007960A8" w14:paraId="4F0755A9" w14:textId="77777777">
        <w:tc>
          <w:tcPr>
            <w:tcW w:w="2415" w:type="dxa"/>
          </w:tcPr>
          <w:p w14:paraId="4B75521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"Email Service"</w:t>
            </w:r>
          </w:p>
        </w:tc>
        <w:tc>
          <w:tcPr>
            <w:tcW w:w="5198" w:type="dxa"/>
          </w:tcPr>
          <w:p w14:paraId="6EDA7D5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service that will send, or can be used to send, emails from the </w:t>
            </w:r>
            <w:r>
              <w:rPr>
                <w:i/>
                <w:iCs/>
                <w:color w:val="000000"/>
                <w:sz w:val="21"/>
                <w:szCs w:val="21"/>
              </w:rPr>
              <w:t>Client’s</w:t>
            </w:r>
            <w:r>
              <w:rPr>
                <w:color w:val="000000"/>
                <w:sz w:val="21"/>
                <w:szCs w:val="21"/>
              </w:rPr>
              <w:t xml:space="preserve"> email address or otherwise on behalf of the Client;</w:t>
            </w:r>
          </w:p>
        </w:tc>
      </w:tr>
      <w:tr w:rsidR="007960A8" w14:paraId="6138268C" w14:textId="77777777">
        <w:tc>
          <w:tcPr>
            <w:tcW w:w="2415" w:type="dxa"/>
          </w:tcPr>
          <w:p w14:paraId="676E135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“EU GDPR”</w:t>
            </w:r>
          </w:p>
        </w:tc>
        <w:tc>
          <w:tcPr>
            <w:tcW w:w="5198" w:type="dxa"/>
          </w:tcPr>
          <w:p w14:paraId="04E85CA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Regulation (EU) 20168/679 of the European Parliament and of the Council of 27 April 2016 on the protection of natural </w:t>
            </w:r>
            <w:r>
              <w:rPr>
                <w:color w:val="000000"/>
                <w:sz w:val="21"/>
                <w:szCs w:val="21"/>
              </w:rPr>
              <w:t>person with regard to the processing of personal data and on the free movement of such data (General Data Protection Regulation) as it has effect in EU law</w:t>
            </w:r>
          </w:p>
        </w:tc>
      </w:tr>
      <w:tr w:rsidR="007960A8" w14:paraId="14A4F831" w14:textId="77777777">
        <w:tc>
          <w:tcPr>
            <w:tcW w:w="2415" w:type="dxa"/>
          </w:tcPr>
          <w:p w14:paraId="422BB08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"Expected Behaviours"</w:t>
            </w:r>
          </w:p>
        </w:tc>
        <w:tc>
          <w:tcPr>
            <w:tcW w:w="5198" w:type="dxa"/>
          </w:tcPr>
          <w:p w14:paraId="212146C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expected behaviours set out and updated from time to time in the Government Security Classification Policy, currently found at paragraphs 12 to 16 and in the table below paragraph 16 of https://www.gov.uk/government/publications/government-security-cla</w:t>
            </w:r>
            <w:r>
              <w:rPr>
                <w:color w:val="000000"/>
                <w:sz w:val="21"/>
                <w:szCs w:val="21"/>
              </w:rPr>
              <w:t>ssifications/guidance-11-working-at-official-html;</w:t>
            </w:r>
          </w:p>
        </w:tc>
      </w:tr>
      <w:tr w:rsidR="007960A8" w14:paraId="019099BD" w14:textId="77777777">
        <w:tc>
          <w:tcPr>
            <w:tcW w:w="2415" w:type="dxa"/>
          </w:tcPr>
          <w:p w14:paraId="17D2369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“Government Data”</w:t>
            </w:r>
          </w:p>
        </w:tc>
        <w:tc>
          <w:tcPr>
            <w:tcW w:w="5198" w:type="dxa"/>
          </w:tcPr>
          <w:p w14:paraId="7685CB1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data, text, drawings, diagrams, images or sounds (together with any database made up of any of these) which are embodied in any electronic, magnetic, optical or tangible media; b) Per</w:t>
            </w:r>
            <w:r>
              <w:rPr>
                <w:color w:val="000000"/>
                <w:sz w:val="21"/>
                <w:szCs w:val="21"/>
              </w:rPr>
              <w:t xml:space="preserve">sonal Data for which the </w:t>
            </w:r>
            <w:r>
              <w:rPr>
                <w:i/>
                <w:iCs/>
                <w:color w:val="000000"/>
                <w:sz w:val="21"/>
                <w:szCs w:val="21"/>
              </w:rPr>
              <w:t>Client</w:t>
            </w:r>
            <w:r>
              <w:rPr>
                <w:color w:val="000000"/>
                <w:sz w:val="21"/>
                <w:szCs w:val="21"/>
              </w:rPr>
              <w:t xml:space="preserve"> is a, or the, Controller; or c) any meta-data relating to categories of data referred to in a) or b) </w:t>
            </w:r>
          </w:p>
          <w:p w14:paraId="05CD626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that: (i) is supplied to the </w:t>
            </w:r>
            <w:r>
              <w:rPr>
                <w:i/>
                <w:iCs/>
                <w:color w:val="000000"/>
                <w:sz w:val="21"/>
                <w:szCs w:val="21"/>
              </w:rPr>
              <w:t>Service Provider</w:t>
            </w:r>
            <w:r>
              <w:rPr>
                <w:color w:val="000000"/>
                <w:sz w:val="21"/>
                <w:szCs w:val="21"/>
              </w:rPr>
              <w:t xml:space="preserve"> by or on behalf of the Relevant Authority; or (ii) the </w:t>
            </w:r>
            <w:r>
              <w:rPr>
                <w:i/>
                <w:iCs/>
                <w:color w:val="000000"/>
                <w:sz w:val="21"/>
                <w:szCs w:val="21"/>
              </w:rPr>
              <w:t>Service Provider</w:t>
            </w:r>
            <w:r>
              <w:rPr>
                <w:color w:val="000000"/>
                <w:sz w:val="21"/>
                <w:szCs w:val="21"/>
              </w:rPr>
              <w:t xml:space="preserve"> is r</w:t>
            </w:r>
            <w:r>
              <w:rPr>
                <w:color w:val="000000"/>
                <w:sz w:val="21"/>
                <w:szCs w:val="21"/>
              </w:rPr>
              <w:t xml:space="preserve">equired to generate, Process, Handle, store or transmit under the Contract, </w:t>
            </w:r>
          </w:p>
          <w:p w14:paraId="3345386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and for the avoidance of doubt includes any Code and any meta data relating to any Code.</w:t>
            </w:r>
          </w:p>
        </w:tc>
      </w:tr>
      <w:tr w:rsidR="007960A8" w14:paraId="55FD2443" w14:textId="77777777">
        <w:tc>
          <w:tcPr>
            <w:tcW w:w="2415" w:type="dxa"/>
          </w:tcPr>
          <w:p w14:paraId="2366997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"Government Data Register"</w:t>
            </w:r>
          </w:p>
        </w:tc>
        <w:tc>
          <w:tcPr>
            <w:tcW w:w="5198" w:type="dxa"/>
          </w:tcPr>
          <w:p w14:paraId="321B223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register of all Government Data the </w:t>
            </w:r>
            <w:r>
              <w:rPr>
                <w:i/>
                <w:iCs/>
                <w:color w:val="000000"/>
                <w:sz w:val="21"/>
                <w:szCs w:val="21"/>
              </w:rPr>
              <w:t>Service Provider</w:t>
            </w:r>
            <w:r>
              <w:rPr>
                <w:color w:val="000000"/>
                <w:sz w:val="21"/>
                <w:szCs w:val="21"/>
              </w:rPr>
              <w:t>, or a</w:t>
            </w:r>
            <w:r>
              <w:rPr>
                <w:color w:val="000000"/>
                <w:sz w:val="21"/>
                <w:szCs w:val="21"/>
              </w:rPr>
              <w:t xml:space="preserve">ny Sub-contractor, receives from or creates for the </w:t>
            </w:r>
            <w:r>
              <w:rPr>
                <w:i/>
                <w:iCs/>
                <w:color w:val="000000"/>
                <w:sz w:val="21"/>
                <w:szCs w:val="21"/>
              </w:rPr>
              <w:t>Client</w:t>
            </w:r>
            <w:r>
              <w:rPr>
                <w:color w:val="000000"/>
                <w:sz w:val="21"/>
                <w:szCs w:val="21"/>
              </w:rPr>
              <w:t>, produced and maintained in accordance with Paragraph 18 of Appendix 1;</w:t>
            </w:r>
          </w:p>
        </w:tc>
      </w:tr>
      <w:tr w:rsidR="007960A8" w14:paraId="53882FCE" w14:textId="77777777">
        <w:tc>
          <w:tcPr>
            <w:tcW w:w="2415" w:type="dxa"/>
          </w:tcPr>
          <w:p w14:paraId="6B64F2F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"Government Security Classification Policy"</w:t>
            </w:r>
          </w:p>
        </w:tc>
        <w:tc>
          <w:tcPr>
            <w:tcW w:w="5198" w:type="dxa"/>
          </w:tcPr>
          <w:p w14:paraId="1ACA075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policy, as updated from time to time, establishing an administrative system to protect information assets appropriately against prevalent threats, including classification tiers, protective security controls and baseline behaviours, the current version</w:t>
            </w:r>
            <w:r>
              <w:rPr>
                <w:color w:val="000000"/>
                <w:sz w:val="21"/>
                <w:szCs w:val="21"/>
              </w:rPr>
              <w:t xml:space="preserve"> of which is found at https://www.gov.uk/ government/publications/government-security-classifications;</w:t>
            </w:r>
          </w:p>
        </w:tc>
      </w:tr>
      <w:tr w:rsidR="007960A8" w14:paraId="28E08A51" w14:textId="77777777">
        <w:tc>
          <w:tcPr>
            <w:tcW w:w="2415" w:type="dxa"/>
          </w:tcPr>
          <w:p w14:paraId="2A9EC93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“Handle”</w:t>
            </w:r>
          </w:p>
        </w:tc>
        <w:tc>
          <w:tcPr>
            <w:tcW w:w="5198" w:type="dxa"/>
          </w:tcPr>
          <w:p w14:paraId="2899A1C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operation performed on data, whether or not by automated means, including collection, recording, organisation, structuring, storage, adapta</w:t>
            </w:r>
            <w:r>
              <w:rPr>
                <w:color w:val="000000"/>
                <w:sz w:val="21"/>
                <w:szCs w:val="21"/>
              </w:rPr>
              <w:t>tion or alteration, retrieval, consultation, use, disclosure by transmission, dissemination or otherwise making available, alignment or combination, restriction, erasure or destruction of that data;</w:t>
            </w:r>
          </w:p>
        </w:tc>
      </w:tr>
      <w:tr w:rsidR="007960A8" w14:paraId="3211E2A3" w14:textId="77777777">
        <w:tc>
          <w:tcPr>
            <w:tcW w:w="2415" w:type="dxa"/>
          </w:tcPr>
          <w:p w14:paraId="4927074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"Higher-risk Sub-contractor"</w:t>
            </w:r>
          </w:p>
        </w:tc>
        <w:tc>
          <w:tcPr>
            <w:tcW w:w="5198" w:type="dxa"/>
          </w:tcPr>
          <w:p w14:paraId="794F6EC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Sub-contractor that Handles Government Data, where that data includes either: </w:t>
            </w:r>
          </w:p>
          <w:p w14:paraId="7758F040"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the Personal Data of 1000 or more individuals in aggregate during the </w:t>
            </w:r>
            <w:r>
              <w:rPr>
                <w:i/>
                <w:iCs/>
                <w:color w:val="000000"/>
                <w:sz w:val="21"/>
                <w:szCs w:val="21"/>
              </w:rPr>
              <w:t>service period</w:t>
            </w:r>
            <w:r>
              <w:rPr>
                <w:color w:val="000000"/>
                <w:sz w:val="21"/>
                <w:szCs w:val="21"/>
              </w:rPr>
              <w:t>; or</w:t>
            </w:r>
          </w:p>
          <w:p w14:paraId="2A05B71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any part of that Personal Data includes any of the following:</w:t>
            </w:r>
          </w:p>
          <w:p w14:paraId="384EDB15"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r>
            <w:r>
              <w:rPr>
                <w:color w:val="000000"/>
                <w:sz w:val="21"/>
                <w:szCs w:val="21"/>
              </w:rPr>
              <w:t>financial information (including any tax and/or welfare information) relating to any person;</w:t>
            </w:r>
          </w:p>
          <w:p w14:paraId="44377EA8"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any information relating to actual or alleged criminal offences (including criminal records);</w:t>
            </w:r>
          </w:p>
          <w:p w14:paraId="2002DE8E"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any information relating to children and/or vulnerable p</w:t>
            </w:r>
            <w:r>
              <w:rPr>
                <w:color w:val="000000"/>
                <w:sz w:val="21"/>
                <w:szCs w:val="21"/>
              </w:rPr>
              <w:t>ersons;</w:t>
            </w:r>
          </w:p>
          <w:p w14:paraId="2920BA2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(iv) </w:t>
            </w:r>
            <w:r>
              <w:rPr>
                <w:color w:val="000000"/>
                <w:sz w:val="21"/>
                <w:szCs w:val="21"/>
              </w:rPr>
              <w:tab/>
              <w:t>any information relating to social care;</w:t>
            </w:r>
          </w:p>
          <w:p w14:paraId="6792A928"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(v) </w:t>
            </w:r>
            <w:r>
              <w:rPr>
                <w:color w:val="000000"/>
                <w:sz w:val="21"/>
                <w:szCs w:val="21"/>
              </w:rPr>
              <w:tab/>
              <w:t>any information relating to a person’s current or past employment; or</w:t>
            </w:r>
          </w:p>
          <w:p w14:paraId="007063D0"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(vi) </w:t>
            </w:r>
            <w:r>
              <w:rPr>
                <w:color w:val="000000"/>
                <w:sz w:val="21"/>
                <w:szCs w:val="21"/>
              </w:rPr>
              <w:tab/>
              <w:t>Special Category Personal Data; or</w:t>
            </w:r>
          </w:p>
          <w:p w14:paraId="72B1D4D6"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 xml:space="preserve">the </w:t>
            </w:r>
            <w:r>
              <w:rPr>
                <w:i/>
                <w:iCs/>
                <w:color w:val="000000"/>
                <w:sz w:val="21"/>
                <w:szCs w:val="21"/>
              </w:rPr>
              <w:t>Client</w:t>
            </w:r>
            <w:r>
              <w:rPr>
                <w:color w:val="000000"/>
                <w:sz w:val="21"/>
                <w:szCs w:val="21"/>
              </w:rPr>
              <w:t xml:space="preserve"> in its discretion, designates a Sub-contractor as a Higher-risk Sub-c</w:t>
            </w:r>
            <w:r>
              <w:rPr>
                <w:color w:val="000000"/>
                <w:sz w:val="21"/>
                <w:szCs w:val="21"/>
              </w:rPr>
              <w:t>ontractor:</w:t>
            </w:r>
          </w:p>
          <w:p w14:paraId="2B3F1160"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in any procurement document related to the Contract; or</w:t>
            </w:r>
          </w:p>
          <w:p w14:paraId="2D8A6A04"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 xml:space="preserve">during the </w:t>
            </w:r>
            <w:r>
              <w:rPr>
                <w:i/>
                <w:iCs/>
                <w:color w:val="000000"/>
                <w:sz w:val="21"/>
                <w:szCs w:val="21"/>
              </w:rPr>
              <w:t>service period</w:t>
            </w:r>
            <w:r>
              <w:rPr>
                <w:color w:val="000000"/>
                <w:sz w:val="21"/>
                <w:szCs w:val="21"/>
              </w:rPr>
              <w:t>;</w:t>
            </w:r>
          </w:p>
        </w:tc>
      </w:tr>
      <w:tr w:rsidR="007960A8" w14:paraId="53C09B93" w14:textId="77777777">
        <w:tc>
          <w:tcPr>
            <w:tcW w:w="2415" w:type="dxa"/>
          </w:tcPr>
          <w:p w14:paraId="7330501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"HMG Baseline Personnel Security Standard"</w:t>
            </w:r>
          </w:p>
        </w:tc>
        <w:tc>
          <w:tcPr>
            <w:tcW w:w="5198" w:type="dxa"/>
          </w:tcPr>
          <w:p w14:paraId="1F7E84F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employment controls applied to any individual member of the Service Provider Staff that performs any activity relating to the provision or management of the </w:t>
            </w:r>
            <w:r>
              <w:rPr>
                <w:i/>
                <w:iCs/>
                <w:color w:val="000000"/>
                <w:sz w:val="21"/>
                <w:szCs w:val="21"/>
              </w:rPr>
              <w:t>services</w:t>
            </w:r>
            <w:r>
              <w:rPr>
                <w:color w:val="000000"/>
                <w:sz w:val="21"/>
                <w:szCs w:val="21"/>
              </w:rPr>
              <w:t>, as set out in "HMG Baseline Personnel Standard", Version 7.0, June 2024 (https://www.</w:t>
            </w:r>
            <w:r>
              <w:rPr>
                <w:color w:val="000000"/>
                <w:sz w:val="21"/>
                <w:szCs w:val="21"/>
              </w:rPr>
              <w:t>gov.uk/government/publications/government-baseline-personnel-security-standard), as that document is updated from time to time;</w:t>
            </w:r>
          </w:p>
        </w:tc>
      </w:tr>
      <w:tr w:rsidR="007960A8" w14:paraId="23A9061D" w14:textId="77777777">
        <w:tc>
          <w:tcPr>
            <w:tcW w:w="2415" w:type="dxa"/>
          </w:tcPr>
          <w:p w14:paraId="1F1D430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“Implementation Plan”</w:t>
            </w:r>
          </w:p>
        </w:tc>
        <w:tc>
          <w:tcPr>
            <w:tcW w:w="5198" w:type="dxa"/>
          </w:tcPr>
          <w:p w14:paraId="40A20BB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plan for provision of the </w:t>
            </w:r>
            <w:r>
              <w:rPr>
                <w:i/>
                <w:iCs/>
                <w:color w:val="000000"/>
                <w:sz w:val="21"/>
                <w:szCs w:val="21"/>
              </w:rPr>
              <w:t>services</w:t>
            </w:r>
            <w:r>
              <w:rPr>
                <w:color w:val="000000"/>
                <w:sz w:val="21"/>
                <w:szCs w:val="21"/>
              </w:rPr>
              <w:t xml:space="preserve"> agreed between the </w:t>
            </w:r>
            <w:r>
              <w:rPr>
                <w:i/>
                <w:iCs/>
                <w:color w:val="000000"/>
                <w:sz w:val="21"/>
                <w:szCs w:val="21"/>
              </w:rPr>
              <w:t>Client</w:t>
            </w:r>
            <w:r>
              <w:rPr>
                <w:color w:val="000000"/>
                <w:sz w:val="21"/>
                <w:szCs w:val="21"/>
              </w:rPr>
              <w:t xml:space="preserve"> and the </w:t>
            </w:r>
            <w:r>
              <w:rPr>
                <w:i/>
                <w:iCs/>
                <w:color w:val="000000"/>
                <w:sz w:val="21"/>
                <w:szCs w:val="21"/>
              </w:rPr>
              <w:t>Service Provider</w:t>
            </w:r>
            <w:r>
              <w:rPr>
                <w:color w:val="000000"/>
                <w:sz w:val="21"/>
                <w:szCs w:val="21"/>
              </w:rPr>
              <w:t>;</w:t>
            </w:r>
          </w:p>
        </w:tc>
      </w:tr>
      <w:tr w:rsidR="007960A8" w14:paraId="1F36BFEC" w14:textId="77777777">
        <w:tc>
          <w:tcPr>
            <w:tcW w:w="2415" w:type="dxa"/>
          </w:tcPr>
          <w:p w14:paraId="265C3FB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"Independent </w:t>
            </w:r>
            <w:r>
              <w:rPr>
                <w:b/>
                <w:bCs/>
                <w:color w:val="000000"/>
                <w:sz w:val="21"/>
                <w:szCs w:val="21"/>
              </w:rPr>
              <w:t>Security Adviser"</w:t>
            </w:r>
          </w:p>
        </w:tc>
        <w:tc>
          <w:tcPr>
            <w:tcW w:w="5198" w:type="dxa"/>
          </w:tcPr>
          <w:p w14:paraId="3C04CCE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independent and appropriately qualified and experienced security architect or expert appointed under Paragraph 19;</w:t>
            </w:r>
          </w:p>
        </w:tc>
      </w:tr>
      <w:tr w:rsidR="007960A8" w14:paraId="3A8F32CF" w14:textId="77777777">
        <w:tc>
          <w:tcPr>
            <w:tcW w:w="2415" w:type="dxa"/>
          </w:tcPr>
          <w:p w14:paraId="126D851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“IPR”</w:t>
            </w:r>
          </w:p>
        </w:tc>
        <w:tc>
          <w:tcPr>
            <w:tcW w:w="5198" w:type="dxa"/>
          </w:tcPr>
          <w:p w14:paraId="0E96D03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a) copyright, rights related to or affording protection similar to copyright, rights in databases, patents</w:t>
            </w:r>
            <w:r>
              <w:rPr>
                <w:color w:val="000000"/>
                <w:sz w:val="21"/>
                <w:szCs w:val="21"/>
              </w:rPr>
              <w:t xml:space="preserve"> and rights in inventions, semi-conductor topography rights, trade mark, right in internet domain names and website addresses and other rights in trade or business names, goodwill, designs, Know-How, trade secrets and other rights in Confidential Informati</w:t>
            </w:r>
            <w:r>
              <w:rPr>
                <w:color w:val="000000"/>
                <w:sz w:val="21"/>
                <w:szCs w:val="21"/>
              </w:rPr>
              <w:t xml:space="preserve">on; </w:t>
            </w:r>
          </w:p>
          <w:p w14:paraId="4ABDBAA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b) applications for registration, and the right to apply for registration, for any of the rights listed at (a) that are capable of being registered in any country or jurisdiction; and </w:t>
            </w:r>
          </w:p>
          <w:p w14:paraId="6BAF2E4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c) all other rights having equivalent or similar effect in any cou</w:t>
            </w:r>
            <w:r>
              <w:rPr>
                <w:color w:val="000000"/>
                <w:sz w:val="21"/>
                <w:szCs w:val="21"/>
              </w:rPr>
              <w:t>ntry or jurisdiction;</w:t>
            </w:r>
          </w:p>
        </w:tc>
      </w:tr>
      <w:tr w:rsidR="007960A8" w14:paraId="5B93B9E1" w14:textId="77777777">
        <w:tc>
          <w:tcPr>
            <w:tcW w:w="2415" w:type="dxa"/>
          </w:tcPr>
          <w:p w14:paraId="229D00F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"ISO Certification"</w:t>
            </w:r>
          </w:p>
        </w:tc>
        <w:tc>
          <w:tcPr>
            <w:tcW w:w="5198" w:type="dxa"/>
          </w:tcPr>
          <w:p w14:paraId="7C3A2445"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either of the following certifications when issued by a UKAS-recognised Certification Body: </w:t>
            </w:r>
          </w:p>
          <w:p w14:paraId="5D8E5B88"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r>
            <w:r>
              <w:rPr>
                <w:color w:val="000000"/>
                <w:sz w:val="21"/>
                <w:szCs w:val="21"/>
              </w:rPr>
              <w:t>ISO/IEC27001:2013, where the certification was obtained before November 2022, but only until November 2025; and</w:t>
            </w:r>
          </w:p>
          <w:p w14:paraId="395A62F9"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ISO/IEC27001:2022 in all other cases;</w:t>
            </w:r>
          </w:p>
        </w:tc>
      </w:tr>
      <w:tr w:rsidR="007960A8" w14:paraId="219FE4E7" w14:textId="77777777">
        <w:tc>
          <w:tcPr>
            <w:tcW w:w="2415" w:type="dxa"/>
          </w:tcPr>
          <w:p w14:paraId="4D4EDB4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"IT Health Check"</w:t>
            </w:r>
          </w:p>
        </w:tc>
        <w:tc>
          <w:tcPr>
            <w:tcW w:w="5198" w:type="dxa"/>
          </w:tcPr>
          <w:p w14:paraId="653E49B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testing of the Service Provider Information Management System by a CHECK Scheme Pr</w:t>
            </w:r>
            <w:r>
              <w:rPr>
                <w:color w:val="000000"/>
                <w:sz w:val="21"/>
                <w:szCs w:val="21"/>
              </w:rPr>
              <w:t>ovider;</w:t>
            </w:r>
          </w:p>
        </w:tc>
      </w:tr>
      <w:tr w:rsidR="007960A8" w14:paraId="63F69E32" w14:textId="77777777">
        <w:tc>
          <w:tcPr>
            <w:tcW w:w="2415" w:type="dxa"/>
          </w:tcPr>
          <w:p w14:paraId="0E1D347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“Key Sub-Contract”</w:t>
            </w:r>
          </w:p>
        </w:tc>
        <w:tc>
          <w:tcPr>
            <w:tcW w:w="5198" w:type="dxa"/>
          </w:tcPr>
          <w:p w14:paraId="11722B5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Each Sub-Contract with a Key Subcontractor.</w:t>
            </w:r>
          </w:p>
        </w:tc>
      </w:tr>
      <w:tr w:rsidR="007960A8" w14:paraId="3DBE47B4" w14:textId="77777777">
        <w:tc>
          <w:tcPr>
            <w:tcW w:w="2415" w:type="dxa"/>
          </w:tcPr>
          <w:p w14:paraId="071FD75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“Key Subcontractor”</w:t>
            </w:r>
          </w:p>
        </w:tc>
        <w:tc>
          <w:tcPr>
            <w:tcW w:w="5198" w:type="dxa"/>
          </w:tcPr>
          <w:p w14:paraId="6B94925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Subcontractor: a) which is relied upon to deliver any work package within the </w:t>
            </w:r>
            <w:r>
              <w:rPr>
                <w:i/>
                <w:iCs/>
                <w:color w:val="000000"/>
                <w:sz w:val="21"/>
                <w:szCs w:val="21"/>
              </w:rPr>
              <w:t>services</w:t>
            </w:r>
            <w:r>
              <w:rPr>
                <w:color w:val="000000"/>
                <w:sz w:val="21"/>
                <w:szCs w:val="21"/>
              </w:rPr>
              <w:t xml:space="preserve"> in their entirety; and/or b) which, in the opinion of the </w:t>
            </w:r>
            <w:r>
              <w:rPr>
                <w:i/>
                <w:iCs/>
                <w:color w:val="000000"/>
                <w:sz w:val="21"/>
                <w:szCs w:val="21"/>
              </w:rPr>
              <w:t>Client</w:t>
            </w:r>
            <w:r>
              <w:rPr>
                <w:color w:val="000000"/>
                <w:sz w:val="21"/>
                <w:szCs w:val="21"/>
              </w:rPr>
              <w:t xml:space="preserve"> performs (or would perform if appointed) a critical role in the provision of all or any part of the </w:t>
            </w:r>
            <w:r>
              <w:rPr>
                <w:i/>
                <w:iCs/>
                <w:color w:val="000000"/>
                <w:sz w:val="21"/>
                <w:szCs w:val="21"/>
              </w:rPr>
              <w:t>services</w:t>
            </w:r>
            <w:r>
              <w:rPr>
                <w:color w:val="000000"/>
                <w:sz w:val="21"/>
                <w:szCs w:val="21"/>
              </w:rPr>
              <w:t>; and/or c) with a Sub-Contract with a contract value which at the time of appointment exceeds (or would exceed if appointed) 10% of the aggregate total of the Prices forecast to be payable under the Contract.</w:t>
            </w:r>
          </w:p>
        </w:tc>
      </w:tr>
      <w:tr w:rsidR="007960A8" w14:paraId="30405833" w14:textId="77777777">
        <w:tc>
          <w:tcPr>
            <w:tcW w:w="2415" w:type="dxa"/>
          </w:tcPr>
          <w:p w14:paraId="47D19E3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"Key Subcontractor Default"</w:t>
            </w:r>
          </w:p>
        </w:tc>
        <w:tc>
          <w:tcPr>
            <w:tcW w:w="5198" w:type="dxa"/>
          </w:tcPr>
          <w:p w14:paraId="4FB00F1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w:t>
            </w:r>
            <w:r>
              <w:rPr>
                <w:color w:val="000000"/>
                <w:sz w:val="21"/>
                <w:szCs w:val="21"/>
              </w:rPr>
              <w:t>eaning set out in Paragraph 10.5;</w:t>
            </w:r>
          </w:p>
        </w:tc>
      </w:tr>
      <w:tr w:rsidR="007960A8" w14:paraId="51B8C5A0" w14:textId="77777777">
        <w:tc>
          <w:tcPr>
            <w:tcW w:w="2415" w:type="dxa"/>
          </w:tcPr>
          <w:p w14:paraId="2F846AC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“Know-How” </w:t>
            </w:r>
          </w:p>
        </w:tc>
        <w:tc>
          <w:tcPr>
            <w:tcW w:w="5198" w:type="dxa"/>
          </w:tcPr>
          <w:p w14:paraId="060039D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all ideas, concepts, schemes, information, knowledge, techniques, methodology, and anything else in the nature of know-how relating to the </w:t>
            </w:r>
            <w:r>
              <w:rPr>
                <w:i/>
                <w:iCs/>
                <w:color w:val="000000"/>
                <w:sz w:val="21"/>
                <w:szCs w:val="21"/>
              </w:rPr>
              <w:t>services</w:t>
            </w:r>
            <w:r>
              <w:rPr>
                <w:color w:val="000000"/>
                <w:sz w:val="21"/>
                <w:szCs w:val="21"/>
              </w:rPr>
              <w:t xml:space="preserve"> but excluding know-how already in the other party’s possessio</w:t>
            </w:r>
            <w:r>
              <w:rPr>
                <w:color w:val="000000"/>
                <w:sz w:val="21"/>
                <w:szCs w:val="21"/>
              </w:rPr>
              <w:t>n before the Contract Date;</w:t>
            </w:r>
          </w:p>
        </w:tc>
      </w:tr>
      <w:tr w:rsidR="007960A8" w14:paraId="1DE40F88" w14:textId="77777777">
        <w:tc>
          <w:tcPr>
            <w:tcW w:w="2415" w:type="dxa"/>
          </w:tcPr>
          <w:p w14:paraId="38826C0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“Law”</w:t>
            </w:r>
          </w:p>
        </w:tc>
        <w:tc>
          <w:tcPr>
            <w:tcW w:w="5198" w:type="dxa"/>
          </w:tcPr>
          <w:p w14:paraId="7E765D3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law, subordinate legislation within the meaning of Section 21(1) of the Interpretation Act 1978, bye-law, right within the meaning of the European Union (Withdrawal) Act 2020, regulation, order, regulatory policy, man</w:t>
            </w:r>
            <w:r>
              <w:rPr>
                <w:color w:val="000000"/>
                <w:sz w:val="21"/>
                <w:szCs w:val="21"/>
              </w:rPr>
              <w:t xml:space="preserve">datory guidance or code of practice, judgment of a relevant court of law, or directives or requirements of any regulatory body with which the </w:t>
            </w:r>
            <w:r>
              <w:rPr>
                <w:i/>
                <w:iCs/>
                <w:color w:val="000000"/>
                <w:sz w:val="21"/>
                <w:szCs w:val="21"/>
              </w:rPr>
              <w:t>Service Provider</w:t>
            </w:r>
            <w:r>
              <w:rPr>
                <w:color w:val="000000"/>
                <w:sz w:val="21"/>
                <w:szCs w:val="21"/>
              </w:rPr>
              <w:t xml:space="preserve"> is bound to comply.</w:t>
            </w:r>
          </w:p>
        </w:tc>
      </w:tr>
      <w:tr w:rsidR="007960A8" w14:paraId="4AEDCCC5" w14:textId="77777777">
        <w:tc>
          <w:tcPr>
            <w:tcW w:w="2415" w:type="dxa"/>
          </w:tcPr>
          <w:p w14:paraId="51349F8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“Losses”</w:t>
            </w:r>
          </w:p>
        </w:tc>
        <w:tc>
          <w:tcPr>
            <w:tcW w:w="5198" w:type="dxa"/>
          </w:tcPr>
          <w:p w14:paraId="6ADA11E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All losses, liabilities, damages, costs, expenses (including legal </w:t>
            </w:r>
            <w:r>
              <w:rPr>
                <w:color w:val="000000"/>
                <w:sz w:val="21"/>
                <w:szCs w:val="21"/>
              </w:rPr>
              <w:t>fees), disbursements, costs of investigation, litigation, settlement, judgment, interest and penalties whether arising in contract, tort (including negligence), breach of statutory duty, misrepresentation or otherwise and "Loss" shall be interpreted accord</w:t>
            </w:r>
            <w:r>
              <w:rPr>
                <w:color w:val="000000"/>
                <w:sz w:val="21"/>
                <w:szCs w:val="21"/>
              </w:rPr>
              <w:t>ingly.</w:t>
            </w:r>
          </w:p>
        </w:tc>
      </w:tr>
      <w:tr w:rsidR="007960A8" w14:paraId="0A285C05" w14:textId="77777777">
        <w:tc>
          <w:tcPr>
            <w:tcW w:w="2415" w:type="dxa"/>
          </w:tcPr>
          <w:p w14:paraId="1FD5732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"Medium-risk Sub-contractor"</w:t>
            </w:r>
          </w:p>
        </w:tc>
        <w:tc>
          <w:tcPr>
            <w:tcW w:w="5198" w:type="dxa"/>
          </w:tcPr>
          <w:p w14:paraId="5AAFE4A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Sub-contractor that Handles Government Data, where that data</w:t>
            </w:r>
          </w:p>
          <w:p w14:paraId="28E4B98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r>
            <w:r>
              <w:rPr>
                <w:color w:val="000000"/>
                <w:sz w:val="21"/>
                <w:szCs w:val="21"/>
              </w:rPr>
              <w:t xml:space="preserve">includes the Personal Data of between 100 and 999 individuals (inclusive) in the </w:t>
            </w:r>
            <w:r>
              <w:rPr>
                <w:i/>
                <w:iCs/>
                <w:color w:val="000000"/>
                <w:sz w:val="21"/>
                <w:szCs w:val="21"/>
              </w:rPr>
              <w:t>service period</w:t>
            </w:r>
            <w:r>
              <w:rPr>
                <w:color w:val="000000"/>
                <w:sz w:val="21"/>
                <w:szCs w:val="21"/>
              </w:rPr>
              <w:t>; and</w:t>
            </w:r>
          </w:p>
          <w:p w14:paraId="69AF6E5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does not include Special Category Personal Data;</w:t>
            </w:r>
          </w:p>
        </w:tc>
      </w:tr>
      <w:tr w:rsidR="007960A8" w14:paraId="72CC1765" w14:textId="77777777">
        <w:tc>
          <w:tcPr>
            <w:tcW w:w="2415" w:type="dxa"/>
          </w:tcPr>
          <w:p w14:paraId="495ED49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"Modules Register"</w:t>
            </w:r>
          </w:p>
        </w:tc>
        <w:tc>
          <w:tcPr>
            <w:tcW w:w="5198" w:type="dxa"/>
          </w:tcPr>
          <w:p w14:paraId="560E046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register of Third-party Software Modules required by Paragraph 7.3 of Appendi</w:t>
            </w:r>
            <w:r>
              <w:rPr>
                <w:color w:val="000000"/>
                <w:sz w:val="21"/>
                <w:szCs w:val="21"/>
              </w:rPr>
              <w:t>x 1;</w:t>
            </w:r>
          </w:p>
        </w:tc>
      </w:tr>
      <w:tr w:rsidR="007960A8" w14:paraId="550941B0" w14:textId="77777777">
        <w:tc>
          <w:tcPr>
            <w:tcW w:w="2415" w:type="dxa"/>
          </w:tcPr>
          <w:p w14:paraId="1AAA631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“Month”</w:t>
            </w:r>
          </w:p>
        </w:tc>
        <w:tc>
          <w:tcPr>
            <w:tcW w:w="5198" w:type="dxa"/>
          </w:tcPr>
          <w:p w14:paraId="15A77A3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calendar month and “Monthly” shall be interpreted accordingly;</w:t>
            </w:r>
          </w:p>
        </w:tc>
      </w:tr>
      <w:tr w:rsidR="007960A8" w14:paraId="3FEBF4DF" w14:textId="77777777">
        <w:tc>
          <w:tcPr>
            <w:tcW w:w="2415" w:type="dxa"/>
          </w:tcPr>
          <w:p w14:paraId="5F29DA5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"NCSC"</w:t>
            </w:r>
          </w:p>
        </w:tc>
        <w:tc>
          <w:tcPr>
            <w:tcW w:w="5198" w:type="dxa"/>
          </w:tcPr>
          <w:p w14:paraId="63AB5BC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National Cyber Security Centre or any replacement or successor body carrying out the same function;</w:t>
            </w:r>
          </w:p>
        </w:tc>
      </w:tr>
      <w:tr w:rsidR="007960A8" w14:paraId="46407ABF" w14:textId="77777777">
        <w:tc>
          <w:tcPr>
            <w:tcW w:w="2415" w:type="dxa"/>
          </w:tcPr>
          <w:p w14:paraId="5A1DEF3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"NCSC Cloud Security Principles"</w:t>
            </w:r>
          </w:p>
        </w:tc>
        <w:tc>
          <w:tcPr>
            <w:tcW w:w="5198" w:type="dxa"/>
          </w:tcPr>
          <w:p w14:paraId="496F19E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NCSC’s document "Implementing the Cloud Security Principles" as updated or replaced from time to time and found at</w:t>
            </w:r>
            <w:r>
              <w:rPr>
                <w:color w:val="000000"/>
                <w:sz w:val="21"/>
                <w:szCs w:val="21"/>
              </w:rPr>
              <w:t xml:space="preserve"> https://www.ncsc.gov.uk/collection/cloud/the-cloud-security-principles;</w:t>
            </w:r>
          </w:p>
        </w:tc>
      </w:tr>
      <w:tr w:rsidR="007960A8" w14:paraId="6A2CD5DF" w14:textId="77777777">
        <w:tc>
          <w:tcPr>
            <w:tcW w:w="2415" w:type="dxa"/>
          </w:tcPr>
          <w:p w14:paraId="32B1B91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"NCSC Device Guidance"</w:t>
            </w:r>
          </w:p>
        </w:tc>
        <w:tc>
          <w:tcPr>
            <w:tcW w:w="5198" w:type="dxa"/>
          </w:tcPr>
          <w:p w14:paraId="6716A10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NCSC’s document "Device Security Guidance", as updated or replaced from time to time and found at https://www.ncsc.gov.uk/collection/device-security-guidan</w:t>
            </w:r>
            <w:r>
              <w:rPr>
                <w:color w:val="000000"/>
                <w:sz w:val="21"/>
                <w:szCs w:val="21"/>
              </w:rPr>
              <w:t>ce;</w:t>
            </w:r>
          </w:p>
        </w:tc>
      </w:tr>
      <w:tr w:rsidR="007960A8" w14:paraId="47F47257" w14:textId="77777777">
        <w:tc>
          <w:tcPr>
            <w:tcW w:w="2415" w:type="dxa"/>
          </w:tcPr>
          <w:p w14:paraId="5515B2A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"NCSC Protecting Bulk Personal Data Guidance"</w:t>
            </w:r>
          </w:p>
        </w:tc>
        <w:tc>
          <w:tcPr>
            <w:tcW w:w="5198" w:type="dxa"/>
          </w:tcPr>
          <w:p w14:paraId="3C73F7C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NCSC’s document "Protecting Bulk Personal Data", as updated or replaced from time to time and found at https://www.ncsc.gov.uk/collection/protecting-bulk-personal-data;</w:t>
            </w:r>
          </w:p>
        </w:tc>
      </w:tr>
      <w:tr w:rsidR="007960A8" w14:paraId="78AD48D3" w14:textId="77777777">
        <w:tc>
          <w:tcPr>
            <w:tcW w:w="2415" w:type="dxa"/>
          </w:tcPr>
          <w:p w14:paraId="07D35B8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"NCSC Secure Design Principles"</w:t>
            </w:r>
          </w:p>
        </w:tc>
        <w:tc>
          <w:tcPr>
            <w:tcW w:w="5198" w:type="dxa"/>
          </w:tcPr>
          <w:p w14:paraId="526B47C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NCSC’s document "Secure Design Principles", as updated or replaced from time to time and found at https://www.ncsc.gov.uk/collection/cyber-security-design-principles/cyber-security-design-principles;</w:t>
            </w:r>
          </w:p>
        </w:tc>
      </w:tr>
      <w:tr w:rsidR="007960A8" w14:paraId="096F81F5" w14:textId="77777777">
        <w:tc>
          <w:tcPr>
            <w:tcW w:w="2415" w:type="dxa"/>
          </w:tcPr>
          <w:p w14:paraId="2ACFB4F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“Notifiable Default</w:t>
            </w:r>
            <w:r>
              <w:rPr>
                <w:b/>
                <w:bCs/>
                <w:color w:val="000000"/>
                <w:sz w:val="21"/>
                <w:szCs w:val="21"/>
              </w:rPr>
              <w:t>”</w:t>
            </w:r>
          </w:p>
        </w:tc>
        <w:tc>
          <w:tcPr>
            <w:tcW w:w="5198" w:type="dxa"/>
          </w:tcPr>
          <w:p w14:paraId="7D5D902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Where the </w:t>
            </w:r>
            <w:r>
              <w:rPr>
                <w:i/>
                <w:iCs/>
                <w:color w:val="000000"/>
                <w:sz w:val="21"/>
                <w:szCs w:val="21"/>
              </w:rPr>
              <w:t>Service Provider</w:t>
            </w:r>
            <w:r>
              <w:rPr>
                <w:color w:val="000000"/>
                <w:sz w:val="21"/>
                <w:szCs w:val="21"/>
              </w:rPr>
              <w:t xml:space="preserve"> commits a material default;</w:t>
            </w:r>
          </w:p>
        </w:tc>
      </w:tr>
      <w:tr w:rsidR="007960A8" w14:paraId="1EAE3EE5" w14:textId="77777777">
        <w:tc>
          <w:tcPr>
            <w:tcW w:w="2415" w:type="dxa"/>
          </w:tcPr>
          <w:p w14:paraId="15D9559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"OWASP"</w:t>
            </w:r>
          </w:p>
        </w:tc>
        <w:tc>
          <w:tcPr>
            <w:tcW w:w="5198" w:type="dxa"/>
          </w:tcPr>
          <w:p w14:paraId="4DB4730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Open Web Application Security Project Foundation;</w:t>
            </w:r>
          </w:p>
        </w:tc>
      </w:tr>
      <w:tr w:rsidR="007960A8" w14:paraId="23B4984A" w14:textId="77777777">
        <w:tc>
          <w:tcPr>
            <w:tcW w:w="2415" w:type="dxa"/>
          </w:tcPr>
          <w:p w14:paraId="1DAF9F2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"OWASP Secure Coding Practice"</w:t>
            </w:r>
          </w:p>
        </w:tc>
        <w:tc>
          <w:tcPr>
            <w:tcW w:w="5198" w:type="dxa"/>
          </w:tcPr>
          <w:p w14:paraId="7578507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Secure Coding Practices Quick Reference Guide published by OWASP, as updated or replaced from time to time and found at https://owasp.org/www-project-secure-coding-practices-quick-reference-guide/;</w:t>
            </w:r>
          </w:p>
        </w:tc>
      </w:tr>
      <w:tr w:rsidR="007960A8" w14:paraId="7F89168D" w14:textId="77777777">
        <w:tc>
          <w:tcPr>
            <w:tcW w:w="2415" w:type="dxa"/>
          </w:tcPr>
          <w:p w14:paraId="6243107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"OWASP Top Ten"</w:t>
            </w:r>
          </w:p>
        </w:tc>
        <w:tc>
          <w:tcPr>
            <w:tcW w:w="5198" w:type="dxa"/>
          </w:tcPr>
          <w:p w14:paraId="41DABCC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list of the most critical securit</w:t>
            </w:r>
            <w:r>
              <w:rPr>
                <w:color w:val="000000"/>
                <w:sz w:val="21"/>
                <w:szCs w:val="21"/>
              </w:rPr>
              <w:t>y risks to web applications published annually by OWASP and found at https://owasp.org/www-project-top-ten/;</w:t>
            </w:r>
          </w:p>
        </w:tc>
      </w:tr>
      <w:tr w:rsidR="007960A8" w14:paraId="2CC1D697" w14:textId="77777777">
        <w:tc>
          <w:tcPr>
            <w:tcW w:w="2415" w:type="dxa"/>
          </w:tcPr>
          <w:p w14:paraId="49330D8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“Personal Data”</w:t>
            </w:r>
          </w:p>
        </w:tc>
        <w:tc>
          <w:tcPr>
            <w:tcW w:w="5198" w:type="dxa"/>
          </w:tcPr>
          <w:p w14:paraId="469A692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meaning given to it under the UK GDPR or the EU GDPR as the context requires;</w:t>
            </w:r>
          </w:p>
        </w:tc>
      </w:tr>
      <w:tr w:rsidR="007960A8" w14:paraId="1E61A247" w14:textId="77777777">
        <w:tc>
          <w:tcPr>
            <w:tcW w:w="2415" w:type="dxa"/>
          </w:tcPr>
          <w:p w14:paraId="2352204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“Processing”</w:t>
            </w:r>
          </w:p>
        </w:tc>
        <w:tc>
          <w:tcPr>
            <w:tcW w:w="5198" w:type="dxa"/>
          </w:tcPr>
          <w:p w14:paraId="20ACC08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meaning given to it in the UK GDPR or the EU GDPR as the context requires, and “Process” shall be construed accordingly</w:t>
            </w:r>
          </w:p>
        </w:tc>
      </w:tr>
      <w:tr w:rsidR="007960A8" w14:paraId="7ADFF64A" w14:textId="77777777">
        <w:tc>
          <w:tcPr>
            <w:tcW w:w="2415" w:type="dxa"/>
          </w:tcPr>
          <w:p w14:paraId="229B44F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“Processor”</w:t>
            </w:r>
          </w:p>
        </w:tc>
        <w:tc>
          <w:tcPr>
            <w:tcW w:w="5198" w:type="dxa"/>
          </w:tcPr>
          <w:p w14:paraId="39B1F3B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meaning</w:t>
            </w:r>
            <w:r>
              <w:rPr>
                <w:color w:val="000000"/>
                <w:sz w:val="21"/>
                <w:szCs w:val="21"/>
              </w:rPr>
              <w:t xml:space="preserve"> given to it under the UK GDPR or the EU GDPR as the context requires;</w:t>
            </w:r>
          </w:p>
        </w:tc>
      </w:tr>
      <w:tr w:rsidR="007960A8" w14:paraId="422EDA39" w14:textId="77777777">
        <w:tc>
          <w:tcPr>
            <w:tcW w:w="2415" w:type="dxa"/>
          </w:tcPr>
          <w:p w14:paraId="7CF87F4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"Privileged User"</w:t>
            </w:r>
          </w:p>
        </w:tc>
        <w:tc>
          <w:tcPr>
            <w:tcW w:w="5198" w:type="dxa"/>
          </w:tcPr>
          <w:p w14:paraId="64378D2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user with system administration access to the Service Provider Information Management System, or substantially similar access privileges;</w:t>
            </w:r>
          </w:p>
        </w:tc>
      </w:tr>
      <w:tr w:rsidR="007960A8" w14:paraId="30913539" w14:textId="77777777">
        <w:tc>
          <w:tcPr>
            <w:tcW w:w="2415" w:type="dxa"/>
          </w:tcPr>
          <w:p w14:paraId="1A769A5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"Prohibited Activity"</w:t>
            </w:r>
          </w:p>
        </w:tc>
        <w:tc>
          <w:tcPr>
            <w:tcW w:w="5198" w:type="dxa"/>
          </w:tcPr>
          <w:p w14:paraId="530CE3E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w:t>
            </w:r>
            <w:r>
              <w:rPr>
                <w:color w:val="000000"/>
                <w:sz w:val="21"/>
                <w:szCs w:val="21"/>
              </w:rPr>
              <w:t xml:space="preserve"> storage, access or Handling of Government Data prohibited by a Prohibition Notice;</w:t>
            </w:r>
          </w:p>
        </w:tc>
      </w:tr>
      <w:tr w:rsidR="007960A8" w14:paraId="3F3B78D8" w14:textId="77777777">
        <w:tc>
          <w:tcPr>
            <w:tcW w:w="2415" w:type="dxa"/>
          </w:tcPr>
          <w:p w14:paraId="4DB386A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"Prohibition Notice"</w:t>
            </w:r>
          </w:p>
        </w:tc>
        <w:tc>
          <w:tcPr>
            <w:tcW w:w="5198" w:type="dxa"/>
          </w:tcPr>
          <w:p w14:paraId="7B4272C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notice issued under Paragraph 1.11 of Appendix 1;</w:t>
            </w:r>
          </w:p>
        </w:tc>
      </w:tr>
      <w:tr w:rsidR="007960A8" w14:paraId="3519C40D" w14:textId="77777777">
        <w:tc>
          <w:tcPr>
            <w:tcW w:w="2415" w:type="dxa"/>
          </w:tcPr>
          <w:p w14:paraId="6797C3D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"Protective Monitoring System"</w:t>
            </w:r>
          </w:p>
        </w:tc>
        <w:tc>
          <w:tcPr>
            <w:tcW w:w="5198" w:type="dxa"/>
          </w:tcPr>
          <w:p w14:paraId="44420DD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system implemented by the </w:t>
            </w:r>
            <w:r>
              <w:rPr>
                <w:i/>
                <w:iCs/>
                <w:color w:val="000000"/>
                <w:sz w:val="21"/>
                <w:szCs w:val="21"/>
              </w:rPr>
              <w:t>Service Provider</w:t>
            </w:r>
            <w:r>
              <w:rPr>
                <w:color w:val="000000"/>
                <w:sz w:val="21"/>
                <w:szCs w:val="21"/>
              </w:rPr>
              <w:t xml:space="preserve"> and its Sub-contractors under Paragraph 14.1 of Appendix 1 to monitor and analyse access to and use of the Service Provider Information Management System, the Development Environment, the Government Data and the Code;</w:t>
            </w:r>
          </w:p>
        </w:tc>
      </w:tr>
      <w:tr w:rsidR="007960A8" w14:paraId="74446FAB" w14:textId="77777777">
        <w:tc>
          <w:tcPr>
            <w:tcW w:w="2415" w:type="dxa"/>
          </w:tcPr>
          <w:p w14:paraId="3883037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"RAP Trigger"</w:t>
            </w:r>
          </w:p>
        </w:tc>
        <w:tc>
          <w:tcPr>
            <w:tcW w:w="5198" w:type="dxa"/>
          </w:tcPr>
          <w:p w14:paraId="152980F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occurrence of one </w:t>
            </w:r>
            <w:r>
              <w:rPr>
                <w:color w:val="000000"/>
                <w:sz w:val="21"/>
                <w:szCs w:val="21"/>
              </w:rPr>
              <w:t>of the events set out in Paragraph 18.1;</w:t>
            </w:r>
          </w:p>
        </w:tc>
      </w:tr>
      <w:tr w:rsidR="007960A8" w14:paraId="1962EED7" w14:textId="77777777">
        <w:tc>
          <w:tcPr>
            <w:tcW w:w="2415" w:type="dxa"/>
          </w:tcPr>
          <w:p w14:paraId="007CF65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"Register of Sites, Support Locations and Third-party Tools"</w:t>
            </w:r>
          </w:p>
        </w:tc>
        <w:tc>
          <w:tcPr>
            <w:tcW w:w="5198" w:type="dxa"/>
          </w:tcPr>
          <w:p w14:paraId="550283B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part of the Security Management Plan setting out, in respect of Sites, Support Locations and Third-party Tools: </w:t>
            </w:r>
          </w:p>
          <w:p w14:paraId="5C844B8A"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r>
            <w:r>
              <w:rPr>
                <w:color w:val="000000"/>
                <w:sz w:val="21"/>
                <w:szCs w:val="21"/>
              </w:rPr>
              <w:t xml:space="preserve">the Sites, Support Locations and Third-party Tools that the </w:t>
            </w:r>
            <w:r>
              <w:rPr>
                <w:i/>
                <w:iCs/>
                <w:color w:val="000000"/>
                <w:sz w:val="21"/>
                <w:szCs w:val="21"/>
              </w:rPr>
              <w:t>Service Provider</w:t>
            </w:r>
            <w:r>
              <w:rPr>
                <w:color w:val="000000"/>
                <w:sz w:val="21"/>
                <w:szCs w:val="21"/>
              </w:rPr>
              <w:t xml:space="preserve"> will use to Handle Government Data or provide the </w:t>
            </w:r>
            <w:r>
              <w:rPr>
                <w:i/>
                <w:iCs/>
                <w:color w:val="000000"/>
                <w:sz w:val="21"/>
                <w:szCs w:val="21"/>
              </w:rPr>
              <w:t>services</w:t>
            </w:r>
            <w:r>
              <w:rPr>
                <w:color w:val="000000"/>
                <w:sz w:val="21"/>
                <w:szCs w:val="21"/>
              </w:rPr>
              <w:t>;</w:t>
            </w:r>
          </w:p>
          <w:p w14:paraId="5A52D1A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 xml:space="preserve">the nature of the activity performed at the Site or Support Location or by the Third-party Tool in respect of the </w:t>
            </w:r>
            <w:r>
              <w:rPr>
                <w:color w:val="000000"/>
                <w:sz w:val="21"/>
                <w:szCs w:val="21"/>
              </w:rPr>
              <w:t>Government Data;</w:t>
            </w:r>
          </w:p>
          <w:p w14:paraId="36431DA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in respect of each entity providing a Site, Support Location or Third-party Tool, its:</w:t>
            </w:r>
          </w:p>
          <w:p w14:paraId="47D4C1BE"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full legal name;</w:t>
            </w:r>
          </w:p>
          <w:p w14:paraId="48197375"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trading name (if any)</w:t>
            </w:r>
          </w:p>
          <w:p w14:paraId="136F3CC1"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country of registration;</w:t>
            </w:r>
          </w:p>
          <w:p w14:paraId="2D7A652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(iv) </w:t>
            </w:r>
            <w:r>
              <w:rPr>
                <w:color w:val="000000"/>
                <w:sz w:val="21"/>
                <w:szCs w:val="21"/>
              </w:rPr>
              <w:tab/>
              <w:t>registration number (if applicable); and</w:t>
            </w:r>
          </w:p>
          <w:p w14:paraId="4B871CA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(v) </w:t>
            </w:r>
            <w:r>
              <w:rPr>
                <w:color w:val="000000"/>
                <w:sz w:val="21"/>
                <w:szCs w:val="21"/>
              </w:rPr>
              <w:tab/>
              <w:t>registered ad</w:t>
            </w:r>
            <w:r>
              <w:rPr>
                <w:color w:val="000000"/>
                <w:sz w:val="21"/>
                <w:szCs w:val="21"/>
              </w:rPr>
              <w:t>dress;</w:t>
            </w:r>
          </w:p>
        </w:tc>
      </w:tr>
      <w:tr w:rsidR="007960A8" w14:paraId="03FBF9D9" w14:textId="77777777">
        <w:tc>
          <w:tcPr>
            <w:tcW w:w="2415" w:type="dxa"/>
          </w:tcPr>
          <w:p w14:paraId="03715C1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Activities"</w:t>
            </w:r>
          </w:p>
        </w:tc>
        <w:tc>
          <w:tcPr>
            <w:tcW w:w="5198" w:type="dxa"/>
          </w:tcPr>
          <w:p w14:paraId="2EE78C3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those activities specified in Paragraph 1.1 of Appendix 1;</w:t>
            </w:r>
          </w:p>
        </w:tc>
      </w:tr>
      <w:tr w:rsidR="007960A8" w14:paraId="5419A3ED" w14:textId="77777777">
        <w:tc>
          <w:tcPr>
            <w:tcW w:w="2415" w:type="dxa"/>
          </w:tcPr>
          <w:p w14:paraId="74ACACB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Authority”</w:t>
            </w:r>
          </w:p>
        </w:tc>
        <w:tc>
          <w:tcPr>
            <w:tcW w:w="5198" w:type="dxa"/>
          </w:tcPr>
          <w:p w14:paraId="1F6A826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Client</w:t>
            </w:r>
            <w:r>
              <w:rPr>
                <w:color w:val="000000"/>
                <w:sz w:val="21"/>
                <w:szCs w:val="21"/>
              </w:rPr>
              <w:t>;</w:t>
            </w:r>
          </w:p>
        </w:tc>
      </w:tr>
      <w:tr w:rsidR="007960A8" w14:paraId="329DF418" w14:textId="77777777">
        <w:tc>
          <w:tcPr>
            <w:tcW w:w="2415" w:type="dxa"/>
          </w:tcPr>
          <w:p w14:paraId="76B2944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Certifications"</w:t>
            </w:r>
          </w:p>
        </w:tc>
        <w:tc>
          <w:tcPr>
            <w:tcW w:w="5198" w:type="dxa"/>
          </w:tcPr>
          <w:p w14:paraId="3BEEAE06"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means: </w:t>
            </w:r>
          </w:p>
          <w:p w14:paraId="4E96F45F"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(a)</w:t>
            </w:r>
            <w:r>
              <w:rPr>
                <w:color w:val="000000"/>
                <w:sz w:val="21"/>
                <w:szCs w:val="21"/>
              </w:rPr>
              <w:tab/>
              <w:t xml:space="preserve">in the case of the </w:t>
            </w:r>
            <w:r>
              <w:rPr>
                <w:i/>
                <w:iCs/>
                <w:color w:val="000000"/>
                <w:sz w:val="21"/>
                <w:szCs w:val="21"/>
              </w:rPr>
              <w:t>Service Provider</w:t>
            </w:r>
            <w:r>
              <w:rPr>
                <w:color w:val="000000"/>
                <w:sz w:val="21"/>
                <w:szCs w:val="21"/>
              </w:rPr>
              <w:t>, any SIMS Sub-contractor and any Key Subcontractor:</w:t>
            </w:r>
          </w:p>
          <w:p w14:paraId="1029B25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either:</w:t>
            </w:r>
          </w:p>
          <w:p w14:paraId="2AAB4E35" w14:textId="77777777" w:rsidR="007960A8" w:rsidRDefault="00A26397">
            <w:pPr>
              <w:pBdr>
                <w:top w:val="nil"/>
                <w:left w:val="nil"/>
                <w:bottom w:val="nil"/>
                <w:right w:val="nil"/>
                <w:between w:val="nil"/>
              </w:pBdr>
              <w:spacing w:after="240"/>
              <w:ind w:left="1365" w:hanging="455"/>
              <w:rPr>
                <w:color w:val="000000"/>
                <w:sz w:val="21"/>
                <w:szCs w:val="21"/>
              </w:rPr>
            </w:pPr>
            <w:r>
              <w:rPr>
                <w:color w:val="000000"/>
                <w:sz w:val="21"/>
                <w:szCs w:val="21"/>
              </w:rPr>
              <w:t>(A)</w:t>
            </w:r>
            <w:r>
              <w:rPr>
                <w:color w:val="000000"/>
                <w:sz w:val="21"/>
                <w:szCs w:val="21"/>
              </w:rPr>
              <w:tab/>
              <w:t>an ISO Certification in respect of the Service Provider Information Management System; or</w:t>
            </w:r>
          </w:p>
          <w:p w14:paraId="08E40D3E" w14:textId="77777777" w:rsidR="007960A8" w:rsidRDefault="00A26397">
            <w:pPr>
              <w:pBdr>
                <w:top w:val="nil"/>
                <w:left w:val="nil"/>
                <w:bottom w:val="nil"/>
                <w:right w:val="nil"/>
                <w:between w:val="nil"/>
              </w:pBdr>
              <w:spacing w:after="240"/>
              <w:ind w:left="1365" w:hanging="455"/>
              <w:rPr>
                <w:color w:val="000000"/>
                <w:sz w:val="21"/>
                <w:szCs w:val="21"/>
              </w:rPr>
            </w:pPr>
            <w:r>
              <w:rPr>
                <w:color w:val="000000"/>
                <w:sz w:val="21"/>
                <w:szCs w:val="21"/>
              </w:rPr>
              <w:t>(B)</w:t>
            </w:r>
            <w:r>
              <w:rPr>
                <w:color w:val="000000"/>
                <w:sz w:val="21"/>
                <w:szCs w:val="21"/>
              </w:rPr>
              <w:tab/>
              <w:t>where the Service Provider Information Management System is included within the scope of a w</w:t>
            </w:r>
            <w:r>
              <w:rPr>
                <w:color w:val="000000"/>
                <w:sz w:val="21"/>
                <w:szCs w:val="21"/>
              </w:rPr>
              <w:t>ider ISO Certification, that ISO Certification; and</w:t>
            </w:r>
          </w:p>
          <w:p w14:paraId="2FDCA9A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Cyber Essentials Plus;</w:t>
            </w:r>
          </w:p>
          <w:p w14:paraId="3F65A3B1"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In the case of any Higher-risk Sub-contractor, either:</w:t>
            </w:r>
          </w:p>
          <w:p w14:paraId="39459B5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r>
            <w:r>
              <w:rPr>
                <w:color w:val="000000"/>
                <w:sz w:val="21"/>
                <w:szCs w:val="21"/>
              </w:rPr>
              <w:t>an ISO Certification in respect of that part of the Service Provider Information Management System provided by the Higher-risk Sub-contractor;</w:t>
            </w:r>
          </w:p>
          <w:p w14:paraId="3E650A82"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where the that part of the Service Provider Information Management System provided by the Higher-risk Sub-c</w:t>
            </w:r>
            <w:r>
              <w:rPr>
                <w:color w:val="000000"/>
                <w:sz w:val="21"/>
                <w:szCs w:val="21"/>
              </w:rPr>
              <w:t>ontractor is included within the scope of a wider ISO Certification, that ISO Certification; or</w:t>
            </w:r>
          </w:p>
          <w:p w14:paraId="4550F604"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Cyber Essentials Plus; and</w:t>
            </w:r>
          </w:p>
          <w:p w14:paraId="4DFADAA8"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in the case of any Medium-risk Sub-contractors, means Cyber Essentials.</w:t>
            </w:r>
          </w:p>
          <w:p w14:paraId="2BA34BC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(or equivalent certifications);</w:t>
            </w:r>
          </w:p>
        </w:tc>
      </w:tr>
      <w:tr w:rsidR="007960A8" w14:paraId="662B76BE" w14:textId="77777777">
        <w:tc>
          <w:tcPr>
            <w:tcW w:w="2415" w:type="dxa"/>
          </w:tcPr>
          <w:p w14:paraId="70AA1368"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Convictions"</w:t>
            </w:r>
          </w:p>
        </w:tc>
        <w:tc>
          <w:tcPr>
            <w:tcW w:w="5198" w:type="dxa"/>
          </w:tcPr>
          <w:p w14:paraId="47B7830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previous or pending prosecution, conviction or caution (excluding any spent conviction under the Rehabilitation of Offenders Act 1974) relating to offences involving dishonesty, terrorism, immigration, firearms, fraud, forgery, t</w:t>
            </w:r>
            <w:r>
              <w:rPr>
                <w:color w:val="000000"/>
                <w:sz w:val="21"/>
                <w:szCs w:val="21"/>
              </w:rPr>
              <w:t xml:space="preserve">ax evasion, offences against people (including sexual offences), or any other offences relevant to </w:t>
            </w:r>
            <w:r>
              <w:rPr>
                <w:i/>
                <w:iCs/>
                <w:color w:val="000000"/>
                <w:sz w:val="21"/>
                <w:szCs w:val="21"/>
              </w:rPr>
              <w:t>services</w:t>
            </w:r>
            <w:r>
              <w:rPr>
                <w:color w:val="000000"/>
                <w:sz w:val="21"/>
                <w:szCs w:val="21"/>
              </w:rPr>
              <w:t xml:space="preserve"> as the </w:t>
            </w:r>
            <w:r>
              <w:rPr>
                <w:i/>
                <w:iCs/>
                <w:color w:val="000000"/>
                <w:sz w:val="21"/>
                <w:szCs w:val="21"/>
              </w:rPr>
              <w:t>Client</w:t>
            </w:r>
            <w:r>
              <w:rPr>
                <w:color w:val="000000"/>
                <w:sz w:val="21"/>
                <w:szCs w:val="21"/>
              </w:rPr>
              <w:t xml:space="preserve"> may specify;</w:t>
            </w:r>
          </w:p>
        </w:tc>
      </w:tr>
      <w:tr w:rsidR="007960A8" w14:paraId="56CEE152" w14:textId="77777777">
        <w:tc>
          <w:tcPr>
            <w:tcW w:w="2415" w:type="dxa"/>
          </w:tcPr>
          <w:p w14:paraId="2C773BE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"Remediation Action Plan"</w:t>
            </w:r>
          </w:p>
        </w:tc>
        <w:tc>
          <w:tcPr>
            <w:tcW w:w="5198" w:type="dxa"/>
          </w:tcPr>
          <w:p w14:paraId="7540ECF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plan prepared by the </w:t>
            </w:r>
            <w:r>
              <w:rPr>
                <w:i/>
                <w:iCs/>
                <w:color w:val="000000"/>
                <w:sz w:val="21"/>
                <w:szCs w:val="21"/>
              </w:rPr>
              <w:t>Service Provider</w:t>
            </w:r>
            <w:r>
              <w:rPr>
                <w:color w:val="000000"/>
                <w:sz w:val="21"/>
                <w:szCs w:val="21"/>
              </w:rPr>
              <w:t xml:space="preserve"> in accordance with Paragraph 12.13 to 12.17, addressing the vulnerabilities and findings in a IT Health Check report;</w:t>
            </w:r>
          </w:p>
        </w:tc>
      </w:tr>
      <w:tr w:rsidR="007960A8" w14:paraId="7584E8D9" w14:textId="77777777">
        <w:tc>
          <w:tcPr>
            <w:tcW w:w="2415" w:type="dxa"/>
          </w:tcPr>
          <w:p w14:paraId="59A6E5B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"Remote Location"</w:t>
            </w:r>
          </w:p>
        </w:tc>
        <w:tc>
          <w:tcPr>
            <w:tcW w:w="5198" w:type="dxa"/>
          </w:tcPr>
          <w:p w14:paraId="72C7C95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location other than a </w:t>
            </w:r>
            <w:r>
              <w:rPr>
                <w:i/>
                <w:iCs/>
                <w:color w:val="000000"/>
                <w:sz w:val="21"/>
                <w:szCs w:val="21"/>
              </w:rPr>
              <w:t>Service Provider’s</w:t>
            </w:r>
            <w:r>
              <w:rPr>
                <w:color w:val="000000"/>
                <w:sz w:val="21"/>
                <w:szCs w:val="21"/>
              </w:rPr>
              <w:t xml:space="preserve"> or a Sub-contractor’s Site;</w:t>
            </w:r>
          </w:p>
        </w:tc>
      </w:tr>
      <w:tr w:rsidR="007960A8" w14:paraId="21B13575" w14:textId="77777777">
        <w:tc>
          <w:tcPr>
            <w:tcW w:w="2415" w:type="dxa"/>
          </w:tcPr>
          <w:p w14:paraId="06E5B49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"Remote Working"</w:t>
            </w:r>
          </w:p>
        </w:tc>
        <w:tc>
          <w:tcPr>
            <w:tcW w:w="5198" w:type="dxa"/>
          </w:tcPr>
          <w:p w14:paraId="354E8E2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provision or management o</w:t>
            </w:r>
            <w:r>
              <w:rPr>
                <w:color w:val="000000"/>
                <w:sz w:val="21"/>
                <w:szCs w:val="21"/>
              </w:rPr>
              <w:t xml:space="preserve">f the </w:t>
            </w:r>
            <w:r>
              <w:rPr>
                <w:i/>
                <w:iCs/>
                <w:color w:val="000000"/>
                <w:sz w:val="21"/>
                <w:szCs w:val="21"/>
              </w:rPr>
              <w:t>services</w:t>
            </w:r>
            <w:r>
              <w:rPr>
                <w:color w:val="000000"/>
                <w:sz w:val="21"/>
                <w:szCs w:val="21"/>
              </w:rPr>
              <w:t xml:space="preserve"> by Service Provider Staff from a location other than a </w:t>
            </w:r>
            <w:r>
              <w:rPr>
                <w:i/>
                <w:iCs/>
                <w:color w:val="000000"/>
                <w:sz w:val="21"/>
                <w:szCs w:val="21"/>
              </w:rPr>
              <w:t>Service Provider’s</w:t>
            </w:r>
            <w:r>
              <w:rPr>
                <w:color w:val="000000"/>
                <w:sz w:val="21"/>
                <w:szCs w:val="21"/>
              </w:rPr>
              <w:t xml:space="preserve"> or a Sub-contractor’s Site;</w:t>
            </w:r>
          </w:p>
        </w:tc>
      </w:tr>
      <w:tr w:rsidR="007960A8" w14:paraId="7C330634" w14:textId="77777777">
        <w:tc>
          <w:tcPr>
            <w:tcW w:w="2415" w:type="dxa"/>
          </w:tcPr>
          <w:p w14:paraId="265C8C9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"Remote Working Policy"</w:t>
            </w:r>
          </w:p>
        </w:tc>
        <w:tc>
          <w:tcPr>
            <w:tcW w:w="5198" w:type="dxa"/>
          </w:tcPr>
          <w:p w14:paraId="47895FF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policy prepared and approved under Paragraph 3.8 of Appendix 1 and forming part of the Security Management Pla</w:t>
            </w:r>
            <w:r>
              <w:rPr>
                <w:color w:val="000000"/>
                <w:sz w:val="21"/>
                <w:szCs w:val="21"/>
              </w:rPr>
              <w:t>n under which Service Provider Staff are permitted to undertake Remote Working;</w:t>
            </w:r>
          </w:p>
        </w:tc>
      </w:tr>
      <w:tr w:rsidR="007960A8" w14:paraId="4D7459EA" w14:textId="77777777">
        <w:tc>
          <w:tcPr>
            <w:tcW w:w="2415" w:type="dxa"/>
          </w:tcPr>
          <w:p w14:paraId="4C81EEA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“Replacement Service Provider”</w:t>
            </w:r>
          </w:p>
        </w:tc>
        <w:tc>
          <w:tcPr>
            <w:tcW w:w="5198" w:type="dxa"/>
          </w:tcPr>
          <w:p w14:paraId="2FAE515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third party provider of Replacement Services appointed by or at the direction of the </w:t>
            </w:r>
            <w:r>
              <w:rPr>
                <w:i/>
                <w:iCs/>
                <w:color w:val="000000"/>
                <w:sz w:val="21"/>
                <w:szCs w:val="21"/>
              </w:rPr>
              <w:t>Client</w:t>
            </w:r>
            <w:r>
              <w:rPr>
                <w:color w:val="000000"/>
                <w:sz w:val="21"/>
                <w:szCs w:val="21"/>
              </w:rPr>
              <w:t xml:space="preserve"> from time to time or where the </w:t>
            </w:r>
            <w:r>
              <w:rPr>
                <w:i/>
                <w:iCs/>
                <w:color w:val="000000"/>
                <w:sz w:val="21"/>
                <w:szCs w:val="21"/>
              </w:rPr>
              <w:t>Client</w:t>
            </w:r>
            <w:r>
              <w:rPr>
                <w:color w:val="000000"/>
                <w:sz w:val="21"/>
                <w:szCs w:val="21"/>
              </w:rPr>
              <w:t xml:space="preserve"> is providing Replacement Services for its own account, shall also include the </w:t>
            </w:r>
            <w:r>
              <w:rPr>
                <w:i/>
                <w:iCs/>
                <w:color w:val="000000"/>
                <w:sz w:val="21"/>
                <w:szCs w:val="21"/>
              </w:rPr>
              <w:t>Client</w:t>
            </w:r>
            <w:r>
              <w:rPr>
                <w:color w:val="000000"/>
                <w:sz w:val="21"/>
                <w:szCs w:val="21"/>
              </w:rPr>
              <w:t>.</w:t>
            </w:r>
          </w:p>
        </w:tc>
      </w:tr>
      <w:tr w:rsidR="007960A8" w14:paraId="3B66DC3B" w14:textId="77777777">
        <w:tc>
          <w:tcPr>
            <w:tcW w:w="2415" w:type="dxa"/>
          </w:tcPr>
          <w:p w14:paraId="03AA4CE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“Replacement Services”</w:t>
            </w:r>
          </w:p>
        </w:tc>
        <w:tc>
          <w:tcPr>
            <w:tcW w:w="5198" w:type="dxa"/>
          </w:tcPr>
          <w:p w14:paraId="3754630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services which are substantially similar to any of the </w:t>
            </w:r>
            <w:r>
              <w:rPr>
                <w:i/>
                <w:iCs/>
                <w:color w:val="000000"/>
                <w:sz w:val="21"/>
                <w:szCs w:val="21"/>
              </w:rPr>
              <w:t>services</w:t>
            </w:r>
            <w:r>
              <w:rPr>
                <w:color w:val="000000"/>
                <w:sz w:val="21"/>
                <w:szCs w:val="21"/>
              </w:rPr>
              <w:t xml:space="preserve"> and which the </w:t>
            </w:r>
            <w:r>
              <w:rPr>
                <w:i/>
                <w:iCs/>
                <w:color w:val="000000"/>
                <w:sz w:val="21"/>
                <w:szCs w:val="21"/>
              </w:rPr>
              <w:t>Client</w:t>
            </w:r>
            <w:r>
              <w:rPr>
                <w:color w:val="000000"/>
                <w:sz w:val="21"/>
                <w:szCs w:val="21"/>
              </w:rPr>
              <w:t xml:space="preserve"> receives in substitution of any of the </w:t>
            </w:r>
            <w:r>
              <w:rPr>
                <w:i/>
                <w:iCs/>
                <w:color w:val="000000"/>
                <w:sz w:val="21"/>
                <w:szCs w:val="21"/>
              </w:rPr>
              <w:t>services</w:t>
            </w:r>
            <w:r>
              <w:rPr>
                <w:color w:val="000000"/>
                <w:sz w:val="21"/>
                <w:szCs w:val="21"/>
              </w:rPr>
              <w:t xml:space="preserve"> following the end of the </w:t>
            </w:r>
            <w:r>
              <w:rPr>
                <w:i/>
                <w:iCs/>
                <w:color w:val="000000"/>
                <w:sz w:val="21"/>
                <w:szCs w:val="21"/>
              </w:rPr>
              <w:t>service period</w:t>
            </w:r>
            <w:r>
              <w:rPr>
                <w:color w:val="000000"/>
                <w:sz w:val="21"/>
                <w:szCs w:val="21"/>
              </w:rPr>
              <w:t xml:space="preserve">, whether those services are provided by the </w:t>
            </w:r>
            <w:r>
              <w:rPr>
                <w:i/>
                <w:iCs/>
                <w:color w:val="000000"/>
                <w:sz w:val="21"/>
                <w:szCs w:val="21"/>
              </w:rPr>
              <w:t>Client</w:t>
            </w:r>
            <w:r>
              <w:rPr>
                <w:color w:val="000000"/>
                <w:sz w:val="21"/>
                <w:szCs w:val="21"/>
              </w:rPr>
              <w:t xml:space="preserve"> inter</w:t>
            </w:r>
            <w:r>
              <w:rPr>
                <w:color w:val="000000"/>
                <w:sz w:val="21"/>
                <w:szCs w:val="21"/>
              </w:rPr>
              <w:t>nally and/or by any third party.</w:t>
            </w:r>
          </w:p>
        </w:tc>
      </w:tr>
      <w:tr w:rsidR="007960A8" w14:paraId="66412BB9" w14:textId="77777777">
        <w:tc>
          <w:tcPr>
            <w:tcW w:w="2415" w:type="dxa"/>
          </w:tcPr>
          <w:p w14:paraId="741B861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"Required Changes Register"</w:t>
            </w:r>
          </w:p>
        </w:tc>
        <w:tc>
          <w:tcPr>
            <w:tcW w:w="5198" w:type="dxa"/>
          </w:tcPr>
          <w:p w14:paraId="5EF5201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register recording each of the changes that the </w:t>
            </w:r>
            <w:r>
              <w:rPr>
                <w:i/>
                <w:iCs/>
                <w:color w:val="000000"/>
                <w:sz w:val="21"/>
                <w:szCs w:val="21"/>
              </w:rPr>
              <w:t>Service Provider</w:t>
            </w:r>
            <w:r>
              <w:rPr>
                <w:color w:val="000000"/>
                <w:sz w:val="21"/>
                <w:szCs w:val="21"/>
              </w:rPr>
              <w:t xml:space="preserve"> proposes to the Service Provider Information Management System or the Security Management Plan together with: </w:t>
            </w:r>
          </w:p>
          <w:p w14:paraId="7CDBE6B1"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r>
            <w:r>
              <w:rPr>
                <w:color w:val="000000"/>
                <w:sz w:val="21"/>
                <w:szCs w:val="21"/>
              </w:rPr>
              <w:t xml:space="preserve">the details of any approval of the change provided by the </w:t>
            </w:r>
            <w:r>
              <w:rPr>
                <w:i/>
                <w:iCs/>
                <w:color w:val="000000"/>
                <w:sz w:val="21"/>
                <w:szCs w:val="21"/>
              </w:rPr>
              <w:t>Client</w:t>
            </w:r>
            <w:r>
              <w:rPr>
                <w:color w:val="000000"/>
                <w:sz w:val="21"/>
                <w:szCs w:val="21"/>
              </w:rPr>
              <w:t>, including any conditions or limitations on that approval; and</w:t>
            </w:r>
          </w:p>
          <w:p w14:paraId="1B2E0F30"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the date:</w:t>
            </w:r>
          </w:p>
          <w:p w14:paraId="510953B7"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the date by which the change it to be implemented; and</w:t>
            </w:r>
          </w:p>
          <w:p w14:paraId="6DDD84EB"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the date on which the change was implemented;</w:t>
            </w:r>
          </w:p>
        </w:tc>
      </w:tr>
      <w:tr w:rsidR="007960A8" w14:paraId="462DFFF7" w14:textId="77777777">
        <w:tc>
          <w:tcPr>
            <w:tcW w:w="2415" w:type="dxa"/>
          </w:tcPr>
          <w:p w14:paraId="6D3737E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"Residual Risk Statement"</w:t>
            </w:r>
          </w:p>
        </w:tc>
        <w:tc>
          <w:tcPr>
            <w:tcW w:w="5198" w:type="dxa"/>
          </w:tcPr>
          <w:p w14:paraId="7A67FDF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notice issued by the </w:t>
            </w:r>
            <w:r>
              <w:rPr>
                <w:i/>
                <w:iCs/>
                <w:color w:val="000000"/>
                <w:sz w:val="21"/>
                <w:szCs w:val="21"/>
              </w:rPr>
              <w:t>Client</w:t>
            </w:r>
            <w:r>
              <w:rPr>
                <w:color w:val="000000"/>
                <w:sz w:val="21"/>
                <w:szCs w:val="21"/>
              </w:rPr>
              <w:t xml:space="preserve"> that</w:t>
            </w:r>
          </w:p>
          <w:p w14:paraId="0285F7C6"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sets out the information risks associated with using the Service Provider Information Management System; and</w:t>
            </w:r>
          </w:p>
          <w:p w14:paraId="687F05B9"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 xml:space="preserve">confirms that the </w:t>
            </w:r>
            <w:r>
              <w:rPr>
                <w:i/>
                <w:iCs/>
                <w:color w:val="000000"/>
                <w:sz w:val="21"/>
                <w:szCs w:val="21"/>
              </w:rPr>
              <w:t>Client</w:t>
            </w:r>
            <w:r>
              <w:rPr>
                <w:color w:val="000000"/>
                <w:sz w:val="21"/>
                <w:szCs w:val="21"/>
              </w:rPr>
              <w:t>:</w:t>
            </w:r>
          </w:p>
          <w:p w14:paraId="6C0B7D26"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r>
            <w:r>
              <w:rPr>
                <w:color w:val="000000"/>
                <w:sz w:val="21"/>
                <w:szCs w:val="21"/>
              </w:rPr>
              <w:t>is satisfied that the identified risks have been adequately and appropriately addressed; and</w:t>
            </w:r>
          </w:p>
          <w:p w14:paraId="0FCCFDB7"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(ii)</w:t>
            </w:r>
            <w:r>
              <w:rPr>
                <w:color w:val="000000"/>
                <w:sz w:val="21"/>
                <w:szCs w:val="21"/>
              </w:rPr>
              <w:tab/>
              <w:t xml:space="preserve">that the residual risks are understood and accepted by the </w:t>
            </w:r>
            <w:r>
              <w:rPr>
                <w:i/>
                <w:iCs/>
                <w:color w:val="000000"/>
                <w:sz w:val="21"/>
                <w:szCs w:val="21"/>
              </w:rPr>
              <w:t>Client</w:t>
            </w:r>
            <w:r>
              <w:rPr>
                <w:color w:val="000000"/>
                <w:sz w:val="21"/>
                <w:szCs w:val="21"/>
              </w:rPr>
              <w:t>;</w:t>
            </w:r>
          </w:p>
        </w:tc>
      </w:tr>
      <w:tr w:rsidR="007960A8" w14:paraId="7E3C3820" w14:textId="77777777">
        <w:tc>
          <w:tcPr>
            <w:tcW w:w="2415" w:type="dxa"/>
          </w:tcPr>
          <w:p w14:paraId="6DC1803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"Risk Management Approval Statement"</w:t>
            </w:r>
          </w:p>
        </w:tc>
        <w:tc>
          <w:tcPr>
            <w:tcW w:w="5198" w:type="dxa"/>
          </w:tcPr>
          <w:p w14:paraId="335FD35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statement issued by the </w:t>
            </w:r>
            <w:r>
              <w:rPr>
                <w:i/>
                <w:iCs/>
                <w:color w:val="000000"/>
                <w:sz w:val="21"/>
                <w:szCs w:val="21"/>
              </w:rPr>
              <w:t>Client</w:t>
            </w:r>
            <w:r>
              <w:rPr>
                <w:color w:val="000000"/>
                <w:sz w:val="21"/>
                <w:szCs w:val="21"/>
              </w:rPr>
              <w:t xml:space="preserve"> under Paragraph 16.2 following the </w:t>
            </w:r>
            <w:r>
              <w:rPr>
                <w:i/>
                <w:iCs/>
                <w:color w:val="000000"/>
                <w:sz w:val="21"/>
                <w:szCs w:val="21"/>
              </w:rPr>
              <w:t>Client's</w:t>
            </w:r>
            <w:r>
              <w:rPr>
                <w:color w:val="000000"/>
                <w:sz w:val="21"/>
                <w:szCs w:val="21"/>
              </w:rPr>
              <w:t xml:space="preserve"> review of the Security Management Plan;</w:t>
            </w:r>
          </w:p>
        </w:tc>
      </w:tr>
      <w:tr w:rsidR="007960A8" w14:paraId="227435D7" w14:textId="77777777">
        <w:tc>
          <w:tcPr>
            <w:tcW w:w="2415" w:type="dxa"/>
          </w:tcPr>
          <w:p w14:paraId="67421D4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"Secure by Design Principles"</w:t>
            </w:r>
          </w:p>
        </w:tc>
        <w:tc>
          <w:tcPr>
            <w:tcW w:w="5198" w:type="dxa"/>
          </w:tcPr>
          <w:p w14:paraId="6E6B38F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Secure by Design Principles issued by the Cabinet Office, as updated or replaced from time-to-time, cu</w:t>
            </w:r>
            <w:r>
              <w:rPr>
                <w:color w:val="000000"/>
                <w:sz w:val="21"/>
                <w:szCs w:val="21"/>
              </w:rPr>
              <w:t>rrently found at https://www.security.gov.uk/policy-and-guidance/secure-by-design/principles/;</w:t>
            </w:r>
          </w:p>
        </w:tc>
      </w:tr>
      <w:tr w:rsidR="007960A8" w14:paraId="77CAE730" w14:textId="77777777">
        <w:tc>
          <w:tcPr>
            <w:tcW w:w="2415" w:type="dxa"/>
          </w:tcPr>
          <w:p w14:paraId="5F424D4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"Secure Development Guidance"</w:t>
            </w:r>
          </w:p>
        </w:tc>
        <w:tc>
          <w:tcPr>
            <w:tcW w:w="5198" w:type="dxa"/>
          </w:tcPr>
          <w:p w14:paraId="0D9A696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w:t>
            </w:r>
            <w:r>
              <w:rPr>
                <w:i/>
                <w:iCs/>
                <w:color w:val="000000"/>
                <w:sz w:val="21"/>
                <w:szCs w:val="21"/>
              </w:rPr>
              <w:t>Service Provider’s</w:t>
            </w:r>
            <w:r>
              <w:rPr>
                <w:color w:val="000000"/>
                <w:sz w:val="21"/>
                <w:szCs w:val="21"/>
              </w:rPr>
              <w:t xml:space="preserve"> secure coding policy required under its ISO27001 Relevant Certification;</w:t>
            </w:r>
          </w:p>
        </w:tc>
      </w:tr>
      <w:tr w:rsidR="007960A8" w14:paraId="16CC9A28" w14:textId="77777777">
        <w:tc>
          <w:tcPr>
            <w:tcW w:w="2415" w:type="dxa"/>
          </w:tcPr>
          <w:p w14:paraId="3E141AE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"Secure Location"</w:t>
            </w:r>
          </w:p>
        </w:tc>
        <w:tc>
          <w:tcPr>
            <w:tcW w:w="5198" w:type="dxa"/>
          </w:tcPr>
          <w:p w14:paraId="2459743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has the meaning</w:t>
            </w:r>
            <w:r>
              <w:rPr>
                <w:color w:val="000000"/>
                <w:sz w:val="21"/>
                <w:szCs w:val="21"/>
              </w:rPr>
              <w:t xml:space="preserve"> given to that term in Paragraph 2.1.1 of Appendix 1 (Security Requirements);</w:t>
            </w:r>
          </w:p>
        </w:tc>
      </w:tr>
      <w:tr w:rsidR="007960A8" w14:paraId="354AE5FC" w14:textId="77777777">
        <w:tc>
          <w:tcPr>
            <w:tcW w:w="2415" w:type="dxa"/>
          </w:tcPr>
          <w:p w14:paraId="4242B62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"Security Controls"</w:t>
            </w:r>
          </w:p>
        </w:tc>
        <w:tc>
          <w:tcPr>
            <w:tcW w:w="5198" w:type="dxa"/>
          </w:tcPr>
          <w:p w14:paraId="1452531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security controls set out and updated from time to time in the Government Security Classification Policy, currently found at Paragraph 12 of https://www.</w:t>
            </w:r>
            <w:r>
              <w:rPr>
                <w:color w:val="000000"/>
                <w:sz w:val="21"/>
                <w:szCs w:val="21"/>
              </w:rPr>
              <w:t>gov.uk/government/publications/government-security-classifications/guidance-15-considerations-for-security-advisors-html;</w:t>
            </w:r>
          </w:p>
        </w:tc>
      </w:tr>
      <w:tr w:rsidR="007960A8" w14:paraId="11868238" w14:textId="77777777">
        <w:tc>
          <w:tcPr>
            <w:tcW w:w="2415" w:type="dxa"/>
          </w:tcPr>
          <w:p w14:paraId="1565D0B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"Security Management Plan"</w:t>
            </w:r>
          </w:p>
        </w:tc>
        <w:tc>
          <w:tcPr>
            <w:tcW w:w="5198" w:type="dxa"/>
          </w:tcPr>
          <w:p w14:paraId="7E0499A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document prepared in accordance with the requirements of Paragraph 14 and in the format, and containing the information and any other requirements set out in Appendix 5 or elsewhere in this Contract;</w:t>
            </w:r>
          </w:p>
        </w:tc>
      </w:tr>
      <w:tr w:rsidR="007960A8" w14:paraId="1ED8D4E9" w14:textId="77777777">
        <w:tc>
          <w:tcPr>
            <w:tcW w:w="2415" w:type="dxa"/>
          </w:tcPr>
          <w:p w14:paraId="703E51D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"Security requirements for Development Activity"</w:t>
            </w:r>
          </w:p>
        </w:tc>
        <w:tc>
          <w:tcPr>
            <w:tcW w:w="5198" w:type="dxa"/>
          </w:tcPr>
          <w:p w14:paraId="21D5B6F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security requirements in Appendix 2 to this Schedule;</w:t>
            </w:r>
          </w:p>
        </w:tc>
      </w:tr>
      <w:tr w:rsidR="007960A8" w14:paraId="2BC2345D" w14:textId="77777777">
        <w:tc>
          <w:tcPr>
            <w:tcW w:w="2415" w:type="dxa"/>
          </w:tcPr>
          <w:p w14:paraId="7F6CA47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"Security Test"</w:t>
            </w:r>
          </w:p>
        </w:tc>
        <w:tc>
          <w:tcPr>
            <w:tcW w:w="5198" w:type="dxa"/>
          </w:tcPr>
          <w:p w14:paraId="05ED6CEE" w14:textId="77777777" w:rsidR="007960A8" w:rsidRDefault="00A26397">
            <w:pPr>
              <w:pBdr>
                <w:top w:val="nil"/>
                <w:left w:val="nil"/>
                <w:bottom w:val="nil"/>
                <w:right w:val="nil"/>
                <w:between w:val="nil"/>
              </w:pBdr>
              <w:spacing w:after="240"/>
              <w:ind w:left="482" w:hanging="482"/>
              <w:rPr>
                <w:color w:val="000000"/>
                <w:sz w:val="21"/>
                <w:szCs w:val="21"/>
              </w:rPr>
            </w:pPr>
            <w:r>
              <w:rPr>
                <w:color w:val="000000"/>
                <w:sz w:val="21"/>
                <w:szCs w:val="21"/>
              </w:rPr>
              <w:t xml:space="preserve">(a) </w:t>
            </w:r>
            <w:r>
              <w:rPr>
                <w:color w:val="000000"/>
                <w:sz w:val="21"/>
                <w:szCs w:val="21"/>
              </w:rPr>
              <w:tab/>
              <w:t>an IT Health Check; or</w:t>
            </w:r>
          </w:p>
          <w:p w14:paraId="00788CE7" w14:textId="77777777" w:rsidR="007960A8" w:rsidRDefault="00A26397">
            <w:pPr>
              <w:pBdr>
                <w:top w:val="nil"/>
                <w:left w:val="nil"/>
                <w:bottom w:val="nil"/>
                <w:right w:val="nil"/>
                <w:between w:val="nil"/>
              </w:pBdr>
              <w:spacing w:after="240"/>
              <w:ind w:left="482" w:hanging="482"/>
              <w:rPr>
                <w:color w:val="000000"/>
                <w:sz w:val="21"/>
                <w:szCs w:val="21"/>
              </w:rPr>
            </w:pPr>
            <w:r>
              <w:rPr>
                <w:color w:val="000000"/>
                <w:sz w:val="21"/>
                <w:szCs w:val="21"/>
              </w:rPr>
              <w:t xml:space="preserve">(b) </w:t>
            </w:r>
            <w:r>
              <w:rPr>
                <w:color w:val="000000"/>
                <w:sz w:val="21"/>
                <w:szCs w:val="21"/>
              </w:rPr>
              <w:tab/>
              <w:t>a Service Provider Security Test;</w:t>
            </w:r>
          </w:p>
        </w:tc>
      </w:tr>
      <w:tr w:rsidR="007960A8" w14:paraId="3F20658B" w14:textId="77777777">
        <w:tc>
          <w:tcPr>
            <w:tcW w:w="2415" w:type="dxa"/>
          </w:tcPr>
          <w:p w14:paraId="545FA15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"Security Working Group"</w:t>
            </w:r>
          </w:p>
        </w:tc>
        <w:tc>
          <w:tcPr>
            <w:tcW w:w="5198" w:type="dxa"/>
          </w:tcPr>
          <w:p w14:paraId="73BD458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Board established under Paragraph 8;</w:t>
            </w:r>
          </w:p>
        </w:tc>
      </w:tr>
      <w:tr w:rsidR="007960A8" w14:paraId="36795084" w14:textId="77777777">
        <w:tc>
          <w:tcPr>
            <w:tcW w:w="2415" w:type="dxa"/>
          </w:tcPr>
          <w:p w14:paraId="58E44CC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Provider Non-Performance”</w:t>
            </w:r>
          </w:p>
        </w:tc>
        <w:tc>
          <w:tcPr>
            <w:tcW w:w="5198" w:type="dxa"/>
          </w:tcPr>
          <w:p w14:paraId="496157F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Where the </w:t>
            </w:r>
            <w:r>
              <w:rPr>
                <w:i/>
                <w:iCs/>
                <w:color w:val="000000"/>
                <w:sz w:val="21"/>
                <w:szCs w:val="21"/>
              </w:rPr>
              <w:t>Service Provider</w:t>
            </w:r>
            <w:r>
              <w:rPr>
                <w:color w:val="000000"/>
                <w:sz w:val="21"/>
                <w:szCs w:val="21"/>
              </w:rPr>
              <w:t xml:space="preserve"> has failed to comply with an obligation under this Contract.</w:t>
            </w:r>
          </w:p>
        </w:tc>
      </w:tr>
      <w:tr w:rsidR="007960A8" w14:paraId="013D8D10" w14:textId="77777777">
        <w:tc>
          <w:tcPr>
            <w:tcW w:w="2415" w:type="dxa"/>
          </w:tcPr>
          <w:p w14:paraId="671295F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Provider Information Management System"</w:t>
            </w:r>
          </w:p>
        </w:tc>
        <w:tc>
          <w:tcPr>
            <w:tcW w:w="5198" w:type="dxa"/>
          </w:tcPr>
          <w:p w14:paraId="4F111A66"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the Service Provider System;</w:t>
            </w:r>
          </w:p>
          <w:p w14:paraId="5E2E8ED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the Sites;</w:t>
            </w:r>
          </w:p>
          <w:p w14:paraId="3B2A1157"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r>
            <w:r>
              <w:rPr>
                <w:color w:val="000000"/>
                <w:sz w:val="21"/>
                <w:szCs w:val="21"/>
              </w:rPr>
              <w:t xml:space="preserve">any part of the Client System the </w:t>
            </w:r>
            <w:r>
              <w:rPr>
                <w:i/>
                <w:iCs/>
                <w:color w:val="000000"/>
                <w:sz w:val="21"/>
                <w:szCs w:val="21"/>
              </w:rPr>
              <w:t>Service Provider</w:t>
            </w:r>
            <w:r>
              <w:rPr>
                <w:color w:val="000000"/>
                <w:sz w:val="21"/>
                <w:szCs w:val="21"/>
              </w:rPr>
              <w:t xml:space="preserve"> or any Sub-contractor will use to Process Government Data, or provide the </w:t>
            </w:r>
            <w:r>
              <w:rPr>
                <w:i/>
                <w:iCs/>
                <w:color w:val="000000"/>
                <w:sz w:val="21"/>
                <w:szCs w:val="21"/>
              </w:rPr>
              <w:t>services</w:t>
            </w:r>
            <w:r>
              <w:rPr>
                <w:color w:val="000000"/>
                <w:sz w:val="21"/>
                <w:szCs w:val="21"/>
              </w:rPr>
              <w:t>; and</w:t>
            </w:r>
          </w:p>
          <w:p w14:paraId="57E80488"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(d) </w:t>
            </w:r>
            <w:r>
              <w:rPr>
                <w:color w:val="000000"/>
                <w:sz w:val="21"/>
                <w:szCs w:val="21"/>
              </w:rPr>
              <w:tab/>
              <w:t>the associated information management system, including all relevant:</w:t>
            </w:r>
          </w:p>
          <w:p w14:paraId="7B02ABA5"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organisational structure diagrams,</w:t>
            </w:r>
          </w:p>
          <w:p w14:paraId="307FDBC4"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(i</w:t>
            </w:r>
            <w:r>
              <w:rPr>
                <w:color w:val="000000"/>
                <w:sz w:val="21"/>
                <w:szCs w:val="21"/>
              </w:rPr>
              <w:t xml:space="preserve">i) </w:t>
            </w:r>
            <w:r>
              <w:rPr>
                <w:color w:val="000000"/>
                <w:sz w:val="21"/>
                <w:szCs w:val="21"/>
              </w:rPr>
              <w:tab/>
              <w:t>controls,</w:t>
            </w:r>
          </w:p>
          <w:p w14:paraId="341ECDBD"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(iii) </w:t>
            </w:r>
            <w:r>
              <w:rPr>
                <w:color w:val="000000"/>
                <w:sz w:val="21"/>
                <w:szCs w:val="21"/>
              </w:rPr>
              <w:tab/>
              <w:t>policies,</w:t>
            </w:r>
          </w:p>
          <w:p w14:paraId="1CC795D7"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(iv) </w:t>
            </w:r>
            <w:r>
              <w:rPr>
                <w:color w:val="000000"/>
                <w:sz w:val="21"/>
                <w:szCs w:val="21"/>
              </w:rPr>
              <w:tab/>
              <w:t>practices,</w:t>
            </w:r>
          </w:p>
          <w:p w14:paraId="2FCC2C34"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(v) </w:t>
            </w:r>
            <w:r>
              <w:rPr>
                <w:color w:val="000000"/>
                <w:sz w:val="21"/>
                <w:szCs w:val="21"/>
              </w:rPr>
              <w:tab/>
              <w:t>procedures,</w:t>
            </w:r>
          </w:p>
          <w:p w14:paraId="46C88B3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(vi)</w:t>
            </w:r>
            <w:r>
              <w:rPr>
                <w:color w:val="000000"/>
                <w:sz w:val="21"/>
                <w:szCs w:val="21"/>
              </w:rPr>
              <w:tab/>
              <w:t>processes; and</w:t>
            </w:r>
          </w:p>
          <w:p w14:paraId="1691FCBA"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(vii) </w:t>
            </w:r>
            <w:r>
              <w:rPr>
                <w:color w:val="000000"/>
                <w:sz w:val="21"/>
                <w:szCs w:val="21"/>
              </w:rPr>
              <w:tab/>
              <w:t>resources,</w:t>
            </w:r>
          </w:p>
          <w:p w14:paraId="7999181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as determined by the </w:t>
            </w:r>
            <w:r>
              <w:rPr>
                <w:i/>
                <w:iCs/>
                <w:color w:val="000000"/>
                <w:sz w:val="21"/>
                <w:szCs w:val="21"/>
              </w:rPr>
              <w:t>Service Provider</w:t>
            </w:r>
            <w:r>
              <w:rPr>
                <w:color w:val="000000"/>
                <w:sz w:val="21"/>
                <w:szCs w:val="21"/>
              </w:rPr>
              <w:t xml:space="preserve"> after consultation with the </w:t>
            </w:r>
            <w:r>
              <w:rPr>
                <w:i/>
                <w:iCs/>
                <w:color w:val="000000"/>
                <w:sz w:val="21"/>
                <w:szCs w:val="21"/>
              </w:rPr>
              <w:t>Client</w:t>
            </w:r>
            <w:r>
              <w:rPr>
                <w:color w:val="000000"/>
                <w:sz w:val="21"/>
                <w:szCs w:val="21"/>
              </w:rPr>
              <w:t xml:space="preserve"> under Paragraph 11;</w:t>
            </w:r>
          </w:p>
        </w:tc>
      </w:tr>
      <w:tr w:rsidR="007960A8" w14:paraId="0F2CB393" w14:textId="77777777">
        <w:tc>
          <w:tcPr>
            <w:tcW w:w="2415" w:type="dxa"/>
          </w:tcPr>
          <w:p w14:paraId="3159518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Provider Staff"</w:t>
            </w:r>
          </w:p>
        </w:tc>
        <w:tc>
          <w:tcPr>
            <w:tcW w:w="5198" w:type="dxa"/>
          </w:tcPr>
          <w:p w14:paraId="4A99F3D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for the purposes of this Schedule only, any individual engaged, directly or indirectly, or employed by the </w:t>
            </w:r>
            <w:r>
              <w:rPr>
                <w:i/>
                <w:iCs/>
                <w:color w:val="000000"/>
                <w:sz w:val="21"/>
                <w:szCs w:val="21"/>
              </w:rPr>
              <w:t>Service Provider</w:t>
            </w:r>
            <w:r>
              <w:rPr>
                <w:color w:val="000000"/>
                <w:sz w:val="21"/>
                <w:szCs w:val="21"/>
              </w:rPr>
              <w:t xml:space="preserve"> or any Sub-contractor (as that term is defined for the purposes of this Schedule) in the management or performance of the </w:t>
            </w:r>
            <w:r>
              <w:rPr>
                <w:i/>
                <w:iCs/>
                <w:color w:val="000000"/>
                <w:sz w:val="21"/>
                <w:szCs w:val="21"/>
              </w:rPr>
              <w:t>Service Pr</w:t>
            </w:r>
            <w:r>
              <w:rPr>
                <w:i/>
                <w:iCs/>
                <w:color w:val="000000"/>
                <w:sz w:val="21"/>
                <w:szCs w:val="21"/>
              </w:rPr>
              <w:t>ovider’s</w:t>
            </w:r>
            <w:r>
              <w:rPr>
                <w:color w:val="000000"/>
                <w:sz w:val="21"/>
                <w:szCs w:val="21"/>
              </w:rPr>
              <w:t xml:space="preserve"> obligations under the Contract, and this definition shall apply to this Schedule in place of any other definition of Service Provider Staff in the Contract;</w:t>
            </w:r>
          </w:p>
        </w:tc>
      </w:tr>
      <w:tr w:rsidR="007960A8" w14:paraId="7B2E2A84" w14:textId="77777777">
        <w:tc>
          <w:tcPr>
            <w:tcW w:w="2415" w:type="dxa"/>
          </w:tcPr>
          <w:p w14:paraId="40F1C13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Provider System”</w:t>
            </w:r>
          </w:p>
        </w:tc>
        <w:tc>
          <w:tcPr>
            <w:tcW w:w="5198" w:type="dxa"/>
          </w:tcPr>
          <w:p w14:paraId="158DC79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information and communications technology system used by the </w:t>
            </w:r>
            <w:r>
              <w:rPr>
                <w:i/>
                <w:iCs/>
                <w:color w:val="000000"/>
                <w:sz w:val="21"/>
                <w:szCs w:val="21"/>
              </w:rPr>
              <w:t>Service Provider</w:t>
            </w:r>
            <w:r>
              <w:rPr>
                <w:color w:val="000000"/>
                <w:sz w:val="21"/>
                <w:szCs w:val="21"/>
              </w:rPr>
              <w:t xml:space="preserve"> or any Subcontractor in supplying the </w:t>
            </w:r>
            <w:r>
              <w:rPr>
                <w:i/>
                <w:iCs/>
                <w:color w:val="000000"/>
                <w:sz w:val="21"/>
                <w:szCs w:val="21"/>
              </w:rPr>
              <w:t>services</w:t>
            </w:r>
            <w:r>
              <w:rPr>
                <w:color w:val="000000"/>
                <w:sz w:val="21"/>
                <w:szCs w:val="21"/>
              </w:rPr>
              <w:t>, including the COTS Software, the Service Provider Equipment, configuration and management utilities, calibration and testing t</w:t>
            </w:r>
            <w:r>
              <w:rPr>
                <w:color w:val="000000"/>
                <w:sz w:val="21"/>
                <w:szCs w:val="21"/>
              </w:rPr>
              <w:t>ools and related cabling (but excluding the Client System).</w:t>
            </w:r>
          </w:p>
        </w:tc>
      </w:tr>
      <w:tr w:rsidR="007960A8" w14:paraId="63E63404" w14:textId="77777777">
        <w:tc>
          <w:tcPr>
            <w:tcW w:w="2415" w:type="dxa"/>
          </w:tcPr>
          <w:p w14:paraId="3521FB2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"SIMS Sub-contractor"</w:t>
            </w:r>
          </w:p>
        </w:tc>
        <w:tc>
          <w:tcPr>
            <w:tcW w:w="5198" w:type="dxa"/>
          </w:tcPr>
          <w:p w14:paraId="73AD8C2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Sub-contractor designated by the </w:t>
            </w:r>
            <w:r>
              <w:rPr>
                <w:i/>
                <w:iCs/>
                <w:color w:val="000000"/>
                <w:sz w:val="21"/>
                <w:szCs w:val="21"/>
              </w:rPr>
              <w:t>Client</w:t>
            </w:r>
            <w:r>
              <w:rPr>
                <w:color w:val="000000"/>
                <w:sz w:val="21"/>
                <w:szCs w:val="21"/>
              </w:rPr>
              <w:t xml:space="preserve"> that provides or operates the whole, or a substantial part, of the Service Provider Information Management System;</w:t>
            </w:r>
          </w:p>
        </w:tc>
      </w:tr>
      <w:tr w:rsidR="007960A8" w14:paraId="6FCE21E5" w14:textId="77777777">
        <w:tc>
          <w:tcPr>
            <w:tcW w:w="2415" w:type="dxa"/>
          </w:tcPr>
          <w:p w14:paraId="11666FD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“Sites”</w:t>
            </w:r>
          </w:p>
        </w:tc>
        <w:tc>
          <w:tcPr>
            <w:tcW w:w="5198" w:type="dxa"/>
          </w:tcPr>
          <w:p w14:paraId="21DE7F8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pre</w:t>
            </w:r>
            <w:r>
              <w:rPr>
                <w:color w:val="000000"/>
                <w:sz w:val="21"/>
                <w:szCs w:val="21"/>
              </w:rPr>
              <w:t xml:space="preserve">mises (including the Client Premises, the </w:t>
            </w:r>
            <w:r>
              <w:rPr>
                <w:i/>
                <w:iCs/>
                <w:color w:val="000000"/>
                <w:sz w:val="21"/>
                <w:szCs w:val="21"/>
              </w:rPr>
              <w:t>Service Provider's</w:t>
            </w:r>
            <w:r>
              <w:rPr>
                <w:color w:val="000000"/>
                <w:sz w:val="21"/>
                <w:szCs w:val="21"/>
              </w:rPr>
              <w:t xml:space="preserve"> premises or third party premises), a) from, to or at which: i) the </w:t>
            </w:r>
            <w:r>
              <w:rPr>
                <w:i/>
                <w:iCs/>
                <w:color w:val="000000"/>
                <w:sz w:val="21"/>
                <w:szCs w:val="21"/>
              </w:rPr>
              <w:t>services</w:t>
            </w:r>
            <w:r>
              <w:rPr>
                <w:color w:val="000000"/>
                <w:sz w:val="21"/>
                <w:szCs w:val="21"/>
              </w:rPr>
              <w:t xml:space="preserve"> are (or are to be) provided; and/or ii) the </w:t>
            </w:r>
            <w:r>
              <w:rPr>
                <w:i/>
                <w:iCs/>
                <w:color w:val="000000"/>
                <w:sz w:val="21"/>
                <w:szCs w:val="21"/>
              </w:rPr>
              <w:t>Service Provider</w:t>
            </w:r>
            <w:r>
              <w:rPr>
                <w:color w:val="000000"/>
                <w:sz w:val="21"/>
                <w:szCs w:val="21"/>
              </w:rPr>
              <w:t xml:space="preserve"> manages, organises or otherwise directs the provision or the use of the </w:t>
            </w:r>
            <w:r>
              <w:rPr>
                <w:i/>
                <w:iCs/>
                <w:color w:val="000000"/>
                <w:sz w:val="21"/>
                <w:szCs w:val="21"/>
              </w:rPr>
              <w:t>services</w:t>
            </w:r>
            <w:r>
              <w:rPr>
                <w:color w:val="000000"/>
                <w:sz w:val="21"/>
                <w:szCs w:val="21"/>
              </w:rPr>
              <w:t>; and/or b) where: i) any Service Provider Equipment or any part of the Service Provider System is located; and/or ii) any physical interface with the Client System takes plac</w:t>
            </w:r>
            <w:r>
              <w:rPr>
                <w:color w:val="000000"/>
                <w:sz w:val="21"/>
                <w:szCs w:val="21"/>
              </w:rPr>
              <w:t>e.</w:t>
            </w:r>
          </w:p>
        </w:tc>
      </w:tr>
      <w:tr w:rsidR="007960A8" w14:paraId="443592C0" w14:textId="77777777">
        <w:tc>
          <w:tcPr>
            <w:tcW w:w="2415" w:type="dxa"/>
          </w:tcPr>
          <w:p w14:paraId="51F74A9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"SMP Sub-contractor"</w:t>
            </w:r>
          </w:p>
        </w:tc>
        <w:tc>
          <w:tcPr>
            <w:tcW w:w="5198" w:type="dxa"/>
          </w:tcPr>
          <w:p w14:paraId="16F4B0F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Sub contractor that provides cloud-based services on a "one to many" basis, where such Sub-contractor will not contract other than on their own contractual terms;</w:t>
            </w:r>
          </w:p>
        </w:tc>
      </w:tr>
      <w:tr w:rsidR="007960A8" w14:paraId="5E286047" w14:textId="77777777">
        <w:tc>
          <w:tcPr>
            <w:tcW w:w="2415" w:type="dxa"/>
          </w:tcPr>
          <w:p w14:paraId="564BB13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“Software”</w:t>
            </w:r>
          </w:p>
        </w:tc>
        <w:tc>
          <w:tcPr>
            <w:tcW w:w="5198" w:type="dxa"/>
          </w:tcPr>
          <w:p w14:paraId="30DB0A5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software including Specially Written Software, COT</w:t>
            </w:r>
            <w:r>
              <w:rPr>
                <w:color w:val="000000"/>
                <w:sz w:val="21"/>
                <w:szCs w:val="21"/>
              </w:rPr>
              <w:t>S Software and software that is not COTS Software;</w:t>
            </w:r>
          </w:p>
        </w:tc>
      </w:tr>
      <w:tr w:rsidR="007960A8" w14:paraId="46538241" w14:textId="77777777">
        <w:tc>
          <w:tcPr>
            <w:tcW w:w="2415" w:type="dxa"/>
          </w:tcPr>
          <w:p w14:paraId="4E02783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“Special Category Personal Data”</w:t>
            </w:r>
          </w:p>
        </w:tc>
        <w:tc>
          <w:tcPr>
            <w:tcW w:w="5198" w:type="dxa"/>
          </w:tcPr>
          <w:p w14:paraId="4FCB539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data that falls into the category of personal data defined in Article 9(1) UK GDPR;</w:t>
            </w:r>
          </w:p>
        </w:tc>
      </w:tr>
      <w:tr w:rsidR="007960A8" w14:paraId="54C3A565" w14:textId="77777777">
        <w:tc>
          <w:tcPr>
            <w:tcW w:w="2415" w:type="dxa"/>
          </w:tcPr>
          <w:p w14:paraId="0CB8D7C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"Statement of Information Risk Appetite"</w:t>
            </w:r>
          </w:p>
        </w:tc>
        <w:tc>
          <w:tcPr>
            <w:tcW w:w="5198" w:type="dxa"/>
          </w:tcPr>
          <w:p w14:paraId="2A3995F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statement provided by the </w:t>
            </w:r>
            <w:r>
              <w:rPr>
                <w:i/>
                <w:iCs/>
                <w:color w:val="000000"/>
                <w:sz w:val="21"/>
                <w:szCs w:val="21"/>
              </w:rPr>
              <w:t>Client</w:t>
            </w:r>
            <w:r>
              <w:rPr>
                <w:color w:val="000000"/>
                <w:sz w:val="21"/>
                <w:szCs w:val="21"/>
              </w:rPr>
              <w:t xml:space="preserve"> under Paragraph 14.1 setting out:</w:t>
            </w:r>
          </w:p>
          <w:p w14:paraId="7E3A63C4"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the nature and level of risk that the </w:t>
            </w:r>
            <w:r>
              <w:rPr>
                <w:i/>
                <w:iCs/>
                <w:color w:val="000000"/>
                <w:sz w:val="21"/>
                <w:szCs w:val="21"/>
              </w:rPr>
              <w:t>Service Provider</w:t>
            </w:r>
            <w:r>
              <w:rPr>
                <w:color w:val="000000"/>
                <w:sz w:val="21"/>
                <w:szCs w:val="21"/>
              </w:rPr>
              <w:t xml:space="preserve"> accepts from the operation of the Service Provider Information Management System; and</w:t>
            </w:r>
          </w:p>
          <w:p w14:paraId="211243E6"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 xml:space="preserve">the specific legal and regulatory </w:t>
            </w:r>
            <w:r>
              <w:rPr>
                <w:color w:val="000000"/>
                <w:sz w:val="21"/>
                <w:szCs w:val="21"/>
              </w:rPr>
              <w:t xml:space="preserve">requirements with which the </w:t>
            </w:r>
            <w:r>
              <w:rPr>
                <w:i/>
                <w:iCs/>
                <w:color w:val="000000"/>
                <w:sz w:val="21"/>
                <w:szCs w:val="21"/>
              </w:rPr>
              <w:t>Service Provider</w:t>
            </w:r>
            <w:r>
              <w:rPr>
                <w:color w:val="000000"/>
                <w:sz w:val="21"/>
                <w:szCs w:val="21"/>
              </w:rPr>
              <w:t xml:space="preserve"> must comply when Handling Government Data;</w:t>
            </w:r>
          </w:p>
        </w:tc>
      </w:tr>
      <w:tr w:rsidR="007960A8" w14:paraId="5CE0E589" w14:textId="77777777">
        <w:tc>
          <w:tcPr>
            <w:tcW w:w="2415" w:type="dxa"/>
          </w:tcPr>
          <w:p w14:paraId="70AD018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Sub-Contract</w:t>
            </w:r>
          </w:p>
        </w:tc>
        <w:tc>
          <w:tcPr>
            <w:tcW w:w="5198" w:type="dxa"/>
          </w:tcPr>
          <w:p w14:paraId="3820C98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contract or agreement (or proposed contract or agreement), other than the Contract, pursuant to which a third party: a) provides the </w:t>
            </w:r>
            <w:r>
              <w:rPr>
                <w:i/>
                <w:iCs/>
                <w:color w:val="000000"/>
                <w:sz w:val="21"/>
                <w:szCs w:val="21"/>
              </w:rPr>
              <w:t>services</w:t>
            </w:r>
            <w:r>
              <w:rPr>
                <w:color w:val="000000"/>
                <w:sz w:val="21"/>
                <w:szCs w:val="21"/>
              </w:rPr>
              <w:t xml:space="preserve"> (or any part of them); b) provides facilities or </w:t>
            </w:r>
            <w:r>
              <w:rPr>
                <w:i/>
                <w:iCs/>
                <w:color w:val="000000"/>
                <w:sz w:val="21"/>
                <w:szCs w:val="21"/>
              </w:rPr>
              <w:t>services</w:t>
            </w:r>
            <w:r>
              <w:rPr>
                <w:color w:val="000000"/>
                <w:sz w:val="21"/>
                <w:szCs w:val="21"/>
              </w:rPr>
              <w:t xml:space="preserve"> necessary for the provision of the </w:t>
            </w:r>
            <w:r>
              <w:rPr>
                <w:i/>
                <w:iCs/>
                <w:color w:val="000000"/>
                <w:sz w:val="21"/>
                <w:szCs w:val="21"/>
              </w:rPr>
              <w:t>services</w:t>
            </w:r>
            <w:r>
              <w:rPr>
                <w:color w:val="000000"/>
                <w:sz w:val="21"/>
                <w:szCs w:val="21"/>
              </w:rPr>
              <w:t xml:space="preserve"> (or any part of them); and/or c) is responsible for the management, direction or control of the provision of the </w:t>
            </w:r>
            <w:r>
              <w:rPr>
                <w:i/>
                <w:iCs/>
                <w:color w:val="000000"/>
                <w:sz w:val="21"/>
                <w:szCs w:val="21"/>
              </w:rPr>
              <w:t>services</w:t>
            </w:r>
            <w:r>
              <w:rPr>
                <w:color w:val="000000"/>
                <w:sz w:val="21"/>
                <w:szCs w:val="21"/>
              </w:rPr>
              <w:t xml:space="preserve"> (or any part of them).</w:t>
            </w:r>
          </w:p>
        </w:tc>
      </w:tr>
      <w:tr w:rsidR="007960A8" w14:paraId="132C3EF1" w14:textId="77777777">
        <w:tc>
          <w:tcPr>
            <w:tcW w:w="2415" w:type="dxa"/>
          </w:tcPr>
          <w:p w14:paraId="3AD2A54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"Sub-contractor"</w:t>
            </w:r>
          </w:p>
        </w:tc>
        <w:tc>
          <w:tcPr>
            <w:tcW w:w="5198" w:type="dxa"/>
          </w:tcPr>
          <w:p w14:paraId="3E1AFC2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for the purposes of this Schedule only, any indi</w:t>
            </w:r>
            <w:r>
              <w:rPr>
                <w:color w:val="000000"/>
                <w:sz w:val="21"/>
                <w:szCs w:val="21"/>
              </w:rPr>
              <w:t>vidual or entity that:</w:t>
            </w:r>
          </w:p>
          <w:p w14:paraId="2C47D423"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forms part of the supply chain of the </w:t>
            </w:r>
            <w:r>
              <w:rPr>
                <w:i/>
                <w:iCs/>
                <w:color w:val="000000"/>
                <w:sz w:val="21"/>
                <w:szCs w:val="21"/>
              </w:rPr>
              <w:t>Service Provider</w:t>
            </w:r>
            <w:r>
              <w:rPr>
                <w:color w:val="000000"/>
                <w:sz w:val="21"/>
                <w:szCs w:val="21"/>
              </w:rPr>
              <w:t>; and</w:t>
            </w:r>
          </w:p>
          <w:p w14:paraId="5AA1FB2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(b)</w:t>
            </w:r>
            <w:r>
              <w:rPr>
                <w:color w:val="000000"/>
                <w:sz w:val="21"/>
                <w:szCs w:val="21"/>
              </w:rPr>
              <w:tab/>
              <w:t>has access to, hosts, or performs any operation on or in respect of the Service Provider Information Management System, the Development Environment, the Code and th</w:t>
            </w:r>
            <w:r>
              <w:rPr>
                <w:color w:val="000000"/>
                <w:sz w:val="21"/>
                <w:szCs w:val="21"/>
              </w:rPr>
              <w:t>e Government Data.</w:t>
            </w:r>
          </w:p>
        </w:tc>
      </w:tr>
      <w:tr w:rsidR="007960A8" w14:paraId="1516BA58" w14:textId="77777777">
        <w:tc>
          <w:tcPr>
            <w:tcW w:w="2415" w:type="dxa"/>
          </w:tcPr>
          <w:p w14:paraId="2377532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"Sub-contractors’ Systems"</w:t>
            </w:r>
          </w:p>
        </w:tc>
        <w:tc>
          <w:tcPr>
            <w:tcW w:w="5198" w:type="dxa"/>
          </w:tcPr>
          <w:p w14:paraId="33BCFFF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information and communications technology system used by a Sub-contractor in implementing and performing the </w:t>
            </w:r>
            <w:r>
              <w:rPr>
                <w:i/>
                <w:iCs/>
                <w:color w:val="000000"/>
                <w:sz w:val="21"/>
                <w:szCs w:val="21"/>
              </w:rPr>
              <w:t>services</w:t>
            </w:r>
            <w:r>
              <w:rPr>
                <w:color w:val="000000"/>
                <w:sz w:val="21"/>
                <w:szCs w:val="21"/>
              </w:rPr>
              <w:t>, including:</w:t>
            </w:r>
          </w:p>
          <w:p w14:paraId="74B38A0D"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(a)</w:t>
            </w:r>
            <w:r>
              <w:rPr>
                <w:color w:val="000000"/>
                <w:sz w:val="21"/>
                <w:szCs w:val="21"/>
              </w:rPr>
              <w:tab/>
              <w:t>the Software;</w:t>
            </w:r>
          </w:p>
          <w:p w14:paraId="26C41C3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the Service Provider Equipment;</w:t>
            </w:r>
          </w:p>
          <w:p w14:paraId="4C7A6D39"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(c) </w:t>
            </w:r>
            <w:r>
              <w:rPr>
                <w:color w:val="000000"/>
                <w:sz w:val="21"/>
                <w:szCs w:val="21"/>
              </w:rPr>
              <w:tab/>
              <w:t>configuration and management utilities;</w:t>
            </w:r>
          </w:p>
          <w:p w14:paraId="0FBD135A"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(d) </w:t>
            </w:r>
            <w:r>
              <w:rPr>
                <w:color w:val="000000"/>
                <w:sz w:val="21"/>
                <w:szCs w:val="21"/>
              </w:rPr>
              <w:tab/>
              <w:t>calibration and t</w:t>
            </w:r>
            <w:r>
              <w:rPr>
                <w:color w:val="000000"/>
                <w:sz w:val="21"/>
                <w:szCs w:val="21"/>
              </w:rPr>
              <w:t>esting tools;</w:t>
            </w:r>
          </w:p>
          <w:p w14:paraId="639C2FE5"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(e) </w:t>
            </w:r>
            <w:r>
              <w:rPr>
                <w:color w:val="000000"/>
                <w:sz w:val="21"/>
                <w:szCs w:val="21"/>
              </w:rPr>
              <w:tab/>
              <w:t>and related cabling; but</w:t>
            </w:r>
          </w:p>
          <w:p w14:paraId="79E659F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does not include the Client System;</w:t>
            </w:r>
          </w:p>
        </w:tc>
      </w:tr>
      <w:tr w:rsidR="007960A8" w14:paraId="63E261C1" w14:textId="77777777">
        <w:tc>
          <w:tcPr>
            <w:tcW w:w="2415" w:type="dxa"/>
          </w:tcPr>
          <w:p w14:paraId="23F7727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"Support Location"</w:t>
            </w:r>
          </w:p>
        </w:tc>
        <w:tc>
          <w:tcPr>
            <w:tcW w:w="5198" w:type="dxa"/>
          </w:tcPr>
          <w:p w14:paraId="66EE6D4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place or facility where or from which individuals may access or Handle the Code or the Government Data;</w:t>
            </w:r>
          </w:p>
        </w:tc>
      </w:tr>
      <w:tr w:rsidR="007960A8" w14:paraId="5934F35C" w14:textId="77777777">
        <w:tc>
          <w:tcPr>
            <w:tcW w:w="2415" w:type="dxa"/>
          </w:tcPr>
          <w:p w14:paraId="7ECD0EB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"Support Register"</w:t>
            </w:r>
          </w:p>
        </w:tc>
        <w:tc>
          <w:tcPr>
            <w:tcW w:w="5198" w:type="dxa"/>
          </w:tcPr>
          <w:p w14:paraId="1BBA680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register of all hardware and software used to provide the </w:t>
            </w:r>
            <w:r>
              <w:rPr>
                <w:i/>
                <w:iCs/>
                <w:color w:val="000000"/>
                <w:sz w:val="21"/>
                <w:szCs w:val="21"/>
              </w:rPr>
              <w:t>services</w:t>
            </w:r>
            <w:r>
              <w:rPr>
                <w:color w:val="000000"/>
                <w:sz w:val="21"/>
                <w:szCs w:val="21"/>
              </w:rPr>
              <w:t xml:space="preserve"> produced and maintained in accordance with Paragraph 5 of Appendix 1;</w:t>
            </w:r>
          </w:p>
        </w:tc>
      </w:tr>
      <w:tr w:rsidR="007960A8" w14:paraId="4651B961" w14:textId="77777777">
        <w:tc>
          <w:tcPr>
            <w:tcW w:w="2415" w:type="dxa"/>
          </w:tcPr>
          <w:p w14:paraId="5F68FA1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"Third-party Software Module"</w:t>
            </w:r>
          </w:p>
        </w:tc>
        <w:tc>
          <w:tcPr>
            <w:tcW w:w="5198" w:type="dxa"/>
          </w:tcPr>
          <w:p w14:paraId="594E62B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module, library or framework that:</w:t>
            </w:r>
          </w:p>
          <w:p w14:paraId="2F2E3969"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(a) </w:t>
            </w:r>
            <w:r>
              <w:rPr>
                <w:color w:val="000000"/>
                <w:sz w:val="21"/>
                <w:szCs w:val="21"/>
              </w:rPr>
              <w:tab/>
              <w:t xml:space="preserve">is not produced by the </w:t>
            </w:r>
            <w:r>
              <w:rPr>
                <w:i/>
                <w:iCs/>
                <w:color w:val="000000"/>
                <w:sz w:val="21"/>
                <w:szCs w:val="21"/>
              </w:rPr>
              <w:t>Service Provider</w:t>
            </w:r>
            <w:r>
              <w:rPr>
                <w:color w:val="000000"/>
                <w:sz w:val="21"/>
                <w:szCs w:val="21"/>
              </w:rPr>
              <w:t xml:space="preserve"> or a Sub-contractor as part of the Development Activity; and</w:t>
            </w:r>
          </w:p>
          <w:p w14:paraId="1B5D41B2" w14:textId="77777777" w:rsidR="007960A8" w:rsidRDefault="00A26397">
            <w:pPr>
              <w:pBdr>
                <w:top w:val="nil"/>
                <w:left w:val="nil"/>
                <w:bottom w:val="nil"/>
                <w:right w:val="nil"/>
                <w:between w:val="nil"/>
              </w:pBdr>
              <w:spacing w:after="240"/>
              <w:ind w:left="455" w:hanging="455"/>
              <w:rPr>
                <w:color w:val="000000"/>
                <w:sz w:val="21"/>
                <w:szCs w:val="21"/>
              </w:rPr>
            </w:pPr>
            <w:r>
              <w:rPr>
                <w:color w:val="000000"/>
                <w:sz w:val="21"/>
                <w:szCs w:val="21"/>
              </w:rPr>
              <w:t xml:space="preserve">(b) </w:t>
            </w:r>
            <w:r>
              <w:rPr>
                <w:color w:val="000000"/>
                <w:sz w:val="21"/>
                <w:szCs w:val="21"/>
              </w:rPr>
              <w:tab/>
              <w:t>either:</w:t>
            </w:r>
          </w:p>
          <w:p w14:paraId="63AE0741"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 </w:t>
            </w:r>
            <w:r>
              <w:rPr>
                <w:color w:val="000000"/>
                <w:sz w:val="21"/>
                <w:szCs w:val="21"/>
              </w:rPr>
              <w:tab/>
              <w:t>forms, or will form, part of the Code; or</w:t>
            </w:r>
          </w:p>
          <w:p w14:paraId="26592E4B" w14:textId="77777777" w:rsidR="007960A8" w:rsidRDefault="00A26397">
            <w:pPr>
              <w:pBdr>
                <w:top w:val="nil"/>
                <w:left w:val="nil"/>
                <w:bottom w:val="nil"/>
                <w:right w:val="nil"/>
                <w:between w:val="nil"/>
              </w:pBdr>
              <w:spacing w:after="240"/>
              <w:ind w:left="910" w:hanging="455"/>
              <w:rPr>
                <w:color w:val="000000"/>
                <w:sz w:val="21"/>
                <w:szCs w:val="21"/>
              </w:rPr>
            </w:pPr>
            <w:r>
              <w:rPr>
                <w:color w:val="000000"/>
                <w:sz w:val="21"/>
                <w:szCs w:val="21"/>
              </w:rPr>
              <w:t xml:space="preserve">(ii) </w:t>
            </w:r>
            <w:r>
              <w:rPr>
                <w:color w:val="000000"/>
                <w:sz w:val="21"/>
                <w:szCs w:val="21"/>
              </w:rPr>
              <w:tab/>
              <w:t>is, or will be, accessed by the Developed System during its operation;</w:t>
            </w:r>
          </w:p>
        </w:tc>
      </w:tr>
      <w:tr w:rsidR="007960A8" w14:paraId="4BBB07B4" w14:textId="77777777">
        <w:tc>
          <w:tcPr>
            <w:tcW w:w="2415" w:type="dxa"/>
          </w:tcPr>
          <w:p w14:paraId="484198A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"Third party Tool"</w:t>
            </w:r>
          </w:p>
        </w:tc>
        <w:tc>
          <w:tcPr>
            <w:tcW w:w="5198" w:type="dxa"/>
          </w:tcPr>
          <w:p w14:paraId="178B07E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Software used by the </w:t>
            </w:r>
            <w:r>
              <w:rPr>
                <w:i/>
                <w:iCs/>
                <w:color w:val="000000"/>
                <w:sz w:val="21"/>
                <w:szCs w:val="21"/>
              </w:rPr>
              <w:t>Service Provider</w:t>
            </w:r>
            <w:r>
              <w:rPr>
                <w:color w:val="000000"/>
                <w:sz w:val="21"/>
                <w:szCs w:val="21"/>
              </w:rPr>
              <w:t xml:space="preserve"> by which the Code or the Government Data is accessed, analysed or modified or some form of operation is performed on it;</w:t>
            </w:r>
          </w:p>
        </w:tc>
      </w:tr>
      <w:tr w:rsidR="007960A8" w14:paraId="228E86C6" w14:textId="77777777">
        <w:tc>
          <w:tcPr>
            <w:tcW w:w="2415" w:type="dxa"/>
          </w:tcPr>
          <w:p w14:paraId="6123559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“UK GDPR”</w:t>
            </w:r>
          </w:p>
        </w:tc>
        <w:tc>
          <w:tcPr>
            <w:tcW w:w="5198" w:type="dxa"/>
          </w:tcPr>
          <w:p w14:paraId="23983DF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assimilated EU law version of the General Data Protection Regulation (Regulati</w:t>
            </w:r>
            <w:r>
              <w:rPr>
                <w:color w:val="000000"/>
                <w:sz w:val="21"/>
                <w:szCs w:val="21"/>
              </w:rPr>
              <w:t>on (EU) 2016/679);</w:t>
            </w:r>
          </w:p>
        </w:tc>
      </w:tr>
      <w:tr w:rsidR="007960A8" w14:paraId="45777763" w14:textId="77777777">
        <w:tc>
          <w:tcPr>
            <w:tcW w:w="2415" w:type="dxa"/>
          </w:tcPr>
          <w:p w14:paraId="50D5236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"UKAS"</w:t>
            </w:r>
          </w:p>
        </w:tc>
        <w:tc>
          <w:tcPr>
            <w:tcW w:w="5198" w:type="dxa"/>
          </w:tcPr>
          <w:p w14:paraId="1BBD3A6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United Kingdom Accreditation Service;</w:t>
            </w:r>
          </w:p>
        </w:tc>
      </w:tr>
      <w:tr w:rsidR="007960A8" w14:paraId="5C6284D0" w14:textId="77777777">
        <w:tc>
          <w:tcPr>
            <w:tcW w:w="2415" w:type="dxa"/>
          </w:tcPr>
          <w:p w14:paraId="132BDA3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"UKAS-recognised Certification Body"</w:t>
            </w:r>
          </w:p>
        </w:tc>
        <w:tc>
          <w:tcPr>
            <w:tcW w:w="5198" w:type="dxa"/>
          </w:tcPr>
          <w:p w14:paraId="14606F17" w14:textId="77777777" w:rsidR="007960A8" w:rsidRDefault="00A26397">
            <w:pPr>
              <w:pBdr>
                <w:top w:val="nil"/>
                <w:left w:val="nil"/>
                <w:bottom w:val="nil"/>
                <w:right w:val="nil"/>
                <w:between w:val="nil"/>
              </w:pBdr>
              <w:spacing w:after="240"/>
              <w:ind w:left="460" w:hanging="460"/>
              <w:rPr>
                <w:color w:val="000000"/>
                <w:sz w:val="21"/>
                <w:szCs w:val="21"/>
              </w:rPr>
            </w:pPr>
            <w:r>
              <w:rPr>
                <w:color w:val="000000"/>
                <w:sz w:val="21"/>
                <w:szCs w:val="21"/>
              </w:rPr>
              <w:t xml:space="preserve">(a) </w:t>
            </w:r>
            <w:r>
              <w:rPr>
                <w:color w:val="000000"/>
                <w:sz w:val="21"/>
                <w:szCs w:val="21"/>
              </w:rPr>
              <w:tab/>
            </w:r>
            <w:r>
              <w:rPr>
                <w:color w:val="000000"/>
                <w:sz w:val="21"/>
                <w:szCs w:val="21"/>
              </w:rPr>
              <w:t>an organisation accredited by UKAS to provide certification of ISO/IEC27001:2013 and/or ISO/IEC27001:2022; or</w:t>
            </w:r>
          </w:p>
          <w:p w14:paraId="529294C7" w14:textId="77777777" w:rsidR="007960A8" w:rsidRDefault="00A26397">
            <w:pPr>
              <w:pBdr>
                <w:top w:val="nil"/>
                <w:left w:val="nil"/>
                <w:bottom w:val="nil"/>
                <w:right w:val="nil"/>
                <w:between w:val="nil"/>
              </w:pBdr>
              <w:spacing w:after="240"/>
              <w:ind w:left="460" w:hanging="460"/>
              <w:rPr>
                <w:color w:val="000000"/>
                <w:sz w:val="21"/>
                <w:szCs w:val="21"/>
              </w:rPr>
            </w:pPr>
            <w:r>
              <w:rPr>
                <w:color w:val="000000"/>
                <w:sz w:val="21"/>
                <w:szCs w:val="21"/>
              </w:rPr>
              <w:t>(b)</w:t>
            </w:r>
            <w:r>
              <w:rPr>
                <w:color w:val="000000"/>
                <w:sz w:val="21"/>
                <w:szCs w:val="21"/>
              </w:rPr>
              <w:tab/>
              <w:t>an organisation accredited to provide certification of ISO/IEC27001:2013 and/or ISO/IEC27001:2022 by a body with the equivalent functions as U</w:t>
            </w:r>
            <w:r>
              <w:rPr>
                <w:color w:val="000000"/>
                <w:sz w:val="21"/>
                <w:szCs w:val="21"/>
              </w:rPr>
              <w:t>KAS in a state with which the UK has a mutual recognition agreement recognising the technical equivalence of accredited conformity assessment; and</w:t>
            </w:r>
          </w:p>
        </w:tc>
      </w:tr>
      <w:tr w:rsidR="007960A8" w14:paraId="3A30A411" w14:textId="77777777">
        <w:tc>
          <w:tcPr>
            <w:tcW w:w="2415" w:type="dxa"/>
          </w:tcPr>
          <w:p w14:paraId="4A8DF65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"Wider Information Management System"</w:t>
            </w:r>
          </w:p>
        </w:tc>
        <w:tc>
          <w:tcPr>
            <w:tcW w:w="5198" w:type="dxa"/>
          </w:tcPr>
          <w:p w14:paraId="432FDB6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any: </w:t>
            </w:r>
          </w:p>
          <w:p w14:paraId="1E00743B"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w:t>
            </w:r>
            <w:r>
              <w:rPr>
                <w:color w:val="000000"/>
                <w:sz w:val="21"/>
                <w:szCs w:val="21"/>
              </w:rPr>
              <w:tab/>
              <w:t>information assets,</w:t>
            </w:r>
          </w:p>
          <w:p w14:paraId="1277BA4D"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(ii)</w:t>
            </w:r>
            <w:r>
              <w:rPr>
                <w:color w:val="000000"/>
                <w:sz w:val="21"/>
                <w:szCs w:val="21"/>
              </w:rPr>
              <w:tab/>
              <w:t>IT systems,</w:t>
            </w:r>
          </w:p>
          <w:p w14:paraId="1632DEA9"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(iii)</w:t>
            </w:r>
            <w:r>
              <w:rPr>
                <w:color w:val="000000"/>
                <w:sz w:val="21"/>
                <w:szCs w:val="21"/>
              </w:rPr>
              <w:tab/>
            </w:r>
            <w:r>
              <w:rPr>
                <w:color w:val="000000"/>
                <w:sz w:val="21"/>
                <w:szCs w:val="21"/>
              </w:rPr>
              <w:t>IT services; or Sites</w:t>
            </w:r>
          </w:p>
          <w:p w14:paraId="3894C63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that the </w:t>
            </w:r>
            <w:r>
              <w:rPr>
                <w:i/>
                <w:iCs/>
                <w:color w:val="000000"/>
                <w:sz w:val="21"/>
                <w:szCs w:val="21"/>
              </w:rPr>
              <w:t>Service Provider</w:t>
            </w:r>
            <w:r>
              <w:rPr>
                <w:color w:val="000000"/>
                <w:sz w:val="21"/>
                <w:szCs w:val="21"/>
              </w:rPr>
              <w:t xml:space="preserve"> or any Sub-contractor will use to Handle, or support the Handling of, Government Data and provide, manage or support the provision of, the </w:t>
            </w:r>
            <w:r>
              <w:rPr>
                <w:i/>
                <w:iCs/>
                <w:color w:val="000000"/>
                <w:sz w:val="21"/>
                <w:szCs w:val="21"/>
              </w:rPr>
              <w:t>services</w:t>
            </w:r>
            <w:r>
              <w:rPr>
                <w:color w:val="000000"/>
                <w:sz w:val="21"/>
                <w:szCs w:val="21"/>
              </w:rPr>
              <w:t>; and</w:t>
            </w:r>
          </w:p>
          <w:p w14:paraId="3E844CF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(b)</w:t>
            </w:r>
            <w:r>
              <w:rPr>
                <w:color w:val="000000"/>
                <w:sz w:val="21"/>
                <w:szCs w:val="21"/>
              </w:rPr>
              <w:tab/>
              <w:t>the associated information management system, inclu</w:t>
            </w:r>
            <w:r>
              <w:rPr>
                <w:color w:val="000000"/>
                <w:sz w:val="21"/>
                <w:szCs w:val="21"/>
              </w:rPr>
              <w:t>ding all relevant:</w:t>
            </w:r>
          </w:p>
          <w:p w14:paraId="7489BA01" w14:textId="77777777" w:rsidR="007960A8" w:rsidRDefault="00A26397">
            <w:pPr>
              <w:pBdr>
                <w:top w:val="nil"/>
                <w:left w:val="nil"/>
                <w:bottom w:val="nil"/>
                <w:right w:val="nil"/>
                <w:between w:val="nil"/>
              </w:pBdr>
              <w:spacing w:after="240"/>
              <w:ind w:left="890" w:hanging="142"/>
              <w:rPr>
                <w:color w:val="000000"/>
                <w:sz w:val="21"/>
                <w:szCs w:val="21"/>
              </w:rPr>
            </w:pPr>
            <w:r>
              <w:rPr>
                <w:color w:val="000000"/>
                <w:sz w:val="21"/>
                <w:szCs w:val="21"/>
              </w:rPr>
              <w:t>(i)</w:t>
            </w:r>
            <w:r>
              <w:rPr>
                <w:color w:val="000000"/>
                <w:sz w:val="21"/>
                <w:szCs w:val="21"/>
              </w:rPr>
              <w:tab/>
              <w:t>organisational structure diagrams,</w:t>
            </w:r>
          </w:p>
          <w:p w14:paraId="62B1B87D"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(ii)</w:t>
            </w:r>
            <w:r>
              <w:rPr>
                <w:color w:val="000000"/>
                <w:sz w:val="21"/>
                <w:szCs w:val="21"/>
              </w:rPr>
              <w:tab/>
              <w:t>controls,</w:t>
            </w:r>
          </w:p>
          <w:p w14:paraId="56FF84A0"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(iii)</w:t>
            </w:r>
            <w:r>
              <w:rPr>
                <w:color w:val="000000"/>
                <w:sz w:val="21"/>
                <w:szCs w:val="21"/>
              </w:rPr>
              <w:tab/>
              <w:t>policies,</w:t>
            </w:r>
          </w:p>
          <w:p w14:paraId="238FD993"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(iv)</w:t>
            </w:r>
            <w:r>
              <w:rPr>
                <w:color w:val="000000"/>
                <w:sz w:val="21"/>
                <w:szCs w:val="21"/>
              </w:rPr>
              <w:tab/>
              <w:t>practices,</w:t>
            </w:r>
          </w:p>
          <w:p w14:paraId="609AA202"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(v)</w:t>
            </w:r>
            <w:r>
              <w:rPr>
                <w:color w:val="000000"/>
                <w:sz w:val="21"/>
                <w:szCs w:val="21"/>
              </w:rPr>
              <w:tab/>
              <w:t>procedures,</w:t>
            </w:r>
          </w:p>
          <w:p w14:paraId="27461D1D"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 xml:space="preserve">(vi) </w:t>
            </w:r>
            <w:r>
              <w:rPr>
                <w:color w:val="000000"/>
                <w:sz w:val="21"/>
                <w:szCs w:val="21"/>
              </w:rPr>
              <w:tab/>
              <w:t>processes; and</w:t>
            </w:r>
          </w:p>
          <w:p w14:paraId="47D7BB13" w14:textId="77777777" w:rsidR="007960A8" w:rsidRDefault="00A26397">
            <w:pPr>
              <w:pBdr>
                <w:top w:val="nil"/>
                <w:left w:val="nil"/>
                <w:bottom w:val="nil"/>
                <w:right w:val="nil"/>
                <w:between w:val="nil"/>
              </w:pBdr>
              <w:spacing w:after="240"/>
              <w:ind w:left="720"/>
              <w:rPr>
                <w:color w:val="000000"/>
                <w:sz w:val="21"/>
                <w:szCs w:val="21"/>
              </w:rPr>
            </w:pPr>
            <w:r>
              <w:rPr>
                <w:color w:val="000000"/>
                <w:sz w:val="21"/>
                <w:szCs w:val="21"/>
              </w:rPr>
              <w:t xml:space="preserve">(vii) </w:t>
            </w:r>
            <w:r>
              <w:rPr>
                <w:color w:val="000000"/>
                <w:sz w:val="21"/>
                <w:szCs w:val="21"/>
              </w:rPr>
              <w:tab/>
              <w:t>resources.</w:t>
            </w:r>
          </w:p>
        </w:tc>
      </w:tr>
      <w:tr w:rsidR="007960A8" w14:paraId="15548A9A" w14:textId="77777777">
        <w:tc>
          <w:tcPr>
            <w:tcW w:w="2415" w:type="dxa"/>
          </w:tcPr>
          <w:p w14:paraId="7712E3A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“Working Days”</w:t>
            </w:r>
          </w:p>
        </w:tc>
        <w:tc>
          <w:tcPr>
            <w:tcW w:w="5198" w:type="dxa"/>
          </w:tcPr>
          <w:p w14:paraId="2AB5A3A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day other than a Saturday or Sunday or public holiday in England and Wales unless agreed otherwise by the Parties in writing.</w:t>
            </w:r>
          </w:p>
        </w:tc>
      </w:tr>
    </w:tbl>
    <w:p w14:paraId="6755E140"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Introduction</w:t>
      </w:r>
    </w:p>
    <w:p w14:paraId="64AF5400"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This Schedule sets out:</w:t>
      </w:r>
    </w:p>
    <w:p w14:paraId="3536789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decision on where the </w:t>
      </w:r>
      <w:r>
        <w:rPr>
          <w:i/>
          <w:iCs/>
          <w:color w:val="000000"/>
          <w:sz w:val="21"/>
          <w:szCs w:val="21"/>
        </w:rPr>
        <w:t>Service Provider</w:t>
      </w:r>
      <w:r>
        <w:rPr>
          <w:color w:val="000000"/>
          <w:sz w:val="21"/>
          <w:szCs w:val="21"/>
        </w:rPr>
        <w:t xml:space="preserve"> may:</w:t>
      </w:r>
    </w:p>
    <w:p w14:paraId="05BD049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store, access or Handle Government Data;</w:t>
      </w:r>
    </w:p>
    <w:p w14:paraId="3F66A0A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 the Development Activity;</w:t>
      </w:r>
    </w:p>
    <w:p w14:paraId="5F2DE12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host the Development Environment; and</w:t>
      </w:r>
    </w:p>
    <w:p w14:paraId="7E24C2F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locate Support Locations,</w:t>
      </w:r>
    </w:p>
    <w:p w14:paraId="635806A5"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(in Paragraph 1);</w:t>
      </w:r>
    </w:p>
    <w:p w14:paraId="4303D97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principles of security that apply to the Contract (in Paragraph 4);</w:t>
      </w:r>
    </w:p>
    <w:p w14:paraId="05BA3E7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requirement to obtain a Risk Management Approval Statement (in Paragraphs 6 and 16);</w:t>
      </w:r>
    </w:p>
    <w:p w14:paraId="54FB105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annual confirmation of compliance to be provided by the </w:t>
      </w:r>
      <w:r>
        <w:rPr>
          <w:i/>
          <w:iCs/>
          <w:color w:val="000000"/>
          <w:sz w:val="21"/>
          <w:szCs w:val="21"/>
        </w:rPr>
        <w:t>Service Provider</w:t>
      </w:r>
      <w:r>
        <w:rPr>
          <w:color w:val="000000"/>
          <w:sz w:val="21"/>
          <w:szCs w:val="21"/>
        </w:rPr>
        <w:t xml:space="preserve"> (in Paragraph 7);</w:t>
      </w:r>
    </w:p>
    <w:p w14:paraId="3EAF449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governance arrangements for security matters (in Paragraph 8);</w:t>
      </w:r>
    </w:p>
    <w:p w14:paraId="64E6D39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access to staff (in Paragraph 9);</w:t>
      </w:r>
    </w:p>
    <w:p w14:paraId="064FD19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obligations in relation to Sub-contractors (in Paragraph 10);</w:t>
      </w:r>
    </w:p>
    <w:p w14:paraId="3F28A59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responsibility of the </w:t>
      </w:r>
      <w:r>
        <w:rPr>
          <w:i/>
          <w:iCs/>
          <w:color w:val="000000"/>
          <w:sz w:val="21"/>
          <w:szCs w:val="21"/>
        </w:rPr>
        <w:t>Service Provider</w:t>
      </w:r>
      <w:r>
        <w:rPr>
          <w:color w:val="000000"/>
          <w:sz w:val="21"/>
          <w:szCs w:val="21"/>
        </w:rPr>
        <w:t xml:space="preserve"> to determine the Service Provider Information Management System (in Paragraph 11);</w:t>
      </w:r>
    </w:p>
    <w:p w14:paraId="15653E8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Certification Requirements (in Paragraph 13);</w:t>
      </w:r>
    </w:p>
    <w:p w14:paraId="681C0B5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development, monitoring and updating of the Security Management Plan by the </w:t>
      </w:r>
      <w:r>
        <w:rPr>
          <w:i/>
          <w:iCs/>
          <w:color w:val="000000"/>
          <w:sz w:val="21"/>
          <w:szCs w:val="21"/>
        </w:rPr>
        <w:t>Service Provider</w:t>
      </w:r>
      <w:r>
        <w:rPr>
          <w:color w:val="000000"/>
          <w:sz w:val="21"/>
          <w:szCs w:val="21"/>
        </w:rPr>
        <w:t xml:space="preserve"> (in Paragraphs 14, 15 and</w:t>
      </w:r>
      <w:r>
        <w:rPr>
          <w:color w:val="000000"/>
          <w:sz w:val="21"/>
          <w:szCs w:val="21"/>
        </w:rPr>
        <w:t xml:space="preserve"> 16);</w:t>
      </w:r>
    </w:p>
    <w:p w14:paraId="16EB199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granting by the </w:t>
      </w:r>
      <w:r>
        <w:rPr>
          <w:i/>
          <w:iCs/>
          <w:color w:val="000000"/>
          <w:sz w:val="21"/>
          <w:szCs w:val="21"/>
        </w:rPr>
        <w:t>Client</w:t>
      </w:r>
      <w:r>
        <w:rPr>
          <w:color w:val="000000"/>
          <w:sz w:val="21"/>
          <w:szCs w:val="21"/>
        </w:rPr>
        <w:t xml:space="preserve"> of approval for the </w:t>
      </w:r>
      <w:r>
        <w:rPr>
          <w:i/>
          <w:iCs/>
          <w:color w:val="000000"/>
          <w:sz w:val="21"/>
          <w:szCs w:val="21"/>
        </w:rPr>
        <w:t>Service Provider</w:t>
      </w:r>
      <w:r>
        <w:rPr>
          <w:color w:val="000000"/>
          <w:sz w:val="21"/>
          <w:szCs w:val="21"/>
        </w:rPr>
        <w:t xml:space="preserve"> to commence:</w:t>
      </w:r>
    </w:p>
    <w:p w14:paraId="54407BC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provision of the </w:t>
      </w:r>
      <w:r>
        <w:rPr>
          <w:i/>
          <w:iCs/>
          <w:color w:val="000000"/>
          <w:sz w:val="21"/>
          <w:szCs w:val="21"/>
        </w:rPr>
        <w:t>services</w:t>
      </w:r>
      <w:r>
        <w:rPr>
          <w:color w:val="000000"/>
          <w:sz w:val="21"/>
          <w:szCs w:val="21"/>
        </w:rPr>
        <w:t>; and/or</w:t>
      </w:r>
    </w:p>
    <w:p w14:paraId="48DA8D8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Handling Government Data (in Paragraph 16);</w:t>
      </w:r>
    </w:p>
    <w:p w14:paraId="0373C83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management of changes to the Service Provider Information Management System (in Paragra</w:t>
      </w:r>
      <w:r>
        <w:rPr>
          <w:color w:val="000000"/>
          <w:sz w:val="21"/>
          <w:szCs w:val="21"/>
        </w:rPr>
        <w:t>ph 17); and</w:t>
      </w:r>
    </w:p>
    <w:p w14:paraId="0BD48F7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additional remedies for breach of this Schedule, including:</w:t>
      </w:r>
    </w:p>
    <w:p w14:paraId="7491A06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requirement for Remediation Action Plans (in Paragraph 18);</w:t>
      </w:r>
    </w:p>
    <w:p w14:paraId="11C2674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appointment of Independent Security Advisers (in Paragraph 19); and</w:t>
      </w:r>
    </w:p>
    <w:p w14:paraId="6A00F7E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withholding of payment by the </w:t>
      </w:r>
      <w:r>
        <w:rPr>
          <w:i/>
          <w:iCs/>
          <w:color w:val="000000"/>
          <w:sz w:val="21"/>
          <w:szCs w:val="21"/>
        </w:rPr>
        <w:t>C</w:t>
      </w:r>
      <w:r>
        <w:rPr>
          <w:i/>
          <w:iCs/>
          <w:color w:val="000000"/>
          <w:sz w:val="21"/>
          <w:szCs w:val="21"/>
        </w:rPr>
        <w:t>lient</w:t>
      </w:r>
      <w:r>
        <w:rPr>
          <w:color w:val="000000"/>
          <w:sz w:val="21"/>
          <w:szCs w:val="21"/>
        </w:rPr>
        <w:t xml:space="preserve"> otherwise due under the Contract (in Paragraph 20).</w:t>
      </w:r>
    </w:p>
    <w:p w14:paraId="4233C624"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Principles of security</w:t>
      </w:r>
    </w:p>
    <w:p w14:paraId="57452FC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acknowledges that the </w:t>
      </w:r>
      <w:r>
        <w:rPr>
          <w:i/>
          <w:iCs/>
          <w:color w:val="000000"/>
          <w:sz w:val="21"/>
          <w:szCs w:val="21"/>
        </w:rPr>
        <w:t>Client</w:t>
      </w:r>
      <w:r>
        <w:rPr>
          <w:color w:val="000000"/>
          <w:sz w:val="21"/>
          <w:szCs w:val="21"/>
        </w:rPr>
        <w:t xml:space="preserve"> places great emphasis on the confidentiality, integrity and availability of the Government Data and, consequently, on the security of:</w:t>
      </w:r>
    </w:p>
    <w:p w14:paraId="1446402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Client System;</w:t>
      </w:r>
    </w:p>
    <w:p w14:paraId="6617083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Service Provider System;</w:t>
      </w:r>
    </w:p>
    <w:p w14:paraId="1CA39BE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Sites;</w:t>
      </w:r>
    </w:p>
    <w:p w14:paraId="4BA07F9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and</w:t>
      </w:r>
    </w:p>
    <w:p w14:paraId="674B0D0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Service Provider Information Management</w:t>
      </w:r>
      <w:r>
        <w:rPr>
          <w:color w:val="000000"/>
          <w:sz w:val="21"/>
          <w:szCs w:val="21"/>
        </w:rPr>
        <w:t xml:space="preserve"> System.</w:t>
      </w:r>
    </w:p>
    <w:p w14:paraId="453EE11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Parties shall share information and act in a co-operative manner at all times to further the principles of security in Paragraph 4.1.</w:t>
      </w:r>
    </w:p>
    <w:p w14:paraId="184D0CC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Notwithstanding any approvals or agreements provided by the </w:t>
      </w:r>
      <w:r>
        <w:rPr>
          <w:i/>
          <w:iCs/>
          <w:color w:val="000000"/>
          <w:sz w:val="21"/>
          <w:szCs w:val="21"/>
        </w:rPr>
        <w:t>Client</w:t>
      </w:r>
      <w:r>
        <w:rPr>
          <w:color w:val="000000"/>
          <w:sz w:val="21"/>
          <w:szCs w:val="21"/>
        </w:rPr>
        <w:t xml:space="preserve"> under this Schedule, the </w:t>
      </w:r>
      <w:r>
        <w:rPr>
          <w:i/>
          <w:iCs/>
          <w:color w:val="000000"/>
          <w:sz w:val="21"/>
          <w:szCs w:val="21"/>
        </w:rPr>
        <w:t>Service Provider</w:t>
      </w:r>
      <w:r>
        <w:rPr>
          <w:color w:val="000000"/>
          <w:sz w:val="21"/>
          <w:szCs w:val="21"/>
        </w:rPr>
        <w:t xml:space="preserve"> </w:t>
      </w:r>
      <w:r>
        <w:rPr>
          <w:color w:val="000000"/>
          <w:sz w:val="21"/>
          <w:szCs w:val="21"/>
        </w:rPr>
        <w:t>remains responsible for:</w:t>
      </w:r>
    </w:p>
    <w:p w14:paraId="5EEF688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security, confidentiality, integrity and availability of the Government Data when that Government Data is under the control of the </w:t>
      </w:r>
      <w:r>
        <w:rPr>
          <w:i/>
          <w:iCs/>
          <w:color w:val="000000"/>
          <w:sz w:val="21"/>
          <w:szCs w:val="21"/>
        </w:rPr>
        <w:t>Service Provider</w:t>
      </w:r>
      <w:r>
        <w:rPr>
          <w:color w:val="000000"/>
          <w:sz w:val="21"/>
          <w:szCs w:val="21"/>
        </w:rPr>
        <w:t xml:space="preserve"> or any of its Sub-contractors; and</w:t>
      </w:r>
    </w:p>
    <w:p w14:paraId="218A257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security of the Service Provider Information Management System.</w:t>
      </w:r>
    </w:p>
    <w:p w14:paraId="4BCCFE75"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Security requirements</w:t>
      </w:r>
    </w:p>
    <w:p w14:paraId="124AA46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Sub-contractors design, build and manage the Service Provider Information Management System in accordance with the Sec</w:t>
      </w:r>
      <w:r>
        <w:rPr>
          <w:color w:val="000000"/>
          <w:sz w:val="21"/>
          <w:szCs w:val="21"/>
        </w:rPr>
        <w:t>urity Management Plan.</w:t>
      </w:r>
    </w:p>
    <w:p w14:paraId="5490B07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unless otherwise agreed in writing with the </w:t>
      </w:r>
      <w:r>
        <w:rPr>
          <w:i/>
          <w:iCs/>
          <w:color w:val="000000"/>
          <w:sz w:val="21"/>
          <w:szCs w:val="21"/>
        </w:rPr>
        <w:t>Client</w:t>
      </w:r>
      <w:r>
        <w:rPr>
          <w:color w:val="000000"/>
          <w:sz w:val="21"/>
          <w:szCs w:val="21"/>
        </w:rPr>
        <w:t>:</w:t>
      </w:r>
    </w:p>
    <w:p w14:paraId="4DCFC5C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comply with the security requirements in Appendix 1;</w:t>
      </w:r>
    </w:p>
    <w:p w14:paraId="36E2AA9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relevant option in Paragraph 1 is selected, comply with the security requirements for Devel</w:t>
      </w:r>
      <w:r>
        <w:rPr>
          <w:color w:val="000000"/>
          <w:sz w:val="21"/>
          <w:szCs w:val="21"/>
        </w:rPr>
        <w:t>opment Activity in Appendix 2;</w:t>
      </w:r>
    </w:p>
    <w:p w14:paraId="30B68FF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relevant option in Paragraph 1 is selected, comply with the Client Security Policies; and</w:t>
      </w:r>
    </w:p>
    <w:p w14:paraId="66BE946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Sub-contractors comply with:</w:t>
      </w:r>
    </w:p>
    <w:p w14:paraId="385130A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all security requirements in Appendix 1;</w:t>
      </w:r>
    </w:p>
    <w:p w14:paraId="1DC457B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the relevant option in Paragraph 1 is selected, all security requirements for Development Activity in Appendix 2; and</w:t>
      </w:r>
    </w:p>
    <w:p w14:paraId="1065507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the relevant option in Paragraph 1 is selected, all Client Security Policies,</w:t>
      </w:r>
    </w:p>
    <w:p w14:paraId="19CD7273" w14:textId="77777777" w:rsidR="007960A8" w:rsidRDefault="00A26397">
      <w:pPr>
        <w:pBdr>
          <w:top w:val="nil"/>
          <w:left w:val="nil"/>
          <w:bottom w:val="nil"/>
          <w:right w:val="nil"/>
          <w:between w:val="nil"/>
        </w:pBdr>
        <w:spacing w:after="120"/>
        <w:ind w:left="2517" w:firstLine="35"/>
        <w:rPr>
          <w:color w:val="000000"/>
          <w:sz w:val="21"/>
          <w:szCs w:val="21"/>
        </w:rPr>
      </w:pPr>
      <w:r>
        <w:rPr>
          <w:color w:val="000000"/>
          <w:sz w:val="21"/>
          <w:szCs w:val="21"/>
        </w:rPr>
        <w:t>that apply to the activities that the Sub-contra</w:t>
      </w:r>
      <w:r>
        <w:rPr>
          <w:color w:val="000000"/>
          <w:sz w:val="21"/>
          <w:szCs w:val="21"/>
        </w:rPr>
        <w:t>ctor performs under its Sub Contract, unless:</w:t>
      </w:r>
    </w:p>
    <w:p w14:paraId="79AC719A" w14:textId="77777777" w:rsidR="007960A8" w:rsidRDefault="00A26397">
      <w:pPr>
        <w:widowControl/>
        <w:numPr>
          <w:ilvl w:val="4"/>
          <w:numId w:val="36"/>
        </w:numPr>
        <w:pBdr>
          <w:top w:val="nil"/>
          <w:left w:val="nil"/>
          <w:bottom w:val="nil"/>
          <w:right w:val="nil"/>
          <w:between w:val="nil"/>
        </w:pBdr>
        <w:spacing w:after="240"/>
        <w:jc w:val="both"/>
      </w:pPr>
      <w:r>
        <w:rPr>
          <w:color w:val="000000"/>
          <w:sz w:val="21"/>
          <w:szCs w:val="21"/>
        </w:rPr>
        <w:t>Paragraph 5.4 applies; or</w:t>
      </w:r>
    </w:p>
    <w:p w14:paraId="678F1A4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table in Appendix 4 limits the security requirements in Appendix 1 or security requirements for Development Activity in Appendix 2 that apply to a Sub-contractor.</w:t>
      </w:r>
    </w:p>
    <w:p w14:paraId="77EF0C7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selects the option in Paragraph 1 requiring the </w:t>
      </w:r>
      <w:r>
        <w:rPr>
          <w:i/>
          <w:iCs/>
          <w:color w:val="000000"/>
          <w:sz w:val="21"/>
          <w:szCs w:val="21"/>
        </w:rPr>
        <w:t>Service Provider</w:t>
      </w:r>
      <w:r>
        <w:rPr>
          <w:color w:val="000000"/>
          <w:sz w:val="21"/>
          <w:szCs w:val="21"/>
        </w:rPr>
        <w:t xml:space="preserve"> to comply with the Client Security Policies, if there is an inconsistency between the Client Security Policies and the requirement of this Schedule then the requirements of t</w:t>
      </w:r>
      <w:r>
        <w:rPr>
          <w:color w:val="000000"/>
          <w:sz w:val="21"/>
          <w:szCs w:val="21"/>
        </w:rPr>
        <w:t>his Schedule will prevail to the extent of that inconsistency.</w:t>
      </w:r>
    </w:p>
    <w:p w14:paraId="28BD73A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a Sub-contractor is a SMP Sub-contractor, the </w:t>
      </w:r>
      <w:r>
        <w:rPr>
          <w:i/>
          <w:iCs/>
          <w:color w:val="000000"/>
          <w:sz w:val="21"/>
          <w:szCs w:val="21"/>
        </w:rPr>
        <w:t>Service Provider</w:t>
      </w:r>
      <w:r>
        <w:rPr>
          <w:color w:val="000000"/>
          <w:sz w:val="21"/>
          <w:szCs w:val="21"/>
        </w:rPr>
        <w:t xml:space="preserve"> shall:</w:t>
      </w:r>
    </w:p>
    <w:p w14:paraId="070A28B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use reasonable endeavours to ensure that the SMP Sub-contractor complies with all obligations that this Schedule impo</w:t>
      </w:r>
      <w:r>
        <w:rPr>
          <w:color w:val="000000"/>
          <w:sz w:val="21"/>
          <w:szCs w:val="21"/>
        </w:rPr>
        <w:t>ses on Sub-contractors, including the security requirements in Appendix 1;</w:t>
      </w:r>
    </w:p>
    <w:p w14:paraId="2BC952B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document the differences between those obligations and the obligations that the SMP Sub-contractor is prepared to accept in sufficient detail to allow the </w:t>
      </w:r>
      <w:r>
        <w:rPr>
          <w:i/>
          <w:iCs/>
          <w:color w:val="000000"/>
          <w:sz w:val="21"/>
          <w:szCs w:val="21"/>
        </w:rPr>
        <w:t>Client</w:t>
      </w:r>
      <w:r>
        <w:rPr>
          <w:color w:val="000000"/>
          <w:sz w:val="21"/>
          <w:szCs w:val="21"/>
        </w:rPr>
        <w:t xml:space="preserve"> to form an informed</w:t>
      </w:r>
      <w:r>
        <w:rPr>
          <w:color w:val="000000"/>
          <w:sz w:val="21"/>
          <w:szCs w:val="21"/>
        </w:rPr>
        <w:t xml:space="preserve"> view of the risks concerned;</w:t>
      </w:r>
    </w:p>
    <w:p w14:paraId="65772CF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take such steps as the </w:t>
      </w:r>
      <w:r>
        <w:rPr>
          <w:i/>
          <w:iCs/>
          <w:color w:val="000000"/>
          <w:sz w:val="21"/>
          <w:szCs w:val="21"/>
        </w:rPr>
        <w:t>Client</w:t>
      </w:r>
      <w:r>
        <w:rPr>
          <w:color w:val="000000"/>
          <w:sz w:val="21"/>
          <w:szCs w:val="21"/>
        </w:rPr>
        <w:t xml:space="preserve"> may require to mitigate those risks.</w:t>
      </w:r>
    </w:p>
    <w:p w14:paraId="2803FA0F"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i/>
          <w:iCs/>
          <w:color w:val="000000"/>
          <w:sz w:val="21"/>
          <w:szCs w:val="21"/>
        </w:rPr>
        <w:t>Client</w:t>
      </w:r>
      <w:r>
        <w:rPr>
          <w:b/>
          <w:bCs/>
          <w:color w:val="000000"/>
          <w:sz w:val="21"/>
          <w:szCs w:val="21"/>
        </w:rPr>
        <w:t xml:space="preserve"> to proceed</w:t>
      </w:r>
    </w:p>
    <w:p w14:paraId="3B9CE97E"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Notwithstanding anything in the Contract, the </w:t>
      </w:r>
      <w:r>
        <w:rPr>
          <w:i/>
          <w:iCs/>
          <w:color w:val="000000"/>
          <w:sz w:val="21"/>
          <w:szCs w:val="21"/>
        </w:rPr>
        <w:t>Service Provider</w:t>
      </w:r>
      <w:r>
        <w:rPr>
          <w:color w:val="000000"/>
          <w:sz w:val="21"/>
          <w:szCs w:val="21"/>
        </w:rPr>
        <w:t xml:space="preserve"> may not:</w:t>
      </w:r>
    </w:p>
    <w:p w14:paraId="0DB64AA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commence the provision of any </w:t>
      </w:r>
      <w:r>
        <w:rPr>
          <w:i/>
          <w:iCs/>
          <w:color w:val="000000"/>
          <w:sz w:val="21"/>
          <w:szCs w:val="21"/>
        </w:rPr>
        <w:t>services</w:t>
      </w:r>
      <w:r>
        <w:rPr>
          <w:color w:val="000000"/>
          <w:sz w:val="21"/>
          <w:szCs w:val="21"/>
        </w:rPr>
        <w:t>; or</w:t>
      </w:r>
    </w:p>
    <w:p w14:paraId="255AFE9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Handle any Government Data using the Service Provider Information Management System,</w:t>
      </w:r>
    </w:p>
    <w:p w14:paraId="2EE61F2E" w14:textId="77777777" w:rsidR="007960A8" w:rsidRDefault="00A26397">
      <w:pPr>
        <w:widowControl/>
        <w:pBdr>
          <w:top w:val="nil"/>
          <w:left w:val="nil"/>
          <w:bottom w:val="nil"/>
          <w:right w:val="nil"/>
          <w:between w:val="nil"/>
        </w:pBdr>
        <w:spacing w:after="240"/>
        <w:ind w:left="720" w:firstLine="720"/>
        <w:jc w:val="both"/>
        <w:rPr>
          <w:color w:val="000000"/>
          <w:sz w:val="21"/>
          <w:szCs w:val="21"/>
        </w:rPr>
      </w:pPr>
      <w:r>
        <w:rPr>
          <w:color w:val="000000"/>
          <w:sz w:val="21"/>
          <w:szCs w:val="21"/>
        </w:rPr>
        <w:t>unless</w:t>
      </w:r>
    </w:p>
    <w:p w14:paraId="4D46FB4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and ensured that Sub-contractors have, obtained the Relevant Certifications under Paragraph 13;</w:t>
      </w:r>
    </w:p>
    <w:p w14:paraId="3721DAC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completed an IT H</w:t>
      </w:r>
      <w:r>
        <w:rPr>
          <w:color w:val="000000"/>
          <w:sz w:val="21"/>
          <w:szCs w:val="21"/>
        </w:rPr>
        <w:t>ealth Check in accordance with Paragraph 12 of Appendix 1; and</w:t>
      </w:r>
    </w:p>
    <w:p w14:paraId="28D21EC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issued a Risk Management Approval Statement under Paragraph 16.2.</w:t>
      </w:r>
    </w:p>
    <w:p w14:paraId="1FF31A53"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Service Provider confirmation</w:t>
      </w:r>
    </w:p>
    <w:p w14:paraId="4C45A2D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 later than the last day of each Contract Year, provide to the </w:t>
      </w:r>
      <w:r>
        <w:rPr>
          <w:i/>
          <w:iCs/>
          <w:color w:val="000000"/>
          <w:sz w:val="21"/>
          <w:szCs w:val="21"/>
        </w:rPr>
        <w:t>Client</w:t>
      </w:r>
      <w:r>
        <w:rPr>
          <w:color w:val="000000"/>
          <w:sz w:val="21"/>
          <w:szCs w:val="21"/>
        </w:rPr>
        <w:t xml:space="preserve"> a letter from its chief executive officer (or equivalent officer) confirming that, having made due and careful enquiry:</w:t>
      </w:r>
    </w:p>
    <w:p w14:paraId="2683FC6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in the previous year carried out</w:t>
      </w:r>
      <w:r>
        <w:rPr>
          <w:color w:val="000000"/>
          <w:sz w:val="21"/>
          <w:szCs w:val="21"/>
        </w:rPr>
        <w:t xml:space="preserve"> all tests and has in place all procedures required in relation to security matters required by the Contract;</w:t>
      </w:r>
    </w:p>
    <w:p w14:paraId="3076B20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subject to Paragraph 7.2:</w:t>
      </w:r>
    </w:p>
    <w:p w14:paraId="5499136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it has fully complied with all requirements of this Schedule; and</w:t>
      </w:r>
    </w:p>
    <w:p w14:paraId="0F8B4F1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all Sub-contractors have complied with the requirements of this Schedule with which the </w:t>
      </w:r>
      <w:r>
        <w:rPr>
          <w:i/>
          <w:iCs/>
          <w:color w:val="000000"/>
          <w:sz w:val="21"/>
          <w:szCs w:val="21"/>
        </w:rPr>
        <w:t>Service Provider</w:t>
      </w:r>
      <w:r>
        <w:rPr>
          <w:color w:val="000000"/>
          <w:sz w:val="21"/>
          <w:szCs w:val="21"/>
        </w:rPr>
        <w:t xml:space="preserve"> is required to ensure they comply; and</w:t>
      </w:r>
    </w:p>
    <w:p w14:paraId="6E65B69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considers that its security and risk mitigation procedures remain effective.</w:t>
      </w:r>
    </w:p>
    <w:p w14:paraId="4F1A902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in respect of the period covered by the confirmation provided under Paragraph 7.1 agreed in writing that the </w:t>
      </w:r>
      <w:r>
        <w:rPr>
          <w:i/>
          <w:iCs/>
          <w:color w:val="000000"/>
          <w:sz w:val="21"/>
          <w:szCs w:val="21"/>
        </w:rPr>
        <w:t>Service Provider</w:t>
      </w:r>
      <w:r>
        <w:rPr>
          <w:color w:val="000000"/>
          <w:sz w:val="21"/>
          <w:szCs w:val="21"/>
        </w:rPr>
        <w:t xml:space="preserve"> need not, or need only partial</w:t>
      </w:r>
      <w:r>
        <w:rPr>
          <w:color w:val="000000"/>
          <w:sz w:val="21"/>
          <w:szCs w:val="21"/>
        </w:rPr>
        <w:t>ly, comply within any requirement of this Schedule:</w:t>
      </w:r>
    </w:p>
    <w:p w14:paraId="4919052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confirmation must include details of the </w:t>
      </w:r>
      <w:r>
        <w:rPr>
          <w:i/>
          <w:iCs/>
          <w:color w:val="000000"/>
          <w:sz w:val="21"/>
          <w:szCs w:val="21"/>
        </w:rPr>
        <w:t>Client’s</w:t>
      </w:r>
      <w:r>
        <w:rPr>
          <w:color w:val="000000"/>
          <w:sz w:val="21"/>
          <w:szCs w:val="21"/>
        </w:rPr>
        <w:t xml:space="preserve"> agreement; and</w:t>
      </w:r>
    </w:p>
    <w:p w14:paraId="5FE792F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confirm that the </w:t>
      </w:r>
      <w:r>
        <w:rPr>
          <w:i/>
          <w:iCs/>
          <w:color w:val="000000"/>
          <w:sz w:val="21"/>
          <w:szCs w:val="21"/>
        </w:rPr>
        <w:t>Service Provider</w:t>
      </w:r>
      <w:r>
        <w:rPr>
          <w:color w:val="000000"/>
          <w:sz w:val="21"/>
          <w:szCs w:val="21"/>
        </w:rPr>
        <w:t xml:space="preserve"> has fully complied with that modified requirement.</w:t>
      </w:r>
    </w:p>
    <w:p w14:paraId="51FDF9D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1766FE2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keep and maintain a reg</w:t>
      </w:r>
      <w:r>
        <w:rPr>
          <w:color w:val="000000"/>
          <w:sz w:val="21"/>
          <w:szCs w:val="21"/>
        </w:rPr>
        <w:t>ister setting out all agreements referred to in Paragraph 7.2; and</w:t>
      </w:r>
    </w:p>
    <w:p w14:paraId="653115D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a copy of that register to the </w:t>
      </w:r>
      <w:r>
        <w:rPr>
          <w:i/>
          <w:iCs/>
          <w:color w:val="000000"/>
          <w:sz w:val="21"/>
          <w:szCs w:val="21"/>
        </w:rPr>
        <w:t>Client</w:t>
      </w:r>
      <w:r>
        <w:rPr>
          <w:color w:val="000000"/>
          <w:sz w:val="21"/>
          <w:szCs w:val="21"/>
        </w:rPr>
        <w:t xml:space="preserve"> on request.</w:t>
      </w:r>
    </w:p>
    <w:p w14:paraId="271F42EE"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Governance, information sharing and co-operation</w:t>
      </w:r>
    </w:p>
    <w:p w14:paraId="755760ED"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Governance</w:t>
      </w:r>
    </w:p>
    <w:p w14:paraId="342E545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Paragraphs 8.1 to 8.8 apply where a Security Working Group, or Board, established under this Paragraph 8, with a similar remit, is not provided for otherwise in the Contract.</w:t>
      </w:r>
    </w:p>
    <w:p w14:paraId="70666B5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must establish a Security Working Group on which both the </w:t>
      </w:r>
      <w:r>
        <w:rPr>
          <w:i/>
          <w:iCs/>
          <w:color w:val="000000"/>
          <w:sz w:val="21"/>
          <w:szCs w:val="21"/>
        </w:rPr>
        <w:t>Client</w:t>
      </w:r>
      <w:r>
        <w:rPr>
          <w:color w:val="000000"/>
          <w:sz w:val="21"/>
          <w:szCs w:val="21"/>
        </w:rPr>
        <w:t xml:space="preserve"> and t</w:t>
      </w:r>
      <w:r>
        <w:rPr>
          <w:color w:val="000000"/>
          <w:sz w:val="21"/>
          <w:szCs w:val="21"/>
        </w:rPr>
        <w:t xml:space="preserve">he </w:t>
      </w:r>
      <w:r>
        <w:rPr>
          <w:i/>
          <w:iCs/>
          <w:color w:val="000000"/>
          <w:sz w:val="21"/>
          <w:szCs w:val="21"/>
        </w:rPr>
        <w:t>Service Provider</w:t>
      </w:r>
      <w:r>
        <w:rPr>
          <w:color w:val="000000"/>
          <w:sz w:val="21"/>
          <w:szCs w:val="21"/>
        </w:rPr>
        <w:t xml:space="preserve"> are represented.</w:t>
      </w:r>
    </w:p>
    <w:p w14:paraId="2430CB5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notice or other document establishing the Security Working Group must set out:</w:t>
      </w:r>
    </w:p>
    <w:p w14:paraId="7EF671D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members;</w:t>
      </w:r>
    </w:p>
    <w:p w14:paraId="4F7A5B1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members;</w:t>
      </w:r>
    </w:p>
    <w:p w14:paraId="240633E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chairperson of the Security Working Group;</w:t>
      </w:r>
    </w:p>
    <w:p w14:paraId="1D0168D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date of the first meeting;</w:t>
      </w:r>
    </w:p>
    <w:p w14:paraId="5A1F4CE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frequency of meetings; and</w:t>
      </w:r>
    </w:p>
    <w:p w14:paraId="7DD71DF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location of meetings</w:t>
      </w:r>
    </w:p>
    <w:p w14:paraId="40A5DFA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Security Working Group has oversight of all matters relating to the security of the Government Data and the Service Pr</w:t>
      </w:r>
      <w:r>
        <w:rPr>
          <w:color w:val="000000"/>
          <w:sz w:val="21"/>
          <w:szCs w:val="21"/>
        </w:rPr>
        <w:t>ovider Information Management System.</w:t>
      </w:r>
    </w:p>
    <w:p w14:paraId="3681EFC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Security Working Group meets:</w:t>
      </w:r>
    </w:p>
    <w:p w14:paraId="31D92EB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at least once every three months; and</w:t>
      </w:r>
    </w:p>
    <w:p w14:paraId="73E0FE0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additionally when required by the </w:t>
      </w:r>
      <w:r>
        <w:rPr>
          <w:i/>
          <w:iCs/>
          <w:color w:val="000000"/>
          <w:sz w:val="21"/>
          <w:szCs w:val="21"/>
        </w:rPr>
        <w:t>Client</w:t>
      </w:r>
      <w:r>
        <w:rPr>
          <w:color w:val="000000"/>
          <w:sz w:val="21"/>
          <w:szCs w:val="21"/>
        </w:rPr>
        <w:t>.</w:t>
      </w:r>
    </w:p>
    <w:p w14:paraId="197D9E6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the Service Provider Staff attending each meeting of the Security </w:t>
      </w:r>
      <w:r>
        <w:rPr>
          <w:color w:val="000000"/>
          <w:sz w:val="21"/>
          <w:szCs w:val="21"/>
        </w:rPr>
        <w:t>Working Group:</w:t>
      </w:r>
    </w:p>
    <w:p w14:paraId="0332525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have sufficient knowledge and experience to contribute to the discussion of the matters on the agenda for the meeting;</w:t>
      </w:r>
    </w:p>
    <w:p w14:paraId="3C8DE90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are authorised to make decisions that are binding on the </w:t>
      </w:r>
      <w:r>
        <w:rPr>
          <w:i/>
          <w:iCs/>
          <w:color w:val="000000"/>
          <w:sz w:val="21"/>
          <w:szCs w:val="21"/>
        </w:rPr>
        <w:t>Service Provider</w:t>
      </w:r>
      <w:r>
        <w:rPr>
          <w:color w:val="000000"/>
          <w:sz w:val="21"/>
          <w:szCs w:val="21"/>
        </w:rPr>
        <w:t xml:space="preserve"> in respect of those matters, including any decis</w:t>
      </w:r>
      <w:r>
        <w:rPr>
          <w:color w:val="000000"/>
          <w:sz w:val="21"/>
          <w:szCs w:val="21"/>
        </w:rPr>
        <w:t xml:space="preserve">ions that require expenditure or investment by the </w:t>
      </w:r>
      <w:r>
        <w:rPr>
          <w:i/>
          <w:iCs/>
          <w:color w:val="000000"/>
          <w:sz w:val="21"/>
          <w:szCs w:val="21"/>
        </w:rPr>
        <w:t>Service Provider</w:t>
      </w:r>
      <w:r>
        <w:rPr>
          <w:color w:val="000000"/>
          <w:sz w:val="21"/>
          <w:szCs w:val="21"/>
        </w:rPr>
        <w:t>; and</w:t>
      </w:r>
    </w:p>
    <w:p w14:paraId="2B30F94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relevant to the matters on the agenda for the meeting, include representatives of relevant Sub-contractors.</w:t>
      </w:r>
    </w:p>
    <w:p w14:paraId="10D7D37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Any decisions, recommendations or advice of the Security Working Grou</w:t>
      </w:r>
      <w:r>
        <w:rPr>
          <w:color w:val="000000"/>
          <w:sz w:val="21"/>
          <w:szCs w:val="21"/>
        </w:rPr>
        <w:t>p:</w:t>
      </w:r>
    </w:p>
    <w:p w14:paraId="42D8385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are binding on the </w:t>
      </w:r>
      <w:r>
        <w:rPr>
          <w:i/>
          <w:iCs/>
          <w:color w:val="000000"/>
          <w:sz w:val="21"/>
          <w:szCs w:val="21"/>
        </w:rPr>
        <w:t>Service Provider</w:t>
      </w:r>
      <w:r>
        <w:rPr>
          <w:color w:val="000000"/>
          <w:sz w:val="21"/>
          <w:szCs w:val="21"/>
        </w:rPr>
        <w:t>, unless:</w:t>
      </w:r>
    </w:p>
    <w:p w14:paraId="7BF5958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agrees otherwise; or</w:t>
      </w:r>
    </w:p>
    <w:p w14:paraId="1777346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decision, recommendation or advice of the Security Working Group imposes on the </w:t>
      </w:r>
      <w:r>
        <w:rPr>
          <w:i/>
          <w:iCs/>
          <w:color w:val="000000"/>
          <w:sz w:val="21"/>
          <w:szCs w:val="21"/>
        </w:rPr>
        <w:t>Service Provider</w:t>
      </w:r>
      <w:r>
        <w:rPr>
          <w:color w:val="000000"/>
          <w:sz w:val="21"/>
          <w:szCs w:val="21"/>
        </w:rPr>
        <w:t xml:space="preserve"> more onerous requirements than those provided for in this Schedule; and</w:t>
      </w:r>
    </w:p>
    <w:p w14:paraId="5322997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do not limit or modify the </w:t>
      </w:r>
      <w:r>
        <w:rPr>
          <w:i/>
          <w:iCs/>
          <w:color w:val="000000"/>
          <w:sz w:val="21"/>
          <w:szCs w:val="21"/>
        </w:rPr>
        <w:t>Service Provider’s</w:t>
      </w:r>
      <w:r>
        <w:rPr>
          <w:color w:val="000000"/>
          <w:sz w:val="21"/>
          <w:szCs w:val="21"/>
        </w:rPr>
        <w:t xml:space="preserve"> responsibilities under this Schedule.</w:t>
      </w:r>
    </w:p>
    <w:p w14:paraId="7165D3E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Appendix 3 applies to the Security Working Group.</w:t>
      </w:r>
    </w:p>
    <w:p w14:paraId="6A7F19CF"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Staff</w:t>
      </w:r>
    </w:p>
    <w:p w14:paraId="290E12C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at all times it maintains within the Service Provider Staff sufficient numbers of qualified, skilled security professionals to ensure the </w:t>
      </w:r>
      <w:r>
        <w:rPr>
          <w:i/>
          <w:iCs/>
          <w:color w:val="000000"/>
          <w:sz w:val="21"/>
          <w:szCs w:val="21"/>
        </w:rPr>
        <w:t>Service Provider</w:t>
      </w:r>
      <w:r>
        <w:rPr>
          <w:color w:val="000000"/>
          <w:sz w:val="21"/>
          <w:szCs w:val="21"/>
        </w:rPr>
        <w:t xml:space="preserve"> complies with the requirements of this Schedule.</w:t>
      </w:r>
    </w:p>
    <w:p w14:paraId="1BF2804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appoint:</w:t>
      </w:r>
    </w:p>
    <w:p w14:paraId="413021E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senior individual within its organisation with accountability for managing security risks and the Service</w:t>
      </w:r>
      <w:r>
        <w:rPr>
          <w:i/>
          <w:iCs/>
          <w:color w:val="000000"/>
          <w:sz w:val="21"/>
          <w:szCs w:val="21"/>
        </w:rPr>
        <w:t xml:space="preserve"> Provider’s</w:t>
      </w:r>
      <w:r>
        <w:rPr>
          <w:color w:val="000000"/>
          <w:sz w:val="21"/>
          <w:szCs w:val="21"/>
        </w:rPr>
        <w:t xml:space="preserve"> implementation of the requirements of this Schedule; and</w:t>
      </w:r>
    </w:p>
    <w:p w14:paraId="6E9142E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senior individual within the team responsible for the delivery of the Service</w:t>
      </w:r>
      <w:r>
        <w:rPr>
          <w:color w:val="000000"/>
          <w:sz w:val="21"/>
          <w:szCs w:val="21"/>
        </w:rPr>
        <w:t>s with responsibility for managing the security risks to the Service Provider Information Management System.</w:t>
      </w:r>
    </w:p>
    <w:p w14:paraId="55C17E2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individuals appointed under Paragraph 9.2 must have sufficient experience, knowledge and authority to undertake their roles effectively.</w:t>
      </w:r>
    </w:p>
    <w:p w14:paraId="7B1161F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w:t>
      </w:r>
      <w:r>
        <w:rPr>
          <w:i/>
          <w:iCs/>
          <w:color w:val="000000"/>
          <w:sz w:val="21"/>
          <w:szCs w:val="21"/>
        </w:rPr>
        <w:t>rvice Provider</w:t>
      </w:r>
      <w:r>
        <w:rPr>
          <w:color w:val="000000"/>
          <w:sz w:val="21"/>
          <w:szCs w:val="21"/>
        </w:rPr>
        <w:t xml:space="preserve"> must review, and if necessary replace, the individuals appointed under Paragraph 9.2 if required to do so by the </w:t>
      </w:r>
      <w:r>
        <w:rPr>
          <w:i/>
          <w:iCs/>
          <w:color w:val="000000"/>
          <w:sz w:val="21"/>
          <w:szCs w:val="21"/>
        </w:rPr>
        <w:t>Client</w:t>
      </w:r>
      <w:r>
        <w:rPr>
          <w:color w:val="000000"/>
          <w:sz w:val="21"/>
          <w:szCs w:val="21"/>
        </w:rPr>
        <w:t>.</w:t>
      </w:r>
    </w:p>
    <w:p w14:paraId="64E89C6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To facilitate:</w:t>
      </w:r>
    </w:p>
    <w:p w14:paraId="4AC5A49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oversight of the Service Provider Information Management System; and</w:t>
      </w:r>
    </w:p>
    <w:p w14:paraId="1B48080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Provider's</w:t>
      </w:r>
      <w:r>
        <w:rPr>
          <w:color w:val="000000"/>
          <w:sz w:val="21"/>
          <w:szCs w:val="21"/>
        </w:rPr>
        <w:t xml:space="preserve"> </w:t>
      </w:r>
      <w:r>
        <w:rPr>
          <w:color w:val="000000"/>
          <w:sz w:val="21"/>
          <w:szCs w:val="21"/>
        </w:rPr>
        <w:t xml:space="preserve">design, implementation, operation, management and continual improvement of the Security Management Plan and the security of the </w:t>
      </w:r>
      <w:r>
        <w:rPr>
          <w:i/>
          <w:iCs/>
          <w:color w:val="000000"/>
          <w:sz w:val="21"/>
          <w:szCs w:val="21"/>
        </w:rPr>
        <w:t>services</w:t>
      </w:r>
      <w:r>
        <w:rPr>
          <w:color w:val="000000"/>
          <w:sz w:val="21"/>
          <w:szCs w:val="21"/>
        </w:rPr>
        <w:t xml:space="preserve"> and Service Provider Information Management System and otherwise,</w:t>
      </w:r>
    </w:p>
    <w:p w14:paraId="3568BFD9" w14:textId="77777777" w:rsidR="007960A8" w:rsidRDefault="00A26397">
      <w:pPr>
        <w:widowControl/>
        <w:pBdr>
          <w:top w:val="nil"/>
          <w:left w:val="nil"/>
          <w:bottom w:val="nil"/>
          <w:right w:val="nil"/>
          <w:between w:val="nil"/>
        </w:pBdr>
        <w:spacing w:after="120" w:line="480" w:lineRule="auto"/>
        <w:ind w:left="720" w:firstLine="720"/>
        <w:jc w:val="both"/>
        <w:rPr>
          <w:color w:val="000000"/>
          <w:sz w:val="21"/>
          <w:szCs w:val="21"/>
        </w:rPr>
      </w:pPr>
      <w:r>
        <w:rPr>
          <w:color w:val="000000"/>
          <w:sz w:val="21"/>
          <w:szCs w:val="21"/>
        </w:rPr>
        <w:t>at reasonable times and on reasonable notice:</w:t>
      </w:r>
    </w:p>
    <w:p w14:paraId="0E94B05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provide access to the Service Provider Staff responsible for information assurance; and</w:t>
      </w:r>
    </w:p>
    <w:p w14:paraId="793EB30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shall provide access to its staff responsible for information assurance.</w:t>
      </w:r>
    </w:p>
    <w:p w14:paraId="75670C2D"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Sub-contractors</w:t>
      </w:r>
    </w:p>
    <w:p w14:paraId="0D4B054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Paragraphs 10.2 to 10.4 are subject to Paragraph 5.4.</w:t>
      </w:r>
    </w:p>
    <w:p w14:paraId="121609B3"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SIMS Sub-contractor</w:t>
      </w:r>
    </w:p>
    <w:p w14:paraId="727EE58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 SIMS Sub-contractor shall be treated for all purposes as a Key Subcontractor.</w:t>
      </w:r>
    </w:p>
    <w:p w14:paraId="093758A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addition to the obligations imposed by the Contract on Key Subcontractors, the </w:t>
      </w:r>
      <w:r>
        <w:rPr>
          <w:i/>
          <w:iCs/>
          <w:color w:val="000000"/>
          <w:sz w:val="21"/>
          <w:szCs w:val="21"/>
        </w:rPr>
        <w:t>Service Provider</w:t>
      </w:r>
      <w:r>
        <w:rPr>
          <w:color w:val="000000"/>
          <w:sz w:val="21"/>
          <w:szCs w:val="21"/>
        </w:rPr>
        <w:t xml:space="preserve"> must ensure that the Key Sub-Contract with each SIMS Sub-contractor contains obligations no less onerous on the Key Subcontractor than those imposed on the </w:t>
      </w:r>
      <w:r>
        <w:rPr>
          <w:i/>
          <w:iCs/>
          <w:color w:val="000000"/>
          <w:sz w:val="21"/>
          <w:szCs w:val="21"/>
        </w:rPr>
        <w:t>S</w:t>
      </w:r>
      <w:r>
        <w:rPr>
          <w:i/>
          <w:iCs/>
          <w:color w:val="000000"/>
          <w:sz w:val="21"/>
          <w:szCs w:val="21"/>
        </w:rPr>
        <w:t>ervice Provider</w:t>
      </w:r>
      <w:r>
        <w:rPr>
          <w:color w:val="000000"/>
          <w:sz w:val="21"/>
          <w:szCs w:val="21"/>
        </w:rPr>
        <w:t xml:space="preserve"> under this Schedule.</w:t>
      </w:r>
    </w:p>
    <w:p w14:paraId="2B511A4C"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Sub-contractors</w:t>
      </w:r>
    </w:p>
    <w:p w14:paraId="616A935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before entering into a binding Sub Contract with any Sub-contractor:</w:t>
      </w:r>
    </w:p>
    <w:p w14:paraId="50A3B0F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undertake sufficient due diligence of the proposed Sub-contractor to provide reasonable assurance that the </w:t>
      </w:r>
      <w:r>
        <w:rPr>
          <w:color w:val="000000"/>
          <w:sz w:val="21"/>
          <w:szCs w:val="21"/>
        </w:rPr>
        <w:t xml:space="preserve">proposed Sub-contractor can perform the obligations that this Schedule requires the </w:t>
      </w:r>
      <w:r>
        <w:rPr>
          <w:i/>
          <w:iCs/>
          <w:color w:val="000000"/>
          <w:sz w:val="21"/>
          <w:szCs w:val="21"/>
        </w:rPr>
        <w:t>Service Provider</w:t>
      </w:r>
      <w:r>
        <w:rPr>
          <w:color w:val="000000"/>
          <w:sz w:val="21"/>
          <w:szCs w:val="21"/>
        </w:rPr>
        <w:t xml:space="preserve"> ensure that the proposed Sub-contractor performs;</w:t>
      </w:r>
    </w:p>
    <w:p w14:paraId="32C8182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keeps adequate records of the due diligence it has undertaken in respect of the proposed Sub-contractors;</w:t>
      </w:r>
      <w:r>
        <w:rPr>
          <w:color w:val="000000"/>
          <w:sz w:val="21"/>
          <w:szCs w:val="21"/>
        </w:rPr>
        <w:t xml:space="preserve"> and</w:t>
      </w:r>
    </w:p>
    <w:p w14:paraId="415404C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provides those records to the </w:t>
      </w:r>
      <w:r>
        <w:rPr>
          <w:i/>
          <w:iCs/>
          <w:color w:val="000000"/>
          <w:sz w:val="21"/>
          <w:szCs w:val="21"/>
        </w:rPr>
        <w:t>Client</w:t>
      </w:r>
      <w:r>
        <w:rPr>
          <w:color w:val="000000"/>
          <w:sz w:val="21"/>
          <w:szCs w:val="21"/>
        </w:rPr>
        <w:t xml:space="preserve"> on request.</w:t>
      </w:r>
    </w:p>
    <w:p w14:paraId="4F495536"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Key Subcontractor Default</w:t>
      </w:r>
    </w:p>
    <w:p w14:paraId="4B56D48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becomes aware of an actual or suspected failure by a Key Subcontractor to comply with any obligation in this Schedule with which the </w:t>
      </w:r>
      <w:r>
        <w:rPr>
          <w:i/>
          <w:iCs/>
          <w:color w:val="000000"/>
          <w:sz w:val="21"/>
          <w:szCs w:val="21"/>
        </w:rPr>
        <w:t>Service Provider</w:t>
      </w:r>
      <w:r>
        <w:rPr>
          <w:color w:val="000000"/>
          <w:sz w:val="21"/>
          <w:szCs w:val="21"/>
        </w:rPr>
        <w:t xml:space="preserve"> is, by virtue of Paragraph 5.2.2, required to ensure the Key Subcontractor complies (Key Subcontractor De</w:t>
      </w:r>
      <w:r>
        <w:rPr>
          <w:color w:val="000000"/>
          <w:sz w:val="21"/>
          <w:szCs w:val="21"/>
        </w:rPr>
        <w:t xml:space="preserve">fault), the </w:t>
      </w:r>
      <w:r>
        <w:rPr>
          <w:i/>
          <w:iCs/>
          <w:color w:val="000000"/>
          <w:sz w:val="21"/>
          <w:szCs w:val="21"/>
        </w:rPr>
        <w:t>Service Provider</w:t>
      </w:r>
      <w:r>
        <w:rPr>
          <w:color w:val="000000"/>
          <w:sz w:val="21"/>
          <w:szCs w:val="21"/>
        </w:rPr>
        <w:t xml:space="preserve"> must:</w:t>
      </w:r>
    </w:p>
    <w:p w14:paraId="5D25208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as soon as reasonably practicable and in any event within two Working days of becoming aware of the Key Subcontractor Default notify the </w:t>
      </w:r>
      <w:r>
        <w:rPr>
          <w:i/>
          <w:iCs/>
          <w:color w:val="000000"/>
          <w:sz w:val="21"/>
          <w:szCs w:val="21"/>
        </w:rPr>
        <w:t>Client</w:t>
      </w:r>
      <w:r>
        <w:rPr>
          <w:color w:val="000000"/>
          <w:sz w:val="21"/>
          <w:szCs w:val="21"/>
        </w:rPr>
        <w:t xml:space="preserve"> setting out the actual or anticipated effect of the Key Subcontractor Default</w:t>
      </w:r>
      <w:r>
        <w:rPr>
          <w:color w:val="000000"/>
          <w:sz w:val="21"/>
          <w:szCs w:val="21"/>
        </w:rPr>
        <w:t>; and</w:t>
      </w:r>
    </w:p>
    <w:p w14:paraId="745EC0A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unless the </w:t>
      </w:r>
      <w:r>
        <w:rPr>
          <w:i/>
          <w:iCs/>
          <w:color w:val="000000"/>
          <w:sz w:val="21"/>
          <w:szCs w:val="21"/>
        </w:rPr>
        <w:t>Client</w:t>
      </w:r>
      <w:r>
        <w:rPr>
          <w:color w:val="000000"/>
          <w:sz w:val="21"/>
          <w:szCs w:val="21"/>
        </w:rPr>
        <w:t xml:space="preserve"> waives the requirement, comply with the Remediation Action Plan process in Paragraph 18.</w:t>
      </w:r>
    </w:p>
    <w:p w14:paraId="7212858F"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Service Provider Information Management System</w:t>
      </w:r>
    </w:p>
    <w:p w14:paraId="4B9AC18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determine:</w:t>
      </w:r>
    </w:p>
    <w:p w14:paraId="0B0008C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scope and component parts of the Service Provider Information Management System; and</w:t>
      </w:r>
    </w:p>
    <w:p w14:paraId="1B5D89D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boundary between the Service Provider Information Management System and the Wider Information Management System.</w:t>
      </w:r>
    </w:p>
    <w:p w14:paraId="6E7EDFB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Before making its determination under Paragraph 11</w:t>
      </w:r>
      <w:r>
        <w:rPr>
          <w:color w:val="000000"/>
          <w:sz w:val="21"/>
          <w:szCs w:val="21"/>
        </w:rPr>
        <w:t xml:space="preserve">.1, the </w:t>
      </w:r>
      <w:r>
        <w:rPr>
          <w:i/>
          <w:iCs/>
          <w:color w:val="000000"/>
          <w:sz w:val="21"/>
          <w:szCs w:val="21"/>
        </w:rPr>
        <w:t>Service Provider</w:t>
      </w:r>
      <w:r>
        <w:rPr>
          <w:color w:val="000000"/>
          <w:sz w:val="21"/>
          <w:szCs w:val="21"/>
        </w:rPr>
        <w:t xml:space="preserve"> must consult with the </w:t>
      </w:r>
      <w:r>
        <w:rPr>
          <w:i/>
          <w:iCs/>
          <w:color w:val="000000"/>
          <w:sz w:val="21"/>
          <w:szCs w:val="21"/>
        </w:rPr>
        <w:t>Client</w:t>
      </w:r>
      <w:r>
        <w:rPr>
          <w:color w:val="000000"/>
          <w:sz w:val="21"/>
          <w:szCs w:val="21"/>
        </w:rPr>
        <w:t xml:space="preserve"> and in doing so must provide the </w:t>
      </w:r>
      <w:r>
        <w:rPr>
          <w:i/>
          <w:iCs/>
          <w:color w:val="000000"/>
          <w:sz w:val="21"/>
          <w:szCs w:val="21"/>
        </w:rPr>
        <w:t>Client</w:t>
      </w:r>
      <w:r>
        <w:rPr>
          <w:color w:val="000000"/>
          <w:sz w:val="21"/>
          <w:szCs w:val="21"/>
        </w:rPr>
        <w:t xml:space="preserve"> with such documentation and information that the </w:t>
      </w:r>
      <w:r>
        <w:rPr>
          <w:i/>
          <w:iCs/>
          <w:color w:val="000000"/>
          <w:sz w:val="21"/>
          <w:szCs w:val="21"/>
        </w:rPr>
        <w:t>Client</w:t>
      </w:r>
      <w:r>
        <w:rPr>
          <w:color w:val="000000"/>
          <w:sz w:val="21"/>
          <w:szCs w:val="21"/>
        </w:rPr>
        <w:t xml:space="preserve"> may require regarding the Wider Information Management System.</w:t>
      </w:r>
    </w:p>
    <w:p w14:paraId="145A4A8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reproduce its de</w:t>
      </w:r>
      <w:r>
        <w:rPr>
          <w:color w:val="000000"/>
          <w:sz w:val="21"/>
          <w:szCs w:val="21"/>
        </w:rPr>
        <w:t>cision under Paragraph 11.1 as a diagram documenting the components and systems forming part of, and the boundary between, the Service Provider Information Management System and the Wider Information Management System.</w:t>
      </w:r>
    </w:p>
    <w:p w14:paraId="66EAC47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diagram prepared under Paragraph </w:t>
      </w:r>
      <w:r>
        <w:rPr>
          <w:color w:val="000000"/>
          <w:sz w:val="21"/>
          <w:szCs w:val="21"/>
        </w:rPr>
        <w:t>11.3 forms part of the Security Management Plan.</w:t>
      </w:r>
    </w:p>
    <w:p w14:paraId="5780AAE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Any proposed change to:</w:t>
      </w:r>
    </w:p>
    <w:p w14:paraId="7E29424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component parts of the Service Provider Information Management System; or</w:t>
      </w:r>
    </w:p>
    <w:p w14:paraId="0FE14A6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boundary between the Service Provider Information Management System and the Wider Information Management System,</w:t>
      </w:r>
    </w:p>
    <w:p w14:paraId="50F047BB"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requires:</w:t>
      </w:r>
    </w:p>
    <w:p w14:paraId="2CFCA38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approval by the </w:t>
      </w:r>
      <w:r>
        <w:rPr>
          <w:i/>
          <w:iCs/>
          <w:color w:val="000000"/>
          <w:sz w:val="21"/>
          <w:szCs w:val="21"/>
        </w:rPr>
        <w:t>Client</w:t>
      </w:r>
      <w:r>
        <w:rPr>
          <w:color w:val="000000"/>
          <w:sz w:val="21"/>
          <w:szCs w:val="21"/>
        </w:rPr>
        <w:t xml:space="preserve"> under Paragraph 17; and</w:t>
      </w:r>
    </w:p>
    <w:p w14:paraId="73196C2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require the appointment of an Independent Security Adviser to advis</w:t>
      </w:r>
      <w:r>
        <w:rPr>
          <w:color w:val="000000"/>
          <w:sz w:val="21"/>
          <w:szCs w:val="21"/>
        </w:rPr>
        <w:t>e on the proposed change.</w:t>
      </w:r>
    </w:p>
    <w:p w14:paraId="3156B0F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Any change in respect of Paragraph 11.5, if implemented, shall be a Compensation Event.</w:t>
      </w:r>
    </w:p>
    <w:p w14:paraId="65CEDDCC"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Government Data Handled using Service Provider Information Management System</w:t>
      </w:r>
    </w:p>
    <w:p w14:paraId="4C1FC98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acknowledges that the Service Provider Information Management System:</w:t>
      </w:r>
    </w:p>
    <w:p w14:paraId="7A841C6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intended only for the Handling of Government Data that is classified as OFFICIAL; and</w:t>
      </w:r>
    </w:p>
    <w:p w14:paraId="3941C69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not intended for the Handling of Government Data that is classified as SECRET or TOP SECRET,</w:t>
      </w:r>
    </w:p>
    <w:p w14:paraId="2B6CC41C"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in each case using the Government Security Classification Policy.</w:t>
      </w:r>
    </w:p>
    <w:p w14:paraId="06AC289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159CCD3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not alter the classification of any Government Data; and</w:t>
      </w:r>
    </w:p>
    <w:p w14:paraId="3B7A8E7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if it becomes aware that any Government Data classified as SECRET or TOP SECRET is being Handled using the</w:t>
      </w:r>
      <w:r>
        <w:rPr>
          <w:color w:val="000000"/>
          <w:sz w:val="21"/>
          <w:szCs w:val="21"/>
        </w:rPr>
        <w:t xml:space="preserve"> Service Provider Information Management System:</w:t>
      </w:r>
    </w:p>
    <w:p w14:paraId="67B7C43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immediately inform the </w:t>
      </w:r>
      <w:r>
        <w:rPr>
          <w:i/>
          <w:iCs/>
          <w:color w:val="000000"/>
          <w:sz w:val="21"/>
          <w:szCs w:val="21"/>
        </w:rPr>
        <w:t>Client</w:t>
      </w:r>
      <w:r>
        <w:rPr>
          <w:color w:val="000000"/>
          <w:sz w:val="21"/>
          <w:szCs w:val="21"/>
        </w:rPr>
        <w:t>; and</w:t>
      </w:r>
    </w:p>
    <w:p w14:paraId="0FEE73A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follow any instructions from the </w:t>
      </w:r>
      <w:r>
        <w:rPr>
          <w:i/>
          <w:iCs/>
          <w:color w:val="000000"/>
          <w:sz w:val="21"/>
          <w:szCs w:val="21"/>
        </w:rPr>
        <w:t>Client</w:t>
      </w:r>
      <w:r>
        <w:rPr>
          <w:color w:val="000000"/>
          <w:sz w:val="21"/>
          <w:szCs w:val="21"/>
        </w:rPr>
        <w:t xml:space="preserve"> concerning that Government Data.</w:t>
      </w:r>
    </w:p>
    <w:p w14:paraId="49D79E1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Sub-contractors and Service Provider Staff, when Handling Government Data, comply with:</w:t>
      </w:r>
    </w:p>
    <w:p w14:paraId="6FD7C8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Expected Behaviours; and</w:t>
      </w:r>
    </w:p>
    <w:p w14:paraId="4427EDB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Security Controls.</w:t>
      </w:r>
    </w:p>
    <w:p w14:paraId="4AD797A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Where there is a conflict between the Expected Behaviours or the Security Controls and t</w:t>
      </w:r>
      <w:r>
        <w:rPr>
          <w:color w:val="000000"/>
          <w:sz w:val="21"/>
          <w:szCs w:val="21"/>
        </w:rPr>
        <w:t>his Schedule the provisions of this Schedule shall apply to the extent of any conflict.</w:t>
      </w:r>
    </w:p>
    <w:p w14:paraId="4BE23D35"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Certification Requirements</w:t>
      </w:r>
    </w:p>
    <w:p w14:paraId="4152FC0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ensure that, unless otherwise agreed by the </w:t>
      </w:r>
      <w:r>
        <w:rPr>
          <w:i/>
          <w:iCs/>
          <w:color w:val="000000"/>
          <w:sz w:val="21"/>
          <w:szCs w:val="21"/>
        </w:rPr>
        <w:t>Client</w:t>
      </w:r>
      <w:r>
        <w:rPr>
          <w:color w:val="000000"/>
          <w:sz w:val="21"/>
          <w:szCs w:val="21"/>
        </w:rPr>
        <w:t>, both:</w:t>
      </w:r>
    </w:p>
    <w:p w14:paraId="279BC0A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it; and</w:t>
      </w:r>
    </w:p>
    <w:p w14:paraId="1D3BC42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SIMS Sub-contractor, any Key Subcontractor, any Higher-risk Sub-contractor and any Medium-risk Sub-contractor,</w:t>
      </w:r>
    </w:p>
    <w:p w14:paraId="18DFF591"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are certified as compliant with the Relevant Certifications, that is to say:</w:t>
      </w:r>
    </w:p>
    <w:p w14:paraId="62DC6B6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 the case of the </w:t>
      </w:r>
      <w:r>
        <w:rPr>
          <w:i/>
          <w:iCs/>
          <w:color w:val="000000"/>
          <w:sz w:val="21"/>
          <w:szCs w:val="21"/>
        </w:rPr>
        <w:t>Service Provider</w:t>
      </w:r>
      <w:r>
        <w:rPr>
          <w:color w:val="000000"/>
          <w:sz w:val="21"/>
          <w:szCs w:val="21"/>
        </w:rPr>
        <w:t>, any SIMS Sub-contractor and any Key Subcontractor:</w:t>
      </w:r>
    </w:p>
    <w:p w14:paraId="3D11434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either:</w:t>
      </w:r>
    </w:p>
    <w:p w14:paraId="5A4FEEF6"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an ISO Certification in respect of the Service Provider Information Management System; or</w:t>
      </w:r>
    </w:p>
    <w:p w14:paraId="478F3539"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where the Service Provider Information Management System is included within the scope of a wider ISO Certification, that ISO Certification; and</w:t>
      </w:r>
    </w:p>
    <w:p w14:paraId="5BF9AE1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Cyber Essentials Plus;</w:t>
      </w:r>
    </w:p>
    <w:p w14:paraId="14986ECB" w14:textId="77777777" w:rsidR="007960A8" w:rsidRDefault="00A26397">
      <w:pPr>
        <w:widowControl/>
        <w:pBdr>
          <w:top w:val="nil"/>
          <w:left w:val="nil"/>
          <w:bottom w:val="nil"/>
          <w:right w:val="nil"/>
          <w:between w:val="nil"/>
        </w:pBdr>
        <w:spacing w:after="120" w:line="480" w:lineRule="auto"/>
        <w:ind w:left="1797" w:firstLine="720"/>
        <w:jc w:val="both"/>
        <w:rPr>
          <w:color w:val="000000"/>
          <w:sz w:val="21"/>
          <w:szCs w:val="21"/>
        </w:rPr>
      </w:pPr>
      <w:r>
        <w:rPr>
          <w:color w:val="000000"/>
          <w:sz w:val="21"/>
          <w:szCs w:val="21"/>
        </w:rPr>
        <w:t>(or equivalent); and</w:t>
      </w:r>
    </w:p>
    <w:p w14:paraId="36DF0B5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 the case of any Higher-risk Sub-contractor, either:</w:t>
      </w:r>
    </w:p>
    <w:p w14:paraId="25C28E7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 ISO Certification in respect of that part of the Service Provider Information Management System provided by the Higher-risk Sub-contractor; or</w:t>
      </w:r>
    </w:p>
    <w:p w14:paraId="33DFB21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that part of the Service Provider Information Management System provided by the Higher-risk Sub-contract</w:t>
      </w:r>
      <w:r>
        <w:rPr>
          <w:color w:val="000000"/>
          <w:sz w:val="21"/>
          <w:szCs w:val="21"/>
        </w:rPr>
        <w:t>or is included within the scope of a wider ISO Certification, that ISO Certification; or</w:t>
      </w:r>
    </w:p>
    <w:p w14:paraId="27BED2F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Cyber Essentials Plus; and</w:t>
      </w:r>
    </w:p>
    <w:p w14:paraId="5EAF848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 the case of any Medium-risk Sub-contractor, Cyber Essentials (or equivalent).</w:t>
      </w:r>
    </w:p>
    <w:p w14:paraId="0E7BF72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Unless otherwise agreed by the </w:t>
      </w:r>
      <w:r>
        <w:rPr>
          <w:i/>
          <w:iCs/>
          <w:color w:val="000000"/>
          <w:sz w:val="21"/>
          <w:szCs w:val="21"/>
        </w:rPr>
        <w:t>Client</w:t>
      </w:r>
      <w:r>
        <w:rPr>
          <w:color w:val="000000"/>
          <w:sz w:val="21"/>
          <w:szCs w:val="21"/>
        </w:rPr>
        <w:t xml:space="preserve">, before it begins to </w:t>
      </w:r>
      <w:r>
        <w:rPr>
          <w:color w:val="000000"/>
          <w:sz w:val="21"/>
          <w:szCs w:val="21"/>
        </w:rPr>
        <w:t xml:space="preserve">provide the </w:t>
      </w:r>
      <w:r>
        <w:rPr>
          <w:i/>
          <w:iCs/>
          <w:color w:val="000000"/>
          <w:sz w:val="21"/>
          <w:szCs w:val="21"/>
        </w:rPr>
        <w:t>services</w:t>
      </w:r>
      <w:r>
        <w:rPr>
          <w:color w:val="000000"/>
          <w:sz w:val="21"/>
          <w:szCs w:val="21"/>
        </w:rPr>
        <w:t xml:space="preserve">, the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with a copy of:</w:t>
      </w:r>
    </w:p>
    <w:p w14:paraId="44C4566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Relevant Certifications for it and any Sub-contractor; and</w:t>
      </w:r>
    </w:p>
    <w:p w14:paraId="3B34583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relevant scope and statement of applicability required under the ISO/IEC 27001 Relevant Certifications.</w:t>
      </w:r>
    </w:p>
    <w:p w14:paraId="6229B7F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w:t>
      </w:r>
      <w:r>
        <w:rPr>
          <w:color w:val="000000"/>
          <w:sz w:val="21"/>
          <w:szCs w:val="21"/>
        </w:rPr>
        <w:t xml:space="preserve">e </w:t>
      </w:r>
      <w:r>
        <w:rPr>
          <w:i/>
          <w:iCs/>
          <w:color w:val="000000"/>
          <w:sz w:val="21"/>
          <w:szCs w:val="21"/>
        </w:rPr>
        <w:t>Service</w:t>
      </w:r>
      <w:r>
        <w:rPr>
          <w:color w:val="000000"/>
          <w:sz w:val="21"/>
          <w:szCs w:val="21"/>
        </w:rPr>
        <w:t xml:space="preserve"> Provider must ensure that at the time it begins to provide the </w:t>
      </w:r>
      <w:r>
        <w:rPr>
          <w:i/>
          <w:iCs/>
          <w:color w:val="000000"/>
          <w:sz w:val="21"/>
          <w:szCs w:val="21"/>
        </w:rPr>
        <w:t>services</w:t>
      </w:r>
      <w:r>
        <w:rPr>
          <w:color w:val="000000"/>
          <w:sz w:val="21"/>
          <w:szCs w:val="21"/>
        </w:rPr>
        <w:t>, the Relevant Certifications for it and any Sub-contractor are:</w:t>
      </w:r>
    </w:p>
    <w:p w14:paraId="75831AC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currently in effect;</w:t>
      </w:r>
    </w:p>
    <w:p w14:paraId="41A6356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together cover at least the full scope of the Service Provider Information Management System; and</w:t>
      </w:r>
    </w:p>
    <w:p w14:paraId="205BA1C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are not subject to any condition that may impact the provision of the </w:t>
      </w:r>
      <w:r>
        <w:rPr>
          <w:i/>
          <w:iCs/>
          <w:color w:val="000000"/>
          <w:sz w:val="21"/>
          <w:szCs w:val="21"/>
        </w:rPr>
        <w:t>services</w:t>
      </w:r>
      <w:r>
        <w:rPr>
          <w:color w:val="000000"/>
          <w:sz w:val="21"/>
          <w:szCs w:val="21"/>
        </w:rPr>
        <w:t xml:space="preserve"> or the Development Activity (Certification Requirements).</w:t>
      </w:r>
    </w:p>
    <w:p w14:paraId="765A6F0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w:t>
      </w:r>
      <w:r>
        <w:rPr>
          <w:color w:val="000000"/>
          <w:sz w:val="21"/>
          <w:szCs w:val="21"/>
        </w:rPr>
        <w:t xml:space="preserve">must notify the </w:t>
      </w:r>
      <w:r>
        <w:rPr>
          <w:i/>
          <w:iCs/>
          <w:color w:val="000000"/>
          <w:sz w:val="21"/>
          <w:szCs w:val="21"/>
        </w:rPr>
        <w:t>Client</w:t>
      </w:r>
      <w:r>
        <w:rPr>
          <w:color w:val="000000"/>
          <w:sz w:val="21"/>
          <w:szCs w:val="21"/>
        </w:rPr>
        <w:t xml:space="preserve"> promptly, and in any event within three Working Days, after becoming aware that, in respect of it or any Sub-contractor:</w:t>
      </w:r>
    </w:p>
    <w:p w14:paraId="0662B65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Relevant Certification in respect of the Service Provider Information Management System has been revoked or cancelled by the body that awarded it;</w:t>
      </w:r>
    </w:p>
    <w:p w14:paraId="13FADEA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Relevant Certification in respect of the Service Provider Information Management System has expired and h</w:t>
      </w:r>
      <w:r>
        <w:rPr>
          <w:color w:val="000000"/>
          <w:sz w:val="21"/>
          <w:szCs w:val="21"/>
        </w:rPr>
        <w:t xml:space="preserve">as not been renewed by the </w:t>
      </w:r>
      <w:r>
        <w:rPr>
          <w:i/>
          <w:iCs/>
          <w:color w:val="000000"/>
          <w:sz w:val="21"/>
          <w:szCs w:val="21"/>
        </w:rPr>
        <w:t>Service Provider</w:t>
      </w:r>
      <w:r>
        <w:rPr>
          <w:color w:val="000000"/>
          <w:sz w:val="21"/>
          <w:szCs w:val="21"/>
        </w:rPr>
        <w:t>;</w:t>
      </w:r>
    </w:p>
    <w:p w14:paraId="1A3BC65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Relevant Certifications together no longer apply to the full scope of the Service Provider Information Management System; or</w:t>
      </w:r>
    </w:p>
    <w:p w14:paraId="0233E6A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body that awarded a Relevant Certification has made it subject to conditions, </w:t>
      </w:r>
      <w:r>
        <w:rPr>
          <w:color w:val="000000"/>
          <w:sz w:val="21"/>
          <w:szCs w:val="21"/>
        </w:rPr>
        <w:t>the compliance with which may impact the provision of the Services (each a Certification Default)</w:t>
      </w:r>
    </w:p>
    <w:p w14:paraId="1C23296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has notified the </w:t>
      </w:r>
      <w:r>
        <w:rPr>
          <w:i/>
          <w:iCs/>
          <w:color w:val="000000"/>
          <w:sz w:val="21"/>
          <w:szCs w:val="21"/>
        </w:rPr>
        <w:t>Client</w:t>
      </w:r>
      <w:r>
        <w:rPr>
          <w:color w:val="000000"/>
          <w:sz w:val="21"/>
          <w:szCs w:val="21"/>
        </w:rPr>
        <w:t xml:space="preserve"> of a Certification Default under Paragraph 13.4:</w:t>
      </w:r>
    </w:p>
    <w:p w14:paraId="0BF7D40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within ten Working Days of the </w:t>
      </w:r>
      <w:r>
        <w:rPr>
          <w:color w:val="000000"/>
          <w:sz w:val="21"/>
          <w:szCs w:val="21"/>
        </w:rPr>
        <w:t xml:space="preserve">date in which the </w:t>
      </w:r>
      <w:r>
        <w:rPr>
          <w:i/>
          <w:iCs/>
          <w:color w:val="000000"/>
          <w:sz w:val="21"/>
          <w:szCs w:val="21"/>
        </w:rPr>
        <w:t>Service Provider</w:t>
      </w:r>
      <w:r>
        <w:rPr>
          <w:color w:val="000000"/>
          <w:sz w:val="21"/>
          <w:szCs w:val="21"/>
        </w:rPr>
        <w:t xml:space="preserve"> provided notice under Paragraph 13.4(or such other period as the Parties may agree) provide a draft plan (Certification Rectification Plan) to the </w:t>
      </w:r>
      <w:r>
        <w:rPr>
          <w:i/>
          <w:iCs/>
          <w:color w:val="000000"/>
          <w:sz w:val="21"/>
          <w:szCs w:val="21"/>
        </w:rPr>
        <w:t>Client</w:t>
      </w:r>
      <w:r>
        <w:rPr>
          <w:color w:val="000000"/>
          <w:sz w:val="21"/>
          <w:szCs w:val="21"/>
        </w:rPr>
        <w:t xml:space="preserve"> setting out:</w:t>
      </w:r>
    </w:p>
    <w:p w14:paraId="3D8E9E5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full details of the Certification Default, including a</w:t>
      </w:r>
      <w:r>
        <w:rPr>
          <w:color w:val="000000"/>
          <w:sz w:val="21"/>
          <w:szCs w:val="21"/>
        </w:rPr>
        <w:t xml:space="preserve"> root cause analysis;</w:t>
      </w:r>
    </w:p>
    <w:p w14:paraId="235E0CA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actual and anticipated effects of the Certification Default; and</w:t>
      </w:r>
    </w:p>
    <w:p w14:paraId="6A177B3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steps the </w:t>
      </w:r>
      <w:r>
        <w:rPr>
          <w:i/>
          <w:iCs/>
          <w:color w:val="000000"/>
          <w:sz w:val="21"/>
          <w:szCs w:val="21"/>
        </w:rPr>
        <w:t>Service Provider</w:t>
      </w:r>
      <w:r>
        <w:rPr>
          <w:color w:val="000000"/>
          <w:sz w:val="21"/>
          <w:szCs w:val="21"/>
        </w:rPr>
        <w:t xml:space="preserve"> and any Sub-contractor to which the Certification Default relates will take to remedy the Certification Default;</w:t>
      </w:r>
    </w:p>
    <w:p w14:paraId="21DDE69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must notify the </w:t>
      </w:r>
      <w:r>
        <w:rPr>
          <w:i/>
          <w:iCs/>
          <w:color w:val="000000"/>
          <w:sz w:val="21"/>
          <w:szCs w:val="21"/>
        </w:rPr>
        <w:t>Service Provider</w:t>
      </w:r>
      <w:r>
        <w:rPr>
          <w:color w:val="000000"/>
          <w:sz w:val="21"/>
          <w:szCs w:val="21"/>
        </w:rPr>
        <w:t xml:space="preserve"> as soon as reasonably practicable whether it accepts or rejects the Certification Rectification Pl</w:t>
      </w:r>
      <w:r>
        <w:rPr>
          <w:color w:val="000000"/>
          <w:sz w:val="21"/>
          <w:szCs w:val="21"/>
        </w:rPr>
        <w:t>an;</w:t>
      </w:r>
    </w:p>
    <w:p w14:paraId="58E2DB0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rejects the Certification Rectification Plan, the </w:t>
      </w:r>
      <w:r>
        <w:rPr>
          <w:i/>
          <w:iCs/>
          <w:color w:val="000000"/>
          <w:sz w:val="21"/>
          <w:szCs w:val="21"/>
        </w:rPr>
        <w:t>Service Provider</w:t>
      </w:r>
      <w:r>
        <w:rPr>
          <w:color w:val="000000"/>
          <w:sz w:val="21"/>
          <w:szCs w:val="21"/>
        </w:rPr>
        <w:t xml:space="preserve"> must within five Working Days of the date of the rejection submit a revised Certification Rectification Plan and Paragraph 13.5.2 will apply to the re submitted plan;</w:t>
      </w:r>
    </w:p>
    <w:p w14:paraId="11F9AF0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color w:val="000000"/>
          <w:sz w:val="21"/>
          <w:szCs w:val="21"/>
        </w:rPr>
        <w:t xml:space="preserve">rejection by the </w:t>
      </w:r>
      <w:r>
        <w:rPr>
          <w:i/>
          <w:iCs/>
          <w:color w:val="000000"/>
          <w:sz w:val="21"/>
          <w:szCs w:val="21"/>
        </w:rPr>
        <w:t>Client</w:t>
      </w:r>
      <w:r>
        <w:rPr>
          <w:color w:val="000000"/>
          <w:sz w:val="21"/>
          <w:szCs w:val="21"/>
        </w:rPr>
        <w:t xml:space="preserve"> of a revised Certification Rectification Plan is a material default of the Contract; and</w:t>
      </w:r>
    </w:p>
    <w:p w14:paraId="32BB7ED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accepts the Certification Rectification Plan, the </w:t>
      </w:r>
      <w:r>
        <w:rPr>
          <w:i/>
          <w:iCs/>
          <w:color w:val="000000"/>
          <w:sz w:val="21"/>
          <w:szCs w:val="21"/>
        </w:rPr>
        <w:t>Service Provider</w:t>
      </w:r>
      <w:r>
        <w:rPr>
          <w:color w:val="000000"/>
          <w:sz w:val="21"/>
          <w:szCs w:val="21"/>
        </w:rPr>
        <w:t xml:space="preserve"> must start work immediately on the plan.</w:t>
      </w:r>
    </w:p>
    <w:p w14:paraId="5DFD26BD"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Security Management P</w:t>
      </w:r>
      <w:r>
        <w:rPr>
          <w:b/>
          <w:bCs/>
          <w:color w:val="000000"/>
          <w:sz w:val="21"/>
          <w:szCs w:val="21"/>
        </w:rPr>
        <w:t>lan</w:t>
      </w:r>
    </w:p>
    <w:p w14:paraId="53C40271"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Purpose of Security Management Plan</w:t>
      </w:r>
    </w:p>
    <w:p w14:paraId="219E847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provide the </w:t>
      </w:r>
      <w:r>
        <w:rPr>
          <w:i/>
          <w:iCs/>
          <w:color w:val="000000"/>
          <w:sz w:val="21"/>
          <w:szCs w:val="21"/>
        </w:rPr>
        <w:t>Service Provider</w:t>
      </w:r>
      <w:r>
        <w:rPr>
          <w:color w:val="000000"/>
          <w:sz w:val="21"/>
          <w:szCs w:val="21"/>
        </w:rPr>
        <w:t xml:space="preserve"> with a Statement of Information Risk Appetite.</w:t>
      </w:r>
    </w:p>
    <w:p w14:paraId="594C93C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document in the Security Management Plan how the </w:t>
      </w:r>
      <w:r>
        <w:rPr>
          <w:i/>
          <w:iCs/>
          <w:color w:val="000000"/>
          <w:sz w:val="21"/>
          <w:szCs w:val="21"/>
        </w:rPr>
        <w:t>Service Provider</w:t>
      </w:r>
      <w:r>
        <w:rPr>
          <w:color w:val="000000"/>
          <w:sz w:val="21"/>
          <w:szCs w:val="21"/>
        </w:rPr>
        <w:t xml:space="preserve"> and its Sub-contractors will:</w:t>
      </w:r>
    </w:p>
    <w:p w14:paraId="69CE559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comply with the requirements set out in this Schedule and the Contract in order to ensure the security of the Government Data and the Service Provider Inf</w:t>
      </w:r>
      <w:r>
        <w:rPr>
          <w:color w:val="000000"/>
          <w:sz w:val="21"/>
          <w:szCs w:val="21"/>
        </w:rPr>
        <w:t>ormation Management System; and</w:t>
      </w:r>
    </w:p>
    <w:p w14:paraId="2BB67E5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ensure that the operation of the Service Provider Information Management System and the provision of the </w:t>
      </w:r>
      <w:r>
        <w:rPr>
          <w:i/>
          <w:iCs/>
          <w:color w:val="000000"/>
          <w:sz w:val="21"/>
          <w:szCs w:val="21"/>
        </w:rPr>
        <w:t>services</w:t>
      </w:r>
      <w:r>
        <w:rPr>
          <w:color w:val="000000"/>
          <w:sz w:val="21"/>
          <w:szCs w:val="21"/>
        </w:rPr>
        <w:t xml:space="preserve"> does not give rise to any information security risks greater than those set out in that Statement of Informati</w:t>
      </w:r>
      <w:r>
        <w:rPr>
          <w:color w:val="000000"/>
          <w:sz w:val="21"/>
          <w:szCs w:val="21"/>
        </w:rPr>
        <w:t>on Risk Appetite (where one has been provided).</w:t>
      </w:r>
    </w:p>
    <w:p w14:paraId="1318919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w:t>
      </w:r>
    </w:p>
    <w:p w14:paraId="30960F1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Security Management Plan accurately represents the Service Provider Information Management System;</w:t>
      </w:r>
    </w:p>
    <w:p w14:paraId="07CED3C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Service Provider Information Management System will meet the r</w:t>
      </w:r>
      <w:r>
        <w:rPr>
          <w:color w:val="000000"/>
          <w:sz w:val="21"/>
          <w:szCs w:val="21"/>
        </w:rPr>
        <w:t>equirements of this Schedule and the Statement of Information Risk Appetite (where one has been provided); and</w:t>
      </w:r>
    </w:p>
    <w:p w14:paraId="249E757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residual risks of the Service Provider Information Management System are no greater than those provided for in the Statement of Information R</w:t>
      </w:r>
      <w:r>
        <w:rPr>
          <w:color w:val="000000"/>
          <w:sz w:val="21"/>
          <w:szCs w:val="21"/>
        </w:rPr>
        <w:t>isk Appetite (where one has been provided).</w:t>
      </w:r>
    </w:p>
    <w:p w14:paraId="6E0E4F91"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Preparation of Security Management Plan</w:t>
      </w:r>
    </w:p>
    <w:p w14:paraId="360F63F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prepare and submit the Security Management Plan to the </w:t>
      </w:r>
      <w:r>
        <w:rPr>
          <w:i/>
          <w:iCs/>
          <w:color w:val="000000"/>
          <w:sz w:val="21"/>
          <w:szCs w:val="21"/>
        </w:rPr>
        <w:t>Client</w:t>
      </w:r>
      <w:r>
        <w:rPr>
          <w:color w:val="000000"/>
          <w:sz w:val="21"/>
          <w:szCs w:val="21"/>
        </w:rPr>
        <w:t>:</w:t>
      </w:r>
    </w:p>
    <w:p w14:paraId="077BB38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by the date specified in the Implementation Plan; or</w:t>
      </w:r>
    </w:p>
    <w:p w14:paraId="2FA435D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no such date is specified, in sufficient time to allow for the </w:t>
      </w:r>
      <w:r>
        <w:rPr>
          <w:i/>
          <w:iCs/>
          <w:color w:val="000000"/>
          <w:sz w:val="21"/>
          <w:szCs w:val="21"/>
        </w:rPr>
        <w:t>Client</w:t>
      </w:r>
      <w:r>
        <w:rPr>
          <w:color w:val="000000"/>
          <w:sz w:val="21"/>
          <w:szCs w:val="21"/>
        </w:rPr>
        <w:t xml:space="preserve"> review and approve the Security Management Plan before the </w:t>
      </w:r>
      <w:r>
        <w:rPr>
          <w:i/>
          <w:iCs/>
          <w:color w:val="000000"/>
          <w:sz w:val="21"/>
          <w:szCs w:val="21"/>
        </w:rPr>
        <w:t>Starting Date</w:t>
      </w:r>
      <w:r>
        <w:rPr>
          <w:color w:val="000000"/>
          <w:sz w:val="21"/>
          <w:szCs w:val="21"/>
        </w:rPr>
        <w:t>.</w:t>
      </w:r>
    </w:p>
    <w:p w14:paraId="49B2381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If Paragraph 14.4.2 applies, and any delay resulting fro</w:t>
      </w:r>
      <w:r>
        <w:rPr>
          <w:color w:val="000000"/>
          <w:sz w:val="21"/>
          <w:szCs w:val="21"/>
        </w:rPr>
        <w:t xml:space="preserve">m the </w:t>
      </w:r>
      <w:r>
        <w:rPr>
          <w:i/>
          <w:iCs/>
          <w:color w:val="000000"/>
          <w:sz w:val="21"/>
          <w:szCs w:val="21"/>
        </w:rPr>
        <w:t>Client's</w:t>
      </w:r>
      <w:r>
        <w:rPr>
          <w:color w:val="000000"/>
          <w:sz w:val="21"/>
          <w:szCs w:val="21"/>
        </w:rPr>
        <w:t xml:space="preserve"> review and approval of the Security Management Plan (including any additional activity required by the </w:t>
      </w:r>
      <w:r>
        <w:rPr>
          <w:i/>
          <w:iCs/>
          <w:color w:val="000000"/>
          <w:sz w:val="21"/>
          <w:szCs w:val="21"/>
        </w:rPr>
        <w:t>Service Provider</w:t>
      </w:r>
      <w:r>
        <w:rPr>
          <w:color w:val="000000"/>
          <w:sz w:val="21"/>
          <w:szCs w:val="21"/>
        </w:rPr>
        <w:t xml:space="preserve"> to ensure the Security Management Plan complies with Paragraph 14.3) causes or contributes to Service Provider Non-Performance and that delay is not an Authority Cause, the </w:t>
      </w:r>
      <w:r>
        <w:rPr>
          <w:i/>
          <w:iCs/>
          <w:color w:val="000000"/>
          <w:sz w:val="21"/>
          <w:szCs w:val="21"/>
        </w:rPr>
        <w:t>Service Provider</w:t>
      </w:r>
      <w:r>
        <w:rPr>
          <w:color w:val="000000"/>
          <w:sz w:val="21"/>
          <w:szCs w:val="21"/>
        </w:rPr>
        <w:t xml:space="preserve"> shall not be entitled to a Compensation Event.</w:t>
      </w:r>
    </w:p>
    <w:p w14:paraId="551FCDE2"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Contents of Securi</w:t>
      </w:r>
      <w:r>
        <w:rPr>
          <w:b/>
          <w:bCs/>
          <w:color w:val="000000"/>
          <w:sz w:val="21"/>
          <w:szCs w:val="21"/>
        </w:rPr>
        <w:t>ty Management Plan</w:t>
      </w:r>
    </w:p>
    <w:p w14:paraId="402A420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Security Management Plan must include:</w:t>
      </w:r>
    </w:p>
    <w:p w14:paraId="3033C1B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formal information risk assessment of, and a risk treatment plan for, the Service Provider Information Management System;</w:t>
      </w:r>
    </w:p>
    <w:p w14:paraId="4C9C362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completed statement of applicability under the relevant ISO Certific</w:t>
      </w:r>
      <w:r>
        <w:rPr>
          <w:color w:val="000000"/>
          <w:sz w:val="21"/>
          <w:szCs w:val="21"/>
        </w:rPr>
        <w:t>ation for the Service Provider Information Management System;</w:t>
      </w:r>
    </w:p>
    <w:p w14:paraId="1FD6E68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process for managing any security risks from Sub-contractors and third parties with access to the </w:t>
      </w:r>
      <w:r>
        <w:rPr>
          <w:i/>
          <w:iCs/>
          <w:color w:val="000000"/>
          <w:sz w:val="21"/>
          <w:szCs w:val="21"/>
        </w:rPr>
        <w:t>services</w:t>
      </w:r>
      <w:r>
        <w:rPr>
          <w:color w:val="000000"/>
          <w:sz w:val="21"/>
          <w:szCs w:val="21"/>
        </w:rPr>
        <w:t>, the Service Provider Information Management System or the Government Data;</w:t>
      </w:r>
    </w:p>
    <w:p w14:paraId="12570A9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unless </w:t>
      </w:r>
      <w:r>
        <w:rPr>
          <w:color w:val="000000"/>
          <w:sz w:val="21"/>
          <w:szCs w:val="21"/>
        </w:rPr>
        <w:t xml:space="preserve">the </w:t>
      </w:r>
      <w:r>
        <w:rPr>
          <w:i/>
          <w:iCs/>
          <w:color w:val="000000"/>
          <w:sz w:val="21"/>
          <w:szCs w:val="21"/>
        </w:rPr>
        <w:t>Client</w:t>
      </w:r>
      <w:r>
        <w:rPr>
          <w:color w:val="000000"/>
          <w:sz w:val="21"/>
          <w:szCs w:val="21"/>
        </w:rPr>
        <w:t xml:space="preserve"> has waived this requirement by selecting the relevant option in Paragraph 1, an assessment of the Service Provider Information Management System against the table in Appendix 6 (Secure by Design Principles Evaluation Table);</w:t>
      </w:r>
    </w:p>
    <w:p w14:paraId="303DD6C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unless such requirement is waived by the </w:t>
      </w:r>
      <w:r>
        <w:rPr>
          <w:i/>
          <w:iCs/>
          <w:color w:val="000000"/>
          <w:sz w:val="21"/>
          <w:szCs w:val="21"/>
        </w:rPr>
        <w:t>Client</w:t>
      </w:r>
      <w:r>
        <w:rPr>
          <w:color w:val="000000"/>
          <w:sz w:val="21"/>
          <w:szCs w:val="21"/>
        </w:rPr>
        <w:t xml:space="preserve">, the controls the </w:t>
      </w:r>
      <w:r>
        <w:rPr>
          <w:i/>
          <w:iCs/>
          <w:color w:val="000000"/>
          <w:sz w:val="21"/>
          <w:szCs w:val="21"/>
        </w:rPr>
        <w:t>Service Provider</w:t>
      </w:r>
      <w:r>
        <w:rPr>
          <w:color w:val="000000"/>
          <w:sz w:val="21"/>
          <w:szCs w:val="21"/>
        </w:rPr>
        <w:t xml:space="preserve"> will implement in respect of the </w:t>
      </w:r>
      <w:r>
        <w:rPr>
          <w:i/>
          <w:iCs/>
          <w:color w:val="000000"/>
          <w:sz w:val="21"/>
          <w:szCs w:val="21"/>
        </w:rPr>
        <w:t>services</w:t>
      </w:r>
      <w:r>
        <w:rPr>
          <w:color w:val="000000"/>
          <w:sz w:val="21"/>
          <w:szCs w:val="21"/>
        </w:rPr>
        <w:t xml:space="preserve"> and all processes associated with the delivery of the </w:t>
      </w:r>
      <w:r>
        <w:rPr>
          <w:i/>
          <w:iCs/>
          <w:color w:val="000000"/>
          <w:sz w:val="21"/>
          <w:szCs w:val="21"/>
        </w:rPr>
        <w:t>services</w:t>
      </w:r>
      <w:r>
        <w:rPr>
          <w:color w:val="000000"/>
          <w:sz w:val="21"/>
          <w:szCs w:val="21"/>
        </w:rPr>
        <w:t>, including:</w:t>
      </w:r>
    </w:p>
    <w:p w14:paraId="4F65C2F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Service Provider System;</w:t>
      </w:r>
    </w:p>
    <w:p w14:paraId="0DF692A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Sites; and</w:t>
      </w:r>
    </w:p>
    <w:p w14:paraId="47648DE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S</w:t>
      </w:r>
      <w:r>
        <w:rPr>
          <w:color w:val="000000"/>
          <w:sz w:val="21"/>
          <w:szCs w:val="21"/>
        </w:rPr>
        <w:t xml:space="preserve">ystem (to the extent that it is under the control of the </w:t>
      </w:r>
      <w:r>
        <w:rPr>
          <w:i/>
          <w:iCs/>
          <w:color w:val="000000"/>
          <w:sz w:val="21"/>
          <w:szCs w:val="21"/>
        </w:rPr>
        <w:t>Service Provider</w:t>
      </w:r>
      <w:r>
        <w:rPr>
          <w:color w:val="000000"/>
          <w:sz w:val="21"/>
          <w:szCs w:val="21"/>
        </w:rPr>
        <w:t>); and</w:t>
      </w:r>
    </w:p>
    <w:p w14:paraId="77A46EB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any IT, Information and data (including the Confidential Information of the </w:t>
      </w:r>
      <w:r>
        <w:rPr>
          <w:i/>
          <w:iCs/>
          <w:color w:val="000000"/>
          <w:sz w:val="21"/>
          <w:szCs w:val="21"/>
        </w:rPr>
        <w:t>Client</w:t>
      </w:r>
      <w:r>
        <w:rPr>
          <w:color w:val="000000"/>
          <w:sz w:val="21"/>
          <w:szCs w:val="21"/>
        </w:rPr>
        <w:t xml:space="preserve"> and the Government Data) to the extent used by the </w:t>
      </w:r>
      <w:r>
        <w:rPr>
          <w:i/>
          <w:iCs/>
          <w:color w:val="000000"/>
          <w:sz w:val="21"/>
          <w:szCs w:val="21"/>
        </w:rPr>
        <w:t>Client</w:t>
      </w:r>
      <w:r>
        <w:rPr>
          <w:color w:val="000000"/>
          <w:sz w:val="21"/>
          <w:szCs w:val="21"/>
        </w:rPr>
        <w:t xml:space="preserve"> or the </w:t>
      </w:r>
      <w:r>
        <w:rPr>
          <w:i/>
          <w:iCs/>
          <w:color w:val="000000"/>
          <w:sz w:val="21"/>
          <w:szCs w:val="21"/>
        </w:rPr>
        <w:t>Service Provider</w:t>
      </w:r>
      <w:r>
        <w:rPr>
          <w:color w:val="000000"/>
          <w:sz w:val="21"/>
          <w:szCs w:val="21"/>
        </w:rPr>
        <w:t>:</w:t>
      </w:r>
    </w:p>
    <w:p w14:paraId="7A396615"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in connection with the Contract; or</w:t>
      </w:r>
    </w:p>
    <w:p w14:paraId="070E2599"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in connection with any system that could directly or indirectly have an impact on that Information, data and/or the </w:t>
      </w:r>
      <w:r>
        <w:rPr>
          <w:i/>
          <w:iCs/>
          <w:color w:val="000000"/>
          <w:sz w:val="21"/>
          <w:szCs w:val="21"/>
        </w:rPr>
        <w:t>services</w:t>
      </w:r>
      <w:r>
        <w:rPr>
          <w:color w:val="000000"/>
          <w:sz w:val="21"/>
          <w:szCs w:val="21"/>
        </w:rPr>
        <w:t>;</w:t>
      </w:r>
    </w:p>
    <w:p w14:paraId="44C51CB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Required Changes Register;</w:t>
      </w:r>
    </w:p>
    <w:p w14:paraId="58EAC8C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evidence that the </w:t>
      </w:r>
      <w:r>
        <w:rPr>
          <w:i/>
          <w:iCs/>
          <w:color w:val="000000"/>
          <w:sz w:val="21"/>
          <w:szCs w:val="21"/>
        </w:rPr>
        <w:t>Service Provider</w:t>
      </w:r>
      <w:r>
        <w:rPr>
          <w:color w:val="000000"/>
          <w:sz w:val="21"/>
          <w:szCs w:val="21"/>
        </w:rPr>
        <w:t xml:space="preserve"> and each Sub-contractor (so </w:t>
      </w:r>
      <w:r>
        <w:rPr>
          <w:color w:val="000000"/>
          <w:sz w:val="21"/>
          <w:szCs w:val="21"/>
        </w:rPr>
        <w:t>far as those requirements apply) is compliant with:</w:t>
      </w:r>
    </w:p>
    <w:p w14:paraId="42248A2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Certification Requirements;</w:t>
      </w:r>
    </w:p>
    <w:p w14:paraId="0ED3CAB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security requirements in Appendix 1; and</w:t>
      </w:r>
    </w:p>
    <w:p w14:paraId="6E138C5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the relevant option in Paragraph 1 is selected, the security requirements for Development Activity in Appendix 2;</w:t>
      </w:r>
    </w:p>
    <w:p w14:paraId="7EFBCD9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diagram documenting the Service Provider Information Management System, the Wider Information Management System and the boundary bet</w:t>
      </w:r>
      <w:r>
        <w:rPr>
          <w:color w:val="000000"/>
          <w:sz w:val="21"/>
          <w:szCs w:val="21"/>
        </w:rPr>
        <w:t>ween them (created under Paragraph 11).</w:t>
      </w:r>
    </w:p>
    <w:p w14:paraId="1D0B91A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 assessment of the Service Provider Information Management System against the requirements of this Schedule, including the security requirements in Appendix 1 and, where the relevant option in Paragraph 1 is select</w:t>
      </w:r>
      <w:r>
        <w:rPr>
          <w:color w:val="000000"/>
          <w:sz w:val="21"/>
          <w:szCs w:val="21"/>
        </w:rPr>
        <w:t>ed, the security requirements for Development Activity in Appendix 2 (where applicable);</w:t>
      </w:r>
    </w:p>
    <w:p w14:paraId="5FDF34C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process the </w:t>
      </w:r>
      <w:r>
        <w:rPr>
          <w:i/>
          <w:iCs/>
          <w:color w:val="000000"/>
          <w:sz w:val="21"/>
          <w:szCs w:val="21"/>
        </w:rPr>
        <w:t>Service Provider</w:t>
      </w:r>
      <w:r>
        <w:rPr>
          <w:color w:val="000000"/>
          <w:sz w:val="21"/>
          <w:szCs w:val="21"/>
        </w:rPr>
        <w:t xml:space="preserve"> will implement immediately after it becomes aware of a Breach of Security to restore normal operations as quickly as possible, minimis</w:t>
      </w:r>
      <w:r>
        <w:rPr>
          <w:color w:val="000000"/>
          <w:sz w:val="21"/>
          <w:szCs w:val="21"/>
        </w:rPr>
        <w:t xml:space="preserve">ing any adverse impact on the Government Data, the </w:t>
      </w:r>
      <w:r>
        <w:rPr>
          <w:i/>
          <w:iCs/>
          <w:color w:val="000000"/>
          <w:sz w:val="21"/>
          <w:szCs w:val="21"/>
        </w:rPr>
        <w:t>Client</w:t>
      </w:r>
      <w:r>
        <w:rPr>
          <w:color w:val="000000"/>
          <w:sz w:val="21"/>
          <w:szCs w:val="21"/>
        </w:rPr>
        <w:t xml:space="preserve">, the </w:t>
      </w:r>
      <w:r>
        <w:rPr>
          <w:i/>
          <w:iCs/>
          <w:color w:val="000000"/>
          <w:sz w:val="21"/>
          <w:szCs w:val="21"/>
        </w:rPr>
        <w:t>services</w:t>
      </w:r>
      <w:r>
        <w:rPr>
          <w:color w:val="000000"/>
          <w:sz w:val="21"/>
          <w:szCs w:val="21"/>
        </w:rPr>
        <w:t xml:space="preserve"> and/or users of the </w:t>
      </w:r>
      <w:r>
        <w:rPr>
          <w:i/>
          <w:iCs/>
          <w:color w:val="000000"/>
          <w:sz w:val="21"/>
          <w:szCs w:val="21"/>
        </w:rPr>
        <w:t>services</w:t>
      </w:r>
      <w:r>
        <w:rPr>
          <w:color w:val="000000"/>
          <w:sz w:val="21"/>
          <w:szCs w:val="21"/>
        </w:rPr>
        <w:t>; and</w:t>
      </w:r>
    </w:p>
    <w:p w14:paraId="10F91F0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following information, so far as is applicable, in respect of each Sub-contractor:</w:t>
      </w:r>
    </w:p>
    <w:p w14:paraId="4027E36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Sub-contractor’s:</w:t>
      </w:r>
    </w:p>
    <w:p w14:paraId="554B9F10"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legal name;</w:t>
      </w:r>
    </w:p>
    <w:p w14:paraId="51220EF0"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trading name (if any); and</w:t>
      </w:r>
    </w:p>
    <w:p w14:paraId="22A3FD22"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re</w:t>
      </w:r>
      <w:r>
        <w:rPr>
          <w:color w:val="000000"/>
          <w:sz w:val="21"/>
          <w:szCs w:val="21"/>
        </w:rPr>
        <w:t>gistration details (where the Sub-contractor is not an individual);</w:t>
      </w:r>
    </w:p>
    <w:p w14:paraId="0832C31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Relevant Certifications held by the Sub-contractor;</w:t>
      </w:r>
    </w:p>
    <w:p w14:paraId="1E72221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Sites used by the Sub-contractor;</w:t>
      </w:r>
    </w:p>
    <w:p w14:paraId="1B93A28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 xml:space="preserve"> provided, or contributed to, by the Sub-contractor;</w:t>
      </w:r>
    </w:p>
    <w:p w14:paraId="09CFEA4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access the Sub-contractor has to the Service Provider Information Management System;</w:t>
      </w:r>
    </w:p>
    <w:p w14:paraId="085B13E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Government Data Handled by the Sub-contractor;</w:t>
      </w:r>
    </w:p>
    <w:p w14:paraId="2916B57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Handling that the Sub-contractor will undertake in respect </w:t>
      </w:r>
      <w:r>
        <w:rPr>
          <w:color w:val="000000"/>
          <w:sz w:val="21"/>
          <w:szCs w:val="21"/>
        </w:rPr>
        <w:t>of the Government Data; and</w:t>
      </w:r>
    </w:p>
    <w:p w14:paraId="673D8E4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measures the Sub-contractor has in place to comply with the requirements of this Schedule; and</w:t>
      </w:r>
    </w:p>
    <w:p w14:paraId="3F88C63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due diligence the </w:t>
      </w:r>
      <w:r>
        <w:rPr>
          <w:i/>
          <w:iCs/>
          <w:color w:val="000000"/>
          <w:sz w:val="21"/>
          <w:szCs w:val="21"/>
        </w:rPr>
        <w:t>Service Provider</w:t>
      </w:r>
      <w:r>
        <w:rPr>
          <w:color w:val="000000"/>
          <w:sz w:val="21"/>
          <w:szCs w:val="21"/>
        </w:rPr>
        <w:t xml:space="preserve"> has taken to assess that compliance;</w:t>
      </w:r>
    </w:p>
    <w:p w14:paraId="7D27EB5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Register of Sites, Support Locations and Third-pa</w:t>
      </w:r>
      <w:r>
        <w:rPr>
          <w:color w:val="000000"/>
          <w:sz w:val="21"/>
          <w:szCs w:val="21"/>
        </w:rPr>
        <w:t>rty Tools;</w:t>
      </w:r>
    </w:p>
    <w:p w14:paraId="7F7C428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Modules Register;</w:t>
      </w:r>
    </w:p>
    <w:p w14:paraId="5D10C0F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Support Register;</w:t>
      </w:r>
    </w:p>
    <w:p w14:paraId="66C74C5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Backup and Recovery Plan;</w:t>
      </w:r>
    </w:p>
    <w:p w14:paraId="06C8C7E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Remote Working Policy (where the </w:t>
      </w:r>
      <w:r>
        <w:rPr>
          <w:i/>
          <w:iCs/>
          <w:color w:val="000000"/>
          <w:sz w:val="21"/>
          <w:szCs w:val="21"/>
        </w:rPr>
        <w:t>Service Provider</w:t>
      </w:r>
      <w:r>
        <w:rPr>
          <w:color w:val="000000"/>
          <w:sz w:val="21"/>
          <w:szCs w:val="21"/>
        </w:rPr>
        <w:t xml:space="preserve"> or a Sub-contractor proposes to allow Service Provider Staff to work from a Remote Location); and</w:t>
      </w:r>
    </w:p>
    <w:p w14:paraId="5FA9AD0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details of the protective monitoring that the </w:t>
      </w:r>
      <w:r>
        <w:rPr>
          <w:i/>
          <w:iCs/>
          <w:color w:val="000000"/>
          <w:sz w:val="21"/>
          <w:szCs w:val="21"/>
        </w:rPr>
        <w:t>Service Provider</w:t>
      </w:r>
      <w:r>
        <w:rPr>
          <w:color w:val="000000"/>
          <w:sz w:val="21"/>
          <w:szCs w:val="21"/>
        </w:rPr>
        <w:t xml:space="preserve"> will undertake in accordance with Paragraph 14 of Appendix 1, including:</w:t>
      </w:r>
    </w:p>
    <w:p w14:paraId="0B5FC3A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additional audit </w:t>
      </w:r>
      <w:r>
        <w:rPr>
          <w:color w:val="000000"/>
          <w:sz w:val="21"/>
          <w:szCs w:val="21"/>
        </w:rPr>
        <w:t xml:space="preserve">and monitoring the </w:t>
      </w:r>
      <w:r>
        <w:rPr>
          <w:i/>
          <w:iCs/>
          <w:color w:val="000000"/>
          <w:sz w:val="21"/>
          <w:szCs w:val="21"/>
        </w:rPr>
        <w:t>Service Provider</w:t>
      </w:r>
      <w:r>
        <w:rPr>
          <w:color w:val="000000"/>
          <w:sz w:val="21"/>
          <w:szCs w:val="21"/>
        </w:rPr>
        <w:t xml:space="preserve"> will undertake of the Service Provider Information Management System; and</w:t>
      </w:r>
    </w:p>
    <w:p w14:paraId="73E1BCE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retention periods for audit records and event logs.</w:t>
      </w:r>
    </w:p>
    <w:p w14:paraId="3618BE96"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Monitoring and updating Security Management Plan</w:t>
      </w:r>
    </w:p>
    <w:p w14:paraId="6E54643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regularly review and update the Security Management Plan, and provide such to the </w:t>
      </w:r>
      <w:r>
        <w:rPr>
          <w:i/>
          <w:iCs/>
          <w:color w:val="000000"/>
          <w:sz w:val="21"/>
          <w:szCs w:val="21"/>
        </w:rPr>
        <w:t>Client</w:t>
      </w:r>
      <w:r>
        <w:rPr>
          <w:color w:val="000000"/>
          <w:sz w:val="21"/>
          <w:szCs w:val="21"/>
        </w:rPr>
        <w:t>, at least once each year and as required by this Paragraph.</w:t>
      </w:r>
    </w:p>
    <w:p w14:paraId="3695AF7B"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Monitoring</w:t>
      </w:r>
    </w:p>
    <w:p w14:paraId="2779D45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where it plans to undertake, or after becoming aware of, any of the following:</w:t>
      </w:r>
    </w:p>
    <w:p w14:paraId="07D381C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significant change to the components or architecture of the Service Provider Information Management System;</w:t>
      </w:r>
    </w:p>
    <w:p w14:paraId="5826219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significant change in the boundary between the Service Provider Information Management System and the Wider Information Management System</w:t>
      </w:r>
    </w:p>
    <w:p w14:paraId="49E321C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w:t>
      </w:r>
      <w:r>
        <w:rPr>
          <w:color w:val="000000"/>
          <w:sz w:val="21"/>
          <w:szCs w:val="21"/>
        </w:rPr>
        <w:t>ificant change in the operation of the Service Provider Information Management System;</w:t>
      </w:r>
    </w:p>
    <w:p w14:paraId="2992ADA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replacement of an existing, or the appointment of a new:</w:t>
      </w:r>
    </w:p>
    <w:p w14:paraId="7B1D810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SIMS Sub-contractor; or</w:t>
      </w:r>
    </w:p>
    <w:p w14:paraId="35EC498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Sub-contractor that Handles Government Data;</w:t>
      </w:r>
    </w:p>
    <w:p w14:paraId="44CCB0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significant change in the quantity of</w:t>
      </w:r>
      <w:r>
        <w:rPr>
          <w:color w:val="000000"/>
          <w:sz w:val="21"/>
          <w:szCs w:val="21"/>
        </w:rPr>
        <w:t xml:space="preserve"> Personal Data held within the </w:t>
      </w:r>
      <w:r>
        <w:rPr>
          <w:i/>
          <w:iCs/>
          <w:color w:val="000000"/>
          <w:sz w:val="21"/>
          <w:szCs w:val="21"/>
        </w:rPr>
        <w:t>service</w:t>
      </w:r>
      <w:r>
        <w:rPr>
          <w:color w:val="000000"/>
          <w:sz w:val="21"/>
          <w:szCs w:val="21"/>
        </w:rPr>
        <w:t>; and/or</w:t>
      </w:r>
    </w:p>
    <w:p w14:paraId="7BA996F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or a Sub-contractor has previously Handled Government Data that is Personal Data, other than Special Category Personal Data, it proposes to start to Handle Government Data that is Sp</w:t>
      </w:r>
      <w:r>
        <w:rPr>
          <w:color w:val="000000"/>
          <w:sz w:val="21"/>
          <w:szCs w:val="21"/>
        </w:rPr>
        <w:t>ecial Category Personal Data under the Contract;</w:t>
      </w:r>
    </w:p>
    <w:p w14:paraId="3411D15C" w14:textId="77777777" w:rsidR="007960A8" w:rsidRDefault="00A26397">
      <w:pPr>
        <w:widowControl/>
        <w:pBdr>
          <w:top w:val="nil"/>
          <w:left w:val="nil"/>
          <w:bottom w:val="nil"/>
          <w:right w:val="nil"/>
          <w:between w:val="nil"/>
        </w:pBdr>
        <w:spacing w:after="120" w:line="480" w:lineRule="auto"/>
        <w:ind w:left="1797" w:firstLine="720"/>
        <w:jc w:val="both"/>
        <w:rPr>
          <w:color w:val="000000"/>
          <w:sz w:val="21"/>
          <w:szCs w:val="21"/>
        </w:rPr>
      </w:pPr>
      <w:r>
        <w:rPr>
          <w:color w:val="000000"/>
          <w:sz w:val="21"/>
          <w:szCs w:val="21"/>
        </w:rPr>
        <w:t>must:</w:t>
      </w:r>
    </w:p>
    <w:p w14:paraId="2A99767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within two Working Days notify the </w:t>
      </w:r>
      <w:r>
        <w:rPr>
          <w:i/>
          <w:iCs/>
          <w:color w:val="000000"/>
          <w:sz w:val="21"/>
          <w:szCs w:val="21"/>
        </w:rPr>
        <w:t>Client</w:t>
      </w:r>
      <w:r>
        <w:rPr>
          <w:color w:val="000000"/>
          <w:sz w:val="21"/>
          <w:szCs w:val="21"/>
        </w:rPr>
        <w:t>; and</w:t>
      </w:r>
    </w:p>
    <w:p w14:paraId="5C63588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within ten Working Days, or such other timescale as may be agreed with the </w:t>
      </w:r>
      <w:r>
        <w:rPr>
          <w:i/>
          <w:iCs/>
          <w:color w:val="000000"/>
          <w:sz w:val="21"/>
          <w:szCs w:val="21"/>
        </w:rPr>
        <w:t>Client</w:t>
      </w:r>
      <w:r>
        <w:rPr>
          <w:color w:val="000000"/>
          <w:sz w:val="21"/>
          <w:szCs w:val="21"/>
        </w:rPr>
        <w:t>:</w:t>
      </w:r>
    </w:p>
    <w:p w14:paraId="6A46FE1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update the Required Changes Register and any other affected parts of the Security Management Plan; and</w:t>
      </w:r>
    </w:p>
    <w:p w14:paraId="408E9F2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copy those documents for review and approval.</w:t>
      </w:r>
    </w:p>
    <w:p w14:paraId="3A7CA37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Any proposed change under Paragraph 15.2.1, 15.2.2 or 15.2.6, if implemented, sha</w:t>
      </w:r>
      <w:r>
        <w:rPr>
          <w:color w:val="000000"/>
          <w:sz w:val="21"/>
          <w:szCs w:val="21"/>
        </w:rPr>
        <w:t>ll constitute a Compensation Event.</w:t>
      </w:r>
    </w:p>
    <w:p w14:paraId="5A97CF3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Review and approval of updated Security Management Plan</w:t>
      </w:r>
    </w:p>
    <w:p w14:paraId="0CF559A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has prepared or updated the Security Management Plan the </w:t>
      </w:r>
      <w:r>
        <w:rPr>
          <w:i/>
          <w:iCs/>
          <w:color w:val="000000"/>
          <w:sz w:val="21"/>
          <w:szCs w:val="21"/>
        </w:rPr>
        <w:t>Client</w:t>
      </w:r>
      <w:r>
        <w:rPr>
          <w:color w:val="000000"/>
          <w:sz w:val="21"/>
          <w:szCs w:val="21"/>
        </w:rPr>
        <w:t xml:space="preserve"> may review the plan and to do so may request such further information as the </w:t>
      </w:r>
      <w:r>
        <w:rPr>
          <w:i/>
          <w:iCs/>
          <w:color w:val="000000"/>
          <w:sz w:val="21"/>
          <w:szCs w:val="21"/>
        </w:rPr>
        <w:t>Client</w:t>
      </w:r>
      <w:r>
        <w:rPr>
          <w:color w:val="000000"/>
          <w:sz w:val="21"/>
          <w:szCs w:val="21"/>
        </w:rPr>
        <w:t xml:space="preserve"> considers necessary or desirable.</w:t>
      </w:r>
    </w:p>
    <w:p w14:paraId="3B7D525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At the conclusion of that review, it may issue to the </w:t>
      </w:r>
      <w:r>
        <w:rPr>
          <w:i/>
          <w:iCs/>
          <w:color w:val="000000"/>
          <w:sz w:val="21"/>
          <w:szCs w:val="21"/>
        </w:rPr>
        <w:t>Service Provider</w:t>
      </w:r>
      <w:r>
        <w:rPr>
          <w:color w:val="000000"/>
          <w:sz w:val="21"/>
          <w:szCs w:val="21"/>
        </w:rPr>
        <w:t>:</w:t>
      </w:r>
    </w:p>
    <w:p w14:paraId="51CD3C1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satisfied that the:</w:t>
      </w:r>
    </w:p>
    <w:p w14:paraId="4987C9D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identified risks to the Service Provider Information Management System are adequately and appropriately addressed; and</w:t>
      </w:r>
    </w:p>
    <w:p w14:paraId="7957753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that the residual risks are:</w:t>
      </w:r>
    </w:p>
    <w:p w14:paraId="2B3830E5"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either:</w:t>
      </w:r>
    </w:p>
    <w:p w14:paraId="25B89556" w14:textId="77777777" w:rsidR="007960A8" w:rsidRDefault="00A26397">
      <w:pPr>
        <w:pBdr>
          <w:top w:val="nil"/>
          <w:left w:val="nil"/>
          <w:bottom w:val="nil"/>
          <w:right w:val="nil"/>
          <w:between w:val="nil"/>
        </w:pBdr>
        <w:spacing w:after="120"/>
        <w:ind w:left="4536" w:hanging="566"/>
        <w:rPr>
          <w:color w:val="000000"/>
          <w:sz w:val="21"/>
          <w:szCs w:val="21"/>
        </w:rPr>
      </w:pPr>
      <w:r>
        <w:rPr>
          <w:color w:val="000000"/>
          <w:sz w:val="21"/>
          <w:szCs w:val="21"/>
        </w:rPr>
        <w:t>(1)</w:t>
      </w:r>
      <w:r>
        <w:rPr>
          <w:color w:val="000000"/>
          <w:sz w:val="21"/>
          <w:szCs w:val="21"/>
        </w:rPr>
        <w:tab/>
        <w:t xml:space="preserve">where the </w:t>
      </w:r>
      <w:r>
        <w:rPr>
          <w:i/>
          <w:iCs/>
          <w:color w:val="000000"/>
          <w:sz w:val="21"/>
          <w:szCs w:val="21"/>
        </w:rPr>
        <w:t>Client</w:t>
      </w:r>
      <w:r>
        <w:rPr>
          <w:color w:val="000000"/>
          <w:sz w:val="21"/>
          <w:szCs w:val="21"/>
        </w:rPr>
        <w:t xml:space="preserve"> has provided a Statement of Information Risk Appetite, reduced to the level ant</w:t>
      </w:r>
      <w:r>
        <w:rPr>
          <w:color w:val="000000"/>
          <w:sz w:val="21"/>
          <w:szCs w:val="21"/>
        </w:rPr>
        <w:t>icipated by that statement; or</w:t>
      </w:r>
    </w:p>
    <w:p w14:paraId="3545DD68" w14:textId="77777777" w:rsidR="007960A8" w:rsidRDefault="00A26397">
      <w:pPr>
        <w:pBdr>
          <w:top w:val="nil"/>
          <w:left w:val="nil"/>
          <w:bottom w:val="nil"/>
          <w:right w:val="nil"/>
          <w:between w:val="nil"/>
        </w:pBdr>
        <w:spacing w:after="120"/>
        <w:ind w:left="4536" w:hanging="566"/>
        <w:rPr>
          <w:color w:val="000000"/>
          <w:sz w:val="21"/>
          <w:szCs w:val="21"/>
        </w:rPr>
      </w:pPr>
      <w:r>
        <w:rPr>
          <w:color w:val="000000"/>
          <w:sz w:val="21"/>
          <w:szCs w:val="21"/>
        </w:rPr>
        <w:t>(2)</w:t>
      </w:r>
      <w:r>
        <w:rPr>
          <w:color w:val="000000"/>
          <w:sz w:val="21"/>
          <w:szCs w:val="21"/>
        </w:rPr>
        <w:tab/>
        <w:t xml:space="preserve">where the </w:t>
      </w:r>
      <w:r>
        <w:rPr>
          <w:i/>
          <w:iCs/>
          <w:color w:val="000000"/>
          <w:sz w:val="21"/>
          <w:szCs w:val="21"/>
        </w:rPr>
        <w:t>Client</w:t>
      </w:r>
      <w:r>
        <w:rPr>
          <w:color w:val="000000"/>
          <w:sz w:val="21"/>
          <w:szCs w:val="21"/>
        </w:rPr>
        <w:t xml:space="preserve"> has not provided a Statement of Information Risk Appetite, reduced to an acceptable level;</w:t>
      </w:r>
    </w:p>
    <w:p w14:paraId="544BBE77"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understood and accepted by the </w:t>
      </w:r>
      <w:r>
        <w:rPr>
          <w:i/>
          <w:iCs/>
          <w:color w:val="000000"/>
          <w:sz w:val="21"/>
          <w:szCs w:val="21"/>
        </w:rPr>
        <w:t>Client</w:t>
      </w:r>
      <w:r>
        <w:rPr>
          <w:color w:val="000000"/>
          <w:sz w:val="21"/>
          <w:szCs w:val="21"/>
        </w:rPr>
        <w:t>; and</w:t>
      </w:r>
    </w:p>
    <w:p w14:paraId="78D6B358"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recorded in the Residual Risk Statement;</w:t>
      </w:r>
    </w:p>
    <w:p w14:paraId="5FAB282F"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issues a risk management approval statement (a “Risk Management Approval Statement”); or</w:t>
      </w:r>
    </w:p>
    <w:p w14:paraId="44317E9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reasonably considers that:</w:t>
      </w:r>
    </w:p>
    <w:p w14:paraId="39D2802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identified risks to the Service Provider Information Management System have not been adequately or appropriately addressed; or</w:t>
      </w:r>
    </w:p>
    <w:p w14:paraId="5B8B70C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residual risks to the Service Provider Information Management System have not been reduced:</w:t>
      </w:r>
    </w:p>
    <w:p w14:paraId="0F731C07"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Provided a Statement of Information Risk Appetite, to the level anticipated by that statement; or</w:t>
      </w:r>
    </w:p>
    <w:p w14:paraId="4E06EAD2"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Provided a Statement of Information Risk Appetite, to an acceptable level,</w:t>
      </w:r>
    </w:p>
    <w:p w14:paraId="7A6B4F8E" w14:textId="77777777" w:rsidR="007960A8" w:rsidRDefault="00A26397">
      <w:pPr>
        <w:widowControl/>
        <w:pBdr>
          <w:top w:val="nil"/>
          <w:left w:val="nil"/>
          <w:bottom w:val="nil"/>
          <w:right w:val="nil"/>
          <w:between w:val="nil"/>
        </w:pBdr>
        <w:spacing w:after="240"/>
        <w:ind w:left="3238"/>
        <w:jc w:val="both"/>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issues a risk management rejection notice,</w:t>
      </w:r>
      <w:r>
        <w:rPr>
          <w:color w:val="000000"/>
          <w:sz w:val="21"/>
          <w:szCs w:val="21"/>
        </w:rPr>
        <w:t xml:space="preserve"> with the reasons for its decision. (a “Risk Management Rejection Notice”)</w:t>
      </w:r>
    </w:p>
    <w:p w14:paraId="01D7EF8E"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Changes to the Service Provider Information Management System</w:t>
      </w:r>
    </w:p>
    <w:p w14:paraId="540DBC8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Notwithstanding anything in the Contract, the </w:t>
      </w:r>
      <w:r>
        <w:rPr>
          <w:i/>
          <w:iCs/>
          <w:color w:val="000000"/>
          <w:sz w:val="21"/>
          <w:szCs w:val="21"/>
        </w:rPr>
        <w:t>Service Provider</w:t>
      </w:r>
      <w:r>
        <w:rPr>
          <w:color w:val="000000"/>
          <w:sz w:val="21"/>
          <w:szCs w:val="21"/>
        </w:rPr>
        <w:t xml:space="preserve"> must obtain the approval of the </w:t>
      </w:r>
      <w:r>
        <w:rPr>
          <w:i/>
          <w:iCs/>
          <w:color w:val="000000"/>
          <w:sz w:val="21"/>
          <w:szCs w:val="21"/>
        </w:rPr>
        <w:t>Client</w:t>
      </w:r>
      <w:r>
        <w:rPr>
          <w:color w:val="000000"/>
          <w:sz w:val="21"/>
          <w:szCs w:val="21"/>
        </w:rPr>
        <w:t xml:space="preserve"> before making any of the following changes to the Service Provider Information Management System:</w:t>
      </w:r>
    </w:p>
    <w:p w14:paraId="2E066BC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significant change in the systems or components making up the Service Provider Information Management System;</w:t>
      </w:r>
    </w:p>
    <w:p w14:paraId="4760740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significant change in the operation or management of the Service Provider Information Management System; or</w:t>
      </w:r>
    </w:p>
    <w:p w14:paraId="5A4FEAC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appointment of a new, or the replacement of an existing:</w:t>
      </w:r>
    </w:p>
    <w:p w14:paraId="46EE19D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SIMS Sub-contractor; or</w:t>
      </w:r>
    </w:p>
    <w:p w14:paraId="37627FF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Sub-contractor that Handles Government Data.</w:t>
      </w:r>
    </w:p>
    <w:p w14:paraId="58D3C9F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seeking the </w:t>
      </w:r>
      <w:r>
        <w:rPr>
          <w:i/>
          <w:iCs/>
          <w:color w:val="000000"/>
          <w:sz w:val="21"/>
          <w:szCs w:val="21"/>
        </w:rPr>
        <w:t>C</w:t>
      </w:r>
      <w:r>
        <w:rPr>
          <w:i/>
          <w:iCs/>
          <w:color w:val="000000"/>
          <w:sz w:val="21"/>
          <w:szCs w:val="21"/>
        </w:rPr>
        <w:t>lient’s</w:t>
      </w:r>
      <w:r>
        <w:rPr>
          <w:color w:val="000000"/>
          <w:sz w:val="21"/>
          <w:szCs w:val="21"/>
        </w:rPr>
        <w:t xml:space="preserve"> approval to a proposed changes to the Service Provider Information Management System, the </w:t>
      </w:r>
      <w:r>
        <w:rPr>
          <w:i/>
          <w:iCs/>
          <w:color w:val="000000"/>
          <w:sz w:val="21"/>
          <w:szCs w:val="21"/>
        </w:rPr>
        <w:t>Service Provider</w:t>
      </w:r>
      <w:r>
        <w:rPr>
          <w:color w:val="000000"/>
          <w:sz w:val="21"/>
          <w:szCs w:val="21"/>
        </w:rPr>
        <w:t xml:space="preserve"> must:</w:t>
      </w:r>
    </w:p>
    <w:p w14:paraId="4FF730F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update the Required Changes Register;</w:t>
      </w:r>
    </w:p>
    <w:p w14:paraId="591F3F3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prepare a proposal for the </w:t>
      </w:r>
      <w:r>
        <w:rPr>
          <w:i/>
          <w:iCs/>
          <w:color w:val="000000"/>
          <w:sz w:val="21"/>
          <w:szCs w:val="21"/>
        </w:rPr>
        <w:t>Client</w:t>
      </w:r>
      <w:r>
        <w:rPr>
          <w:color w:val="000000"/>
          <w:sz w:val="21"/>
          <w:szCs w:val="21"/>
        </w:rPr>
        <w:t xml:space="preserve"> setting out:</w:t>
      </w:r>
    </w:p>
    <w:p w14:paraId="1EC8EAA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details of the proposed changes to the Service Pro</w:t>
      </w:r>
      <w:r>
        <w:rPr>
          <w:color w:val="000000"/>
          <w:sz w:val="21"/>
          <w:szCs w:val="21"/>
        </w:rPr>
        <w:t>vider Information Management System;</w:t>
      </w:r>
    </w:p>
    <w:p w14:paraId="1CDE37E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 assessment of the security implications of the proposed change;</w:t>
      </w:r>
    </w:p>
    <w:p w14:paraId="14132D6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risk assessment of the proposed change; and</w:t>
      </w:r>
    </w:p>
    <w:p w14:paraId="3EC085E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any proposed changes to the Security Management Plan; and</w:t>
      </w:r>
    </w:p>
    <w:p w14:paraId="7ADDDA7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that paper to the </w:t>
      </w:r>
      <w:r>
        <w:rPr>
          <w:i/>
          <w:iCs/>
          <w:color w:val="000000"/>
          <w:sz w:val="21"/>
          <w:szCs w:val="21"/>
        </w:rPr>
        <w:t>Client</w:t>
      </w:r>
      <w:r>
        <w:rPr>
          <w:color w:val="000000"/>
          <w:sz w:val="21"/>
          <w:szCs w:val="21"/>
        </w:rPr>
        <w:t xml:space="preserve"> no later than 30 Working Days before the date on which it will consider the proposed changes.</w:t>
      </w:r>
    </w:p>
    <w:p w14:paraId="2C11EDA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w:t>
      </w:r>
    </w:p>
    <w:p w14:paraId="46D6058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may request such further information as the </w:t>
      </w:r>
      <w:r>
        <w:rPr>
          <w:i/>
          <w:iCs/>
          <w:color w:val="000000"/>
          <w:sz w:val="21"/>
          <w:szCs w:val="21"/>
        </w:rPr>
        <w:t>Client</w:t>
      </w:r>
      <w:r>
        <w:rPr>
          <w:color w:val="000000"/>
          <w:sz w:val="21"/>
          <w:szCs w:val="21"/>
        </w:rPr>
        <w:t xml:space="preserve"> consider</w:t>
      </w:r>
      <w:r>
        <w:rPr>
          <w:color w:val="000000"/>
          <w:sz w:val="21"/>
          <w:szCs w:val="21"/>
        </w:rPr>
        <w:t>s necessary or desirable;</w:t>
      </w:r>
    </w:p>
    <w:p w14:paraId="1B9F66F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must provide its decision within 20 Working Days of the later of:</w:t>
      </w:r>
    </w:p>
    <w:p w14:paraId="4D3EA1F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date on which it receives the proposal; or</w:t>
      </w:r>
    </w:p>
    <w:p w14:paraId="76D796E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date on which it receives any requested further information;</w:t>
      </w:r>
    </w:p>
    <w:p w14:paraId="47C6166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must not:</w:t>
      </w:r>
    </w:p>
    <w:p w14:paraId="1555731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unreasonably refuse any proposal by the </w:t>
      </w:r>
      <w:r>
        <w:rPr>
          <w:i/>
          <w:iCs/>
          <w:color w:val="000000"/>
          <w:sz w:val="21"/>
          <w:szCs w:val="21"/>
        </w:rPr>
        <w:t>Service Provider</w:t>
      </w:r>
      <w:r>
        <w:rPr>
          <w:color w:val="000000"/>
          <w:sz w:val="21"/>
          <w:szCs w:val="21"/>
        </w:rPr>
        <w:t>; and</w:t>
      </w:r>
    </w:p>
    <w:p w14:paraId="0A2BEEE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must not make any approval subject to unreasonable conditions.</w:t>
      </w:r>
    </w:p>
    <w:p w14:paraId="5278CF5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does not provide a decision within the period specified in Paragraph 17.3.2, the proposal shall be deemed to have bee</w:t>
      </w:r>
      <w:r>
        <w:rPr>
          <w:color w:val="000000"/>
          <w:sz w:val="21"/>
          <w:szCs w:val="21"/>
        </w:rPr>
        <w:t>n accepted.</w:t>
      </w:r>
    </w:p>
    <w:p w14:paraId="7FB6F1A7"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Implementation of changes</w:t>
      </w:r>
    </w:p>
    <w:p w14:paraId="2861849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implements a necessary change to the Service Provider Information Management System to address a security related risk or vulnerability, the </w:t>
      </w:r>
      <w:r>
        <w:rPr>
          <w:i/>
          <w:iCs/>
          <w:color w:val="000000"/>
          <w:sz w:val="21"/>
          <w:szCs w:val="21"/>
        </w:rPr>
        <w:t>Service Provider</w:t>
      </w:r>
      <w:r>
        <w:rPr>
          <w:color w:val="000000"/>
          <w:sz w:val="21"/>
          <w:szCs w:val="21"/>
        </w:rPr>
        <w:t xml:space="preserve"> shall effect such change at its own cost and expense.</w:t>
      </w:r>
    </w:p>
    <w:p w14:paraId="40283E2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does not implement </w:t>
      </w:r>
      <w:r>
        <w:rPr>
          <w:color w:val="000000"/>
          <w:sz w:val="21"/>
          <w:szCs w:val="21"/>
        </w:rPr>
        <w:t>a necessary change to the Service Provider Information Management System to address a security related risk or vulnerability by the date set out in the Required Changes Register:</w:t>
      </w:r>
    </w:p>
    <w:p w14:paraId="62E4C82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that failure is a material default; and</w:t>
      </w:r>
    </w:p>
    <w:p w14:paraId="7DDED77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w:t>
      </w:r>
    </w:p>
    <w:p w14:paraId="68FD71A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immediately cease using the Service Provider Information Management System to Handle Government Data either:</w:t>
      </w:r>
    </w:p>
    <w:p w14:paraId="5DFF24E8"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until the default is remedied, or</w:t>
      </w:r>
    </w:p>
    <w:p w14:paraId="2037CC6C"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unless directed otherwise by the </w:t>
      </w:r>
      <w:r>
        <w:rPr>
          <w:i/>
          <w:iCs/>
          <w:color w:val="000000"/>
          <w:sz w:val="21"/>
          <w:szCs w:val="21"/>
        </w:rPr>
        <w:t>Client</w:t>
      </w:r>
      <w:r>
        <w:rPr>
          <w:color w:val="000000"/>
          <w:sz w:val="21"/>
          <w:szCs w:val="21"/>
        </w:rPr>
        <w:t xml:space="preserve"> in wr</w:t>
      </w:r>
      <w:r>
        <w:rPr>
          <w:color w:val="000000"/>
          <w:sz w:val="21"/>
          <w:szCs w:val="21"/>
        </w:rPr>
        <w:t xml:space="preserve">iting and then only in accordance with the </w:t>
      </w:r>
      <w:r>
        <w:rPr>
          <w:i/>
          <w:iCs/>
          <w:color w:val="000000"/>
          <w:sz w:val="21"/>
          <w:szCs w:val="21"/>
        </w:rPr>
        <w:t>Client’s</w:t>
      </w:r>
      <w:r>
        <w:rPr>
          <w:color w:val="000000"/>
          <w:sz w:val="21"/>
          <w:szCs w:val="21"/>
        </w:rPr>
        <w:t xml:space="preserve"> written directions; and</w:t>
      </w:r>
    </w:p>
    <w:p w14:paraId="17AA138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where such material default is capable of remedy, remedy such material default within the timescales set by the </w:t>
      </w:r>
      <w:r>
        <w:rPr>
          <w:i/>
          <w:iCs/>
          <w:color w:val="000000"/>
          <w:sz w:val="21"/>
          <w:szCs w:val="21"/>
        </w:rPr>
        <w:t>Client</w:t>
      </w:r>
      <w:r>
        <w:rPr>
          <w:color w:val="000000"/>
          <w:sz w:val="21"/>
          <w:szCs w:val="21"/>
        </w:rPr>
        <w:t xml:space="preserve"> (considering the security risks the material default presents</w:t>
      </w:r>
      <w:r>
        <w:rPr>
          <w:color w:val="000000"/>
          <w:sz w:val="21"/>
          <w:szCs w:val="21"/>
        </w:rPr>
        <w:t xml:space="preserve"> to the </w:t>
      </w:r>
      <w:r>
        <w:rPr>
          <w:i/>
          <w:iCs/>
          <w:color w:val="000000"/>
          <w:sz w:val="21"/>
          <w:szCs w:val="21"/>
        </w:rPr>
        <w:t>services</w:t>
      </w:r>
      <w:r>
        <w:rPr>
          <w:color w:val="000000"/>
          <w:sz w:val="21"/>
          <w:szCs w:val="21"/>
        </w:rPr>
        <w:t xml:space="preserve"> and/or the Service Provider Information Management System).</w:t>
      </w:r>
    </w:p>
    <w:p w14:paraId="72BC79D5"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Remediation Action Plan</w:t>
      </w:r>
    </w:p>
    <w:p w14:paraId="439AE560"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Preparation of Remediation Action Plan</w:t>
      </w:r>
    </w:p>
    <w:p w14:paraId="285E7D9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This Paragraph 18 applies when:</w:t>
      </w:r>
    </w:p>
    <w:p w14:paraId="4C053BB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Key Subcontractor Default occurs;</w:t>
      </w:r>
    </w:p>
    <w:p w14:paraId="7FD17D6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issues a Risk Management Rejection Notice; or</w:t>
      </w:r>
    </w:p>
    <w:p w14:paraId="22C3C32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receives a Security Test report identifies vulnerabilities in, or makes findings in respect of, the Service Provider Information Management System,</w:t>
      </w:r>
    </w:p>
    <w:p w14:paraId="4B22DC54" w14:textId="77777777" w:rsidR="007960A8" w:rsidRDefault="00A26397">
      <w:pPr>
        <w:widowControl/>
        <w:pBdr>
          <w:top w:val="nil"/>
          <w:left w:val="nil"/>
          <w:bottom w:val="nil"/>
          <w:right w:val="nil"/>
          <w:between w:val="nil"/>
        </w:pBdr>
        <w:spacing w:after="120" w:line="480" w:lineRule="auto"/>
        <w:ind w:left="1440"/>
        <w:jc w:val="both"/>
        <w:rPr>
          <w:color w:val="000000"/>
          <w:sz w:val="21"/>
          <w:szCs w:val="21"/>
        </w:rPr>
      </w:pPr>
      <w:r>
        <w:rPr>
          <w:color w:val="000000"/>
          <w:sz w:val="21"/>
          <w:szCs w:val="21"/>
        </w:rPr>
        <w:t>(each a RAP Trigger).</w:t>
      </w:r>
    </w:p>
    <w:p w14:paraId="136B539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within [20] Working Days of the occurrence of a RAP Trigger prepare and submit for approval to the </w:t>
      </w:r>
      <w:r>
        <w:rPr>
          <w:i/>
          <w:iCs/>
          <w:color w:val="000000"/>
          <w:sz w:val="21"/>
          <w:szCs w:val="21"/>
        </w:rPr>
        <w:t>Client</w:t>
      </w:r>
      <w:r>
        <w:rPr>
          <w:color w:val="000000"/>
          <w:sz w:val="21"/>
          <w:szCs w:val="21"/>
        </w:rPr>
        <w:t xml:space="preserve"> a draft plan (Remediation Action Plan).</w:t>
      </w:r>
    </w:p>
    <w:p w14:paraId="17728FD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draft Remediation Action Plan must, in respect of each issue raised by the RAP Trigg</w:t>
      </w:r>
      <w:r>
        <w:rPr>
          <w:color w:val="000000"/>
          <w:sz w:val="21"/>
          <w:szCs w:val="21"/>
        </w:rPr>
        <w:t>er, set out:</w:t>
      </w:r>
    </w:p>
    <w:p w14:paraId="2105DA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full details of that issue;</w:t>
      </w:r>
    </w:p>
    <w:p w14:paraId="788D79A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actual or anticipated effect of that issue;</w:t>
      </w:r>
    </w:p>
    <w:p w14:paraId="6680E3D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how the issue will be remedied;</w:t>
      </w:r>
    </w:p>
    <w:p w14:paraId="79B0B55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date by which the issue will be remedied; and</w:t>
      </w:r>
    </w:p>
    <w:p w14:paraId="0B29EAC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tests that the </w:t>
      </w:r>
      <w:r>
        <w:rPr>
          <w:i/>
          <w:iCs/>
          <w:color w:val="000000"/>
          <w:sz w:val="21"/>
          <w:szCs w:val="21"/>
        </w:rPr>
        <w:t>Service Provider</w:t>
      </w:r>
      <w:r>
        <w:rPr>
          <w:color w:val="000000"/>
          <w:sz w:val="21"/>
          <w:szCs w:val="21"/>
        </w:rPr>
        <w:t xml:space="preserve"> proposes to perform to confirm that the issue has</w:t>
      </w:r>
      <w:r>
        <w:rPr>
          <w:color w:val="000000"/>
          <w:sz w:val="21"/>
          <w:szCs w:val="21"/>
        </w:rPr>
        <w:t xml:space="preserve"> been remedied.</w:t>
      </w:r>
    </w:p>
    <w:p w14:paraId="6221A1CC"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Consideration of Remediation Action Plan</w:t>
      </w:r>
    </w:p>
    <w:p w14:paraId="3F48FB7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6DE3840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copy of any Remediation Action Plan it prepares;</w:t>
      </w:r>
    </w:p>
    <w:p w14:paraId="4C4C05A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have regarded to any comments the </w:t>
      </w:r>
      <w:r>
        <w:rPr>
          <w:i/>
          <w:iCs/>
          <w:color w:val="000000"/>
          <w:sz w:val="21"/>
          <w:szCs w:val="21"/>
        </w:rPr>
        <w:t>Client</w:t>
      </w:r>
      <w:r>
        <w:rPr>
          <w:color w:val="000000"/>
          <w:sz w:val="21"/>
          <w:szCs w:val="21"/>
        </w:rPr>
        <w:t xml:space="preserve"> provides in respect of the Remediation Action Plan; and</w:t>
      </w:r>
    </w:p>
    <w:p w14:paraId="1B82026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fully implement the Remediation Action Plan according to its terms.</w:t>
      </w:r>
    </w:p>
    <w:p w14:paraId="65A40E39"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Implementing an approved Remediation Action Plan</w:t>
      </w:r>
    </w:p>
    <w:p w14:paraId="61C29FD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implementing the Remediation Action Plan, the </w:t>
      </w:r>
      <w:r>
        <w:rPr>
          <w:i/>
          <w:iCs/>
          <w:color w:val="000000"/>
          <w:sz w:val="21"/>
          <w:szCs w:val="21"/>
        </w:rPr>
        <w:t>Service Provider</w:t>
      </w:r>
      <w:r>
        <w:rPr>
          <w:color w:val="000000"/>
          <w:sz w:val="21"/>
          <w:szCs w:val="21"/>
        </w:rPr>
        <w:t xml:space="preserve"> must conduct suc</w:t>
      </w:r>
      <w:r>
        <w:rPr>
          <w:color w:val="000000"/>
          <w:sz w:val="21"/>
          <w:szCs w:val="21"/>
        </w:rPr>
        <w:t>h further tests on the Service Provider Information Management System as are required by the Remediation Action Plan to confirm that the Remediation Action Plan has fully and correctly implemented.</w:t>
      </w:r>
    </w:p>
    <w:p w14:paraId="027B9E2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If any such testing identifies a new risk, new threat, vulnerability or exploitation technique with the potential to affect the security of the Service Provider Information Management System, the </w:t>
      </w:r>
      <w:r>
        <w:rPr>
          <w:i/>
          <w:iCs/>
          <w:color w:val="000000"/>
          <w:sz w:val="21"/>
          <w:szCs w:val="21"/>
        </w:rPr>
        <w:t>Service Provider</w:t>
      </w:r>
      <w:r>
        <w:rPr>
          <w:color w:val="000000"/>
          <w:sz w:val="21"/>
          <w:szCs w:val="21"/>
        </w:rPr>
        <w:t xml:space="preserve"> shall within [two] Working Days of becoming</w:t>
      </w:r>
      <w:r>
        <w:rPr>
          <w:color w:val="000000"/>
          <w:sz w:val="21"/>
          <w:szCs w:val="21"/>
        </w:rPr>
        <w:t xml:space="preserve"> aware of such risk, threat, vulnerability or exploitation technique:</w:t>
      </w:r>
    </w:p>
    <w:p w14:paraId="5B6E1E5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full, unedited and unredacted copy of the test report;</w:t>
      </w:r>
    </w:p>
    <w:p w14:paraId="2A8F055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implement interim mitigation measures to vulnerabilities in the Information System known to be exploitabl</w:t>
      </w:r>
      <w:r>
        <w:rPr>
          <w:color w:val="000000"/>
          <w:sz w:val="21"/>
          <w:szCs w:val="21"/>
        </w:rPr>
        <w:t>e where a security patch is not immediately available;</w:t>
      </w:r>
    </w:p>
    <w:p w14:paraId="4BCBBBC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as far as practicable, remove or disable any extraneous interfaces, services or capabilities not needed for the provision of the </w:t>
      </w:r>
      <w:r>
        <w:rPr>
          <w:i/>
          <w:iCs/>
          <w:color w:val="000000"/>
          <w:sz w:val="21"/>
          <w:szCs w:val="21"/>
        </w:rPr>
        <w:t>services</w:t>
      </w:r>
      <w:r>
        <w:rPr>
          <w:color w:val="000000"/>
          <w:sz w:val="21"/>
          <w:szCs w:val="21"/>
        </w:rPr>
        <w:t xml:space="preserve"> within the timescales set out in the test report or such other timescales as may be agreed with the </w:t>
      </w:r>
      <w:r>
        <w:rPr>
          <w:i/>
          <w:iCs/>
          <w:color w:val="000000"/>
          <w:sz w:val="21"/>
          <w:szCs w:val="21"/>
        </w:rPr>
        <w:t>Client</w:t>
      </w:r>
      <w:r>
        <w:rPr>
          <w:color w:val="000000"/>
          <w:sz w:val="21"/>
          <w:szCs w:val="21"/>
        </w:rPr>
        <w:t>.</w:t>
      </w:r>
    </w:p>
    <w:p w14:paraId="61EED851"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Independen</w:t>
      </w:r>
      <w:r>
        <w:rPr>
          <w:b/>
          <w:bCs/>
          <w:color w:val="000000"/>
          <w:sz w:val="21"/>
          <w:szCs w:val="21"/>
        </w:rPr>
        <w:t>t Security Adviser</w:t>
      </w:r>
    </w:p>
    <w:p w14:paraId="22ED894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require the appointment of an Independent Security Adviser where:</w:t>
      </w:r>
    </w:p>
    <w:p w14:paraId="0DB800D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there is a proposed change to the Service Provider Information Management System (see Paragraph 11.5);</w:t>
      </w:r>
    </w:p>
    <w:p w14:paraId="6705441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issues two or more Risk Management Rejecti</w:t>
      </w:r>
      <w:r>
        <w:rPr>
          <w:color w:val="000000"/>
          <w:sz w:val="21"/>
          <w:szCs w:val="21"/>
        </w:rPr>
        <w:t>on Notices (see Paragraph 16.2); or</w:t>
      </w:r>
    </w:p>
    <w:p w14:paraId="50114C1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either:</w:t>
      </w:r>
    </w:p>
    <w:p w14:paraId="42A006B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Security Test report identifies more than ten vulnerabilities classified as either critical or high; or</w:t>
      </w:r>
    </w:p>
    <w:p w14:paraId="102F3CF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rejected a revised draft Remediation Action Plan (see Paragraph 12.21 of Appendix 1).</w:t>
      </w:r>
    </w:p>
    <w:p w14:paraId="7F43251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requires the appointment of an Independent Security Adviser the Independent Security Adviser shall be:</w:t>
      </w:r>
    </w:p>
    <w:p w14:paraId="4DF4227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 person selected by the </w:t>
      </w:r>
      <w:r>
        <w:rPr>
          <w:i/>
          <w:iCs/>
          <w:color w:val="000000"/>
          <w:sz w:val="21"/>
          <w:szCs w:val="21"/>
        </w:rPr>
        <w:t>Service Provider</w:t>
      </w:r>
      <w:r>
        <w:rPr>
          <w:color w:val="000000"/>
          <w:sz w:val="21"/>
          <w:szCs w:val="21"/>
        </w:rPr>
        <w:t xml:space="preserve"> and app</w:t>
      </w:r>
      <w:r>
        <w:rPr>
          <w:color w:val="000000"/>
          <w:sz w:val="21"/>
          <w:szCs w:val="21"/>
        </w:rPr>
        <w:t xml:space="preserve">roved by the </w:t>
      </w:r>
      <w:r>
        <w:rPr>
          <w:i/>
          <w:iCs/>
          <w:color w:val="000000"/>
          <w:sz w:val="21"/>
          <w:szCs w:val="21"/>
        </w:rPr>
        <w:t>Client</w:t>
      </w:r>
      <w:r>
        <w:rPr>
          <w:color w:val="000000"/>
          <w:sz w:val="21"/>
          <w:szCs w:val="21"/>
        </w:rPr>
        <w:t>; or</w:t>
      </w:r>
    </w:p>
    <w:p w14:paraId="29DA904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w:t>
      </w:r>
    </w:p>
    <w:p w14:paraId="40DE19A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does not approve the persons selected by the </w:t>
      </w:r>
      <w:r>
        <w:rPr>
          <w:i/>
          <w:iCs/>
          <w:color w:val="000000"/>
          <w:sz w:val="21"/>
          <w:szCs w:val="21"/>
        </w:rPr>
        <w:t>Service</w:t>
      </w:r>
      <w:r>
        <w:rPr>
          <w:color w:val="000000"/>
          <w:sz w:val="21"/>
          <w:szCs w:val="21"/>
        </w:rPr>
        <w:t xml:space="preserve"> </w:t>
      </w:r>
      <w:r>
        <w:rPr>
          <w:i/>
          <w:iCs/>
          <w:color w:val="000000"/>
          <w:sz w:val="21"/>
          <w:szCs w:val="21"/>
        </w:rPr>
        <w:t>Provider</w:t>
      </w:r>
      <w:r>
        <w:rPr>
          <w:color w:val="000000"/>
          <w:sz w:val="21"/>
          <w:szCs w:val="21"/>
        </w:rPr>
        <w:t>; or</w:t>
      </w:r>
    </w:p>
    <w:p w14:paraId="238C2E4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does not select any person within ten Working Days of the date of the notice requiring the Independent Security Adviser’s appointment,</w:t>
      </w:r>
    </w:p>
    <w:p w14:paraId="53D77217" w14:textId="77777777" w:rsidR="007960A8" w:rsidRDefault="00A26397">
      <w:pPr>
        <w:widowControl/>
        <w:pBdr>
          <w:top w:val="nil"/>
          <w:left w:val="nil"/>
          <w:bottom w:val="nil"/>
          <w:right w:val="nil"/>
          <w:between w:val="nil"/>
        </w:pBdr>
        <w:spacing w:after="240"/>
        <w:ind w:left="1440"/>
        <w:jc w:val="both"/>
        <w:rPr>
          <w:color w:val="000000"/>
          <w:sz w:val="21"/>
          <w:szCs w:val="21"/>
        </w:rPr>
      </w:pPr>
      <w:r>
        <w:rPr>
          <w:color w:val="000000"/>
          <w:sz w:val="21"/>
          <w:szCs w:val="21"/>
        </w:rPr>
        <w:t xml:space="preserve">a person selected by the </w:t>
      </w:r>
      <w:r>
        <w:rPr>
          <w:i/>
          <w:iCs/>
          <w:color w:val="000000"/>
          <w:sz w:val="21"/>
          <w:szCs w:val="21"/>
        </w:rPr>
        <w:t>Client</w:t>
      </w:r>
      <w:r>
        <w:rPr>
          <w:color w:val="000000"/>
          <w:sz w:val="21"/>
          <w:szCs w:val="21"/>
        </w:rPr>
        <w:t>.</w:t>
      </w:r>
    </w:p>
    <w:p w14:paraId="0B40CD9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terms of the Independent Security Adviser’s appointment shall require that person to:</w:t>
      </w:r>
    </w:p>
    <w:p w14:paraId="501B457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undertake a detailed review, including a full root cause analysis where the Independent Security Adviser considers it appropriate to do so, of the circumstances that </w:t>
      </w:r>
      <w:r>
        <w:rPr>
          <w:color w:val="000000"/>
          <w:sz w:val="21"/>
          <w:szCs w:val="21"/>
        </w:rPr>
        <w:t>led to that person’s appointment; and</w:t>
      </w:r>
    </w:p>
    <w:p w14:paraId="414592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provide advice and recommendations on:</w:t>
      </w:r>
    </w:p>
    <w:p w14:paraId="24FF99D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steps the </w:t>
      </w:r>
      <w:r>
        <w:rPr>
          <w:i/>
          <w:iCs/>
          <w:color w:val="000000"/>
          <w:sz w:val="21"/>
          <w:szCs w:val="21"/>
        </w:rPr>
        <w:t>Service Provider</w:t>
      </w:r>
      <w:r>
        <w:rPr>
          <w:color w:val="000000"/>
          <w:sz w:val="21"/>
          <w:szCs w:val="21"/>
        </w:rPr>
        <w:t xml:space="preserve"> can reasonably take to improve the security of the Service Provider Information Management System; and</w:t>
      </w:r>
    </w:p>
    <w:p w14:paraId="7CBDA6A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where relevant, how the </w:t>
      </w:r>
      <w:r>
        <w:rPr>
          <w:i/>
          <w:iCs/>
          <w:color w:val="000000"/>
          <w:sz w:val="21"/>
          <w:szCs w:val="21"/>
        </w:rPr>
        <w:t>Service Provider</w:t>
      </w:r>
      <w:r>
        <w:rPr>
          <w:color w:val="000000"/>
          <w:sz w:val="21"/>
          <w:szCs w:val="21"/>
        </w:rPr>
        <w:t xml:space="preserve"> may mitigate the effects of, and remedy, those and to avoid the occurrence of similar circumstances to those le</w:t>
      </w:r>
      <w:r>
        <w:rPr>
          <w:color w:val="000000"/>
          <w:sz w:val="21"/>
          <w:szCs w:val="21"/>
        </w:rPr>
        <w:t>ading to the appointment of the Independent Security Adviser in the future.</w:t>
      </w:r>
    </w:p>
    <w:p w14:paraId="12AEE41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permit, and must ensure that relevant Sub-contractors permit, the Independent Security Adviser to:</w:t>
      </w:r>
    </w:p>
    <w:p w14:paraId="5A71A37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observe the conduct of and work alongside the Service P</w:t>
      </w:r>
      <w:r>
        <w:rPr>
          <w:color w:val="000000"/>
          <w:sz w:val="21"/>
          <w:szCs w:val="21"/>
        </w:rPr>
        <w:t>rovider Staff to the extent that the Independent Security Adviser considers reasonable and proportionate having regard to reason for their appointment;</w:t>
      </w:r>
    </w:p>
    <w:p w14:paraId="54990D4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gather any information the Independent Security Adviser considers relevant in the furtherance of their a</w:t>
      </w:r>
      <w:r>
        <w:rPr>
          <w:color w:val="000000"/>
          <w:sz w:val="21"/>
          <w:szCs w:val="21"/>
        </w:rPr>
        <w:t>ppointment;</w:t>
      </w:r>
    </w:p>
    <w:p w14:paraId="0E9E6E9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write reports and provide information to the </w:t>
      </w:r>
      <w:r>
        <w:rPr>
          <w:i/>
          <w:iCs/>
          <w:color w:val="000000"/>
          <w:sz w:val="21"/>
          <w:szCs w:val="21"/>
        </w:rPr>
        <w:t>Client</w:t>
      </w:r>
      <w:r>
        <w:rPr>
          <w:color w:val="000000"/>
          <w:sz w:val="21"/>
          <w:szCs w:val="21"/>
        </w:rPr>
        <w:t xml:space="preserve"> in connection with the steps being taken by the </w:t>
      </w:r>
      <w:r>
        <w:rPr>
          <w:i/>
          <w:iCs/>
          <w:color w:val="000000"/>
          <w:sz w:val="21"/>
          <w:szCs w:val="21"/>
        </w:rPr>
        <w:t>Service Provider</w:t>
      </w:r>
      <w:r>
        <w:rPr>
          <w:color w:val="000000"/>
          <w:sz w:val="21"/>
          <w:szCs w:val="21"/>
        </w:rPr>
        <w:t xml:space="preserve"> to remedy the matters leading to the Independent Security Adviser’s appointment;</w:t>
      </w:r>
    </w:p>
    <w:p w14:paraId="6F04CFD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make recommendations to the </w:t>
      </w:r>
      <w:r>
        <w:rPr>
          <w:i/>
          <w:iCs/>
          <w:color w:val="000000"/>
          <w:sz w:val="21"/>
          <w:szCs w:val="21"/>
        </w:rPr>
        <w:t>Client</w:t>
      </w:r>
      <w:r>
        <w:rPr>
          <w:color w:val="000000"/>
          <w:sz w:val="21"/>
          <w:szCs w:val="21"/>
        </w:rPr>
        <w:t xml:space="preserve"> and/or the </w:t>
      </w:r>
      <w:r>
        <w:rPr>
          <w:i/>
          <w:iCs/>
          <w:color w:val="000000"/>
          <w:sz w:val="21"/>
          <w:szCs w:val="21"/>
        </w:rPr>
        <w:t>Service Provider</w:t>
      </w:r>
      <w:r>
        <w:rPr>
          <w:color w:val="000000"/>
          <w:sz w:val="21"/>
          <w:szCs w:val="21"/>
        </w:rPr>
        <w:t xml:space="preserve"> as to how the matters leading to their appointment might be mitigated or avoided in the future; and/or</w:t>
      </w:r>
    </w:p>
    <w:p w14:paraId="26A5A40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take any other steps that the </w:t>
      </w:r>
      <w:r>
        <w:rPr>
          <w:i/>
          <w:iCs/>
          <w:color w:val="000000"/>
          <w:sz w:val="21"/>
          <w:szCs w:val="21"/>
        </w:rPr>
        <w:t>Client</w:t>
      </w:r>
      <w:r>
        <w:rPr>
          <w:color w:val="000000"/>
          <w:sz w:val="21"/>
          <w:szCs w:val="21"/>
        </w:rPr>
        <w:t xml:space="preserve"> and/or the Independent Security Adviser reasonably considers necessary or expedient in order to mit</w:t>
      </w:r>
      <w:r>
        <w:rPr>
          <w:color w:val="000000"/>
          <w:sz w:val="21"/>
          <w:szCs w:val="21"/>
        </w:rPr>
        <w:t>igate or rectify matters leading to the Independent Security Adviser’s appointment.</w:t>
      </w:r>
    </w:p>
    <w:p w14:paraId="3B915F7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ensure that relevant Sub-contractors:</w:t>
      </w:r>
    </w:p>
    <w:p w14:paraId="5307BB9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relevant, work alongside, provide information to, cooperate in good faith with and adopt any reas</w:t>
      </w:r>
      <w:r>
        <w:rPr>
          <w:color w:val="000000"/>
          <w:sz w:val="21"/>
          <w:szCs w:val="21"/>
        </w:rPr>
        <w:t xml:space="preserve">onable methodology in providing the </w:t>
      </w:r>
      <w:r>
        <w:rPr>
          <w:i/>
          <w:iCs/>
          <w:color w:val="000000"/>
          <w:sz w:val="21"/>
          <w:szCs w:val="21"/>
        </w:rPr>
        <w:t>services</w:t>
      </w:r>
      <w:r>
        <w:rPr>
          <w:color w:val="000000"/>
          <w:sz w:val="21"/>
          <w:szCs w:val="21"/>
        </w:rPr>
        <w:t xml:space="preserve"> recommended by the Independent Security Adviser in order to mitigate or rectify any of the vulnerabilities that led to the appointment of the Independent Security Adviser;</w:t>
      </w:r>
    </w:p>
    <w:p w14:paraId="6AB51AA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the Independent Security Adviser has all the access it may require in order to carry out its objective, including access to the Assets;</w:t>
      </w:r>
    </w:p>
    <w:p w14:paraId="40CD31D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submit to such monitoring as the </w:t>
      </w:r>
      <w:r>
        <w:rPr>
          <w:i/>
          <w:iCs/>
          <w:color w:val="000000"/>
          <w:sz w:val="21"/>
          <w:szCs w:val="21"/>
        </w:rPr>
        <w:t>Client</w:t>
      </w:r>
      <w:r>
        <w:rPr>
          <w:color w:val="000000"/>
          <w:sz w:val="21"/>
          <w:szCs w:val="21"/>
        </w:rPr>
        <w:t xml:space="preserve"> and/or the Independent Security Adviser considers reasonable and proportionate in respect of the matters giving rise to their appointment;</w:t>
      </w:r>
    </w:p>
    <w:p w14:paraId="1AFEF56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implement any recommendations (including additional security measures and/or controls) made by the Independent Secur</w:t>
      </w:r>
      <w:r>
        <w:rPr>
          <w:color w:val="000000"/>
          <w:sz w:val="21"/>
          <w:szCs w:val="21"/>
        </w:rPr>
        <w:t xml:space="preserve">ity Adviser that have been approved by the </w:t>
      </w:r>
      <w:r>
        <w:rPr>
          <w:i/>
          <w:iCs/>
          <w:color w:val="000000"/>
          <w:sz w:val="21"/>
          <w:szCs w:val="21"/>
        </w:rPr>
        <w:t>Client</w:t>
      </w:r>
      <w:r>
        <w:rPr>
          <w:color w:val="000000"/>
          <w:sz w:val="21"/>
          <w:szCs w:val="21"/>
        </w:rPr>
        <w:t xml:space="preserve"> within the timescales given by the Independent Security Adviser; and</w:t>
      </w:r>
    </w:p>
    <w:p w14:paraId="42185B0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not terminate the appointment of the Independent Security Adviser without the prior consent of the </w:t>
      </w:r>
      <w:r>
        <w:rPr>
          <w:i/>
          <w:iCs/>
          <w:color w:val="000000"/>
          <w:sz w:val="21"/>
          <w:szCs w:val="21"/>
        </w:rPr>
        <w:t>Client</w:t>
      </w:r>
      <w:r>
        <w:rPr>
          <w:color w:val="000000"/>
          <w:sz w:val="21"/>
          <w:szCs w:val="21"/>
        </w:rPr>
        <w:t xml:space="preserve"> (unless such consent has been u</w:t>
      </w:r>
      <w:r>
        <w:rPr>
          <w:color w:val="000000"/>
          <w:sz w:val="21"/>
          <w:szCs w:val="21"/>
        </w:rPr>
        <w:t>nreasonably withheld).</w:t>
      </w:r>
    </w:p>
    <w:p w14:paraId="3B68549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be responsible for:</w:t>
      </w:r>
    </w:p>
    <w:p w14:paraId="2C81D7C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costs of appointing, and the fees charged by, the Independent Security Adviser; and</w:t>
      </w:r>
    </w:p>
    <w:p w14:paraId="0C40E77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its own costs in connection with any action required by the </w:t>
      </w:r>
      <w:r>
        <w:rPr>
          <w:i/>
          <w:iCs/>
          <w:color w:val="000000"/>
          <w:sz w:val="21"/>
          <w:szCs w:val="21"/>
        </w:rPr>
        <w:t>Client</w:t>
      </w:r>
      <w:r>
        <w:rPr>
          <w:color w:val="000000"/>
          <w:sz w:val="21"/>
          <w:szCs w:val="21"/>
        </w:rPr>
        <w:t xml:space="preserve"> and/or the Independent Security</w:t>
      </w:r>
      <w:r>
        <w:rPr>
          <w:color w:val="000000"/>
          <w:sz w:val="21"/>
          <w:szCs w:val="21"/>
        </w:rPr>
        <w:t xml:space="preserve"> Adviser.</w:t>
      </w:r>
    </w:p>
    <w:p w14:paraId="30FC436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or any relevant Sub-contractor:</w:t>
      </w:r>
    </w:p>
    <w:p w14:paraId="58B1ABD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fails to perform any of the steps required by the </w:t>
      </w:r>
      <w:r>
        <w:rPr>
          <w:i/>
          <w:iCs/>
          <w:color w:val="000000"/>
          <w:sz w:val="21"/>
          <w:szCs w:val="21"/>
        </w:rPr>
        <w:t>Client</w:t>
      </w:r>
      <w:r>
        <w:rPr>
          <w:color w:val="000000"/>
          <w:sz w:val="21"/>
          <w:szCs w:val="21"/>
        </w:rPr>
        <w:t xml:space="preserve"> in the notice appointing the Independent Security Adviser; and/or</w:t>
      </w:r>
    </w:p>
    <w:p w14:paraId="331A3B8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in default of any of its obligations under this Paragraph 19,</w:t>
      </w:r>
    </w:p>
    <w:p w14:paraId="1069D35B" w14:textId="77777777" w:rsidR="007960A8" w:rsidRDefault="00A26397">
      <w:pPr>
        <w:widowControl/>
        <w:pBdr>
          <w:top w:val="nil"/>
          <w:left w:val="nil"/>
          <w:bottom w:val="nil"/>
          <w:right w:val="nil"/>
          <w:between w:val="nil"/>
        </w:pBdr>
        <w:spacing w:after="240"/>
        <w:ind w:left="1440"/>
        <w:jc w:val="both"/>
        <w:rPr>
          <w:color w:val="000000"/>
          <w:sz w:val="21"/>
          <w:szCs w:val="21"/>
        </w:rPr>
      </w:pPr>
      <w:r>
        <w:rPr>
          <w:color w:val="000000"/>
          <w:sz w:val="21"/>
          <w:szCs w:val="21"/>
        </w:rPr>
        <w:t>this is a material default that is not capable of remedy.</w:t>
      </w:r>
    </w:p>
    <w:p w14:paraId="46DDF77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Withholding of Payment</w:t>
      </w:r>
    </w:p>
    <w:p w14:paraId="4C6B6CE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Notwithstanding any other provision of this Contract, the </w:t>
      </w:r>
      <w:r>
        <w:rPr>
          <w:i/>
          <w:iCs/>
          <w:color w:val="000000"/>
          <w:sz w:val="21"/>
          <w:szCs w:val="21"/>
        </w:rPr>
        <w:t>Client</w:t>
      </w:r>
      <w:r>
        <w:rPr>
          <w:color w:val="000000"/>
          <w:sz w:val="21"/>
          <w:szCs w:val="21"/>
        </w:rPr>
        <w:t xml:space="preserve"> may withhold any payments that would otherwise be due under the Contract where:</w:t>
      </w:r>
    </w:p>
    <w:p w14:paraId="503E414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is in mat</w:t>
      </w:r>
      <w:r>
        <w:rPr>
          <w:color w:val="000000"/>
          <w:sz w:val="21"/>
          <w:szCs w:val="21"/>
        </w:rPr>
        <w:t>erial default of any of its obligations under this Schedule; or</w:t>
      </w:r>
    </w:p>
    <w:p w14:paraId="7F5BD6D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 Notifiable Default occurs (where the Notifiable Default arises from a default by the </w:t>
      </w:r>
      <w:r>
        <w:rPr>
          <w:i/>
          <w:iCs/>
          <w:color w:val="000000"/>
          <w:sz w:val="21"/>
          <w:szCs w:val="21"/>
        </w:rPr>
        <w:t>Service Provider</w:t>
      </w:r>
      <w:r>
        <w:rPr>
          <w:color w:val="000000"/>
          <w:sz w:val="21"/>
          <w:szCs w:val="21"/>
        </w:rPr>
        <w:t xml:space="preserve"> of its obligations under this this Schedule):</w:t>
      </w:r>
    </w:p>
    <w:p w14:paraId="014E45A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Providing the </w:t>
      </w:r>
      <w:r>
        <w:rPr>
          <w:i/>
          <w:iCs/>
          <w:color w:val="000000"/>
          <w:sz w:val="21"/>
          <w:szCs w:val="21"/>
        </w:rPr>
        <w:t>Service Manager</w:t>
      </w:r>
      <w:r>
        <w:rPr>
          <w:color w:val="000000"/>
          <w:sz w:val="21"/>
          <w:szCs w:val="21"/>
        </w:rPr>
        <w:t xml:space="preserve"> has detailed any amounts withheld in either its certificate issued under clause 51.1 or a Notice of intention to pay less is issued under Y(UK2) 2.3, the </w:t>
      </w:r>
      <w:r>
        <w:rPr>
          <w:i/>
          <w:iCs/>
          <w:color w:val="000000"/>
          <w:sz w:val="21"/>
          <w:szCs w:val="21"/>
        </w:rPr>
        <w:t>Client</w:t>
      </w:r>
      <w:r>
        <w:rPr>
          <w:color w:val="000000"/>
          <w:sz w:val="21"/>
          <w:szCs w:val="21"/>
        </w:rPr>
        <w:t xml:space="preserve"> may withhold an am</w:t>
      </w:r>
      <w:r>
        <w:rPr>
          <w:color w:val="000000"/>
          <w:sz w:val="21"/>
          <w:szCs w:val="21"/>
        </w:rPr>
        <w:t xml:space="preserve">ount of the payment that it considers sufficient, in its sole discretion, to incentivise the </w:t>
      </w:r>
      <w:r>
        <w:rPr>
          <w:i/>
          <w:iCs/>
          <w:color w:val="000000"/>
          <w:sz w:val="21"/>
          <w:szCs w:val="21"/>
        </w:rPr>
        <w:t>Service Provider</w:t>
      </w:r>
      <w:r>
        <w:rPr>
          <w:color w:val="000000"/>
          <w:sz w:val="21"/>
          <w:szCs w:val="21"/>
        </w:rPr>
        <w:t xml:space="preserve"> to perform the obligations it has defaulted upon.</w:t>
      </w:r>
    </w:p>
    <w:p w14:paraId="32D31D9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Before withholding any payments under Paragraph 20.1 the </w:t>
      </w:r>
      <w:r>
        <w:rPr>
          <w:i/>
          <w:iCs/>
          <w:color w:val="000000"/>
          <w:sz w:val="21"/>
          <w:szCs w:val="21"/>
        </w:rPr>
        <w:t>Client</w:t>
      </w:r>
      <w:r>
        <w:rPr>
          <w:color w:val="000000"/>
          <w:sz w:val="21"/>
          <w:szCs w:val="21"/>
        </w:rPr>
        <w:t xml:space="preserve"> must</w:t>
      </w:r>
    </w:p>
    <w:p w14:paraId="68220D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provide written notice to t</w:t>
      </w:r>
      <w:r>
        <w:rPr>
          <w:color w:val="000000"/>
          <w:sz w:val="21"/>
          <w:szCs w:val="21"/>
        </w:rPr>
        <w:t xml:space="preserve">he </w:t>
      </w:r>
      <w:r>
        <w:rPr>
          <w:i/>
          <w:iCs/>
          <w:color w:val="000000"/>
          <w:sz w:val="21"/>
          <w:szCs w:val="21"/>
        </w:rPr>
        <w:t>Service Provider</w:t>
      </w:r>
      <w:r>
        <w:rPr>
          <w:color w:val="000000"/>
          <w:sz w:val="21"/>
          <w:szCs w:val="21"/>
        </w:rPr>
        <w:t xml:space="preserve"> setting out:</w:t>
      </w:r>
    </w:p>
    <w:p w14:paraId="7D7A692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default in respect of which the </w:t>
      </w:r>
      <w:r>
        <w:rPr>
          <w:i/>
          <w:iCs/>
          <w:color w:val="000000"/>
          <w:sz w:val="21"/>
          <w:szCs w:val="21"/>
        </w:rPr>
        <w:t>Client</w:t>
      </w:r>
      <w:r>
        <w:rPr>
          <w:color w:val="000000"/>
          <w:sz w:val="21"/>
          <w:szCs w:val="21"/>
        </w:rPr>
        <w:t xml:space="preserve"> has decided to withhold some or all of the payments otherwise due;</w:t>
      </w:r>
    </w:p>
    <w:p w14:paraId="5C20F68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amount of the payment that the </w:t>
      </w:r>
      <w:r>
        <w:rPr>
          <w:i/>
          <w:iCs/>
          <w:color w:val="000000"/>
          <w:sz w:val="21"/>
          <w:szCs w:val="21"/>
        </w:rPr>
        <w:t>Client</w:t>
      </w:r>
      <w:r>
        <w:rPr>
          <w:color w:val="000000"/>
          <w:sz w:val="21"/>
          <w:szCs w:val="21"/>
        </w:rPr>
        <w:t xml:space="preserve"> will withhold;</w:t>
      </w:r>
    </w:p>
    <w:p w14:paraId="779F62F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steps the </w:t>
      </w:r>
      <w:r>
        <w:rPr>
          <w:i/>
          <w:iCs/>
          <w:color w:val="000000"/>
          <w:sz w:val="21"/>
          <w:szCs w:val="21"/>
        </w:rPr>
        <w:t>Service Provider</w:t>
      </w:r>
      <w:r>
        <w:rPr>
          <w:color w:val="000000"/>
          <w:sz w:val="21"/>
          <w:szCs w:val="21"/>
        </w:rPr>
        <w:t xml:space="preserve"> must take to remedy the d</w:t>
      </w:r>
      <w:r>
        <w:rPr>
          <w:color w:val="000000"/>
          <w:sz w:val="21"/>
          <w:szCs w:val="21"/>
        </w:rPr>
        <w:t>efault;</w:t>
      </w:r>
    </w:p>
    <w:p w14:paraId="38A3FB6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date by which the </w:t>
      </w:r>
      <w:r>
        <w:rPr>
          <w:i/>
          <w:iCs/>
          <w:color w:val="000000"/>
          <w:sz w:val="21"/>
          <w:szCs w:val="21"/>
        </w:rPr>
        <w:t>Service Provider</w:t>
      </w:r>
      <w:r>
        <w:rPr>
          <w:color w:val="000000"/>
          <w:sz w:val="21"/>
          <w:szCs w:val="21"/>
        </w:rPr>
        <w:t xml:space="preserve"> must remedy the default;</w:t>
      </w:r>
    </w:p>
    <w:p w14:paraId="05F0E42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application in respect of which the </w:t>
      </w:r>
      <w:r>
        <w:rPr>
          <w:i/>
          <w:iCs/>
          <w:color w:val="000000"/>
          <w:sz w:val="21"/>
          <w:szCs w:val="21"/>
        </w:rPr>
        <w:t>Client</w:t>
      </w:r>
      <w:r>
        <w:rPr>
          <w:color w:val="000000"/>
          <w:sz w:val="21"/>
          <w:szCs w:val="21"/>
        </w:rPr>
        <w:t xml:space="preserve"> will withhold the payment; and</w:t>
      </w:r>
    </w:p>
    <w:p w14:paraId="056D936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consider any representations that the </w:t>
      </w:r>
      <w:r>
        <w:rPr>
          <w:i/>
          <w:iCs/>
          <w:color w:val="000000"/>
          <w:sz w:val="21"/>
          <w:szCs w:val="21"/>
        </w:rPr>
        <w:t>Service Provider</w:t>
      </w:r>
      <w:r>
        <w:rPr>
          <w:color w:val="000000"/>
          <w:sz w:val="21"/>
          <w:szCs w:val="21"/>
        </w:rPr>
        <w:t xml:space="preserve"> may make concerning the </w:t>
      </w:r>
      <w:r>
        <w:rPr>
          <w:i/>
          <w:iCs/>
          <w:color w:val="000000"/>
          <w:sz w:val="21"/>
          <w:szCs w:val="21"/>
        </w:rPr>
        <w:t>Client</w:t>
      </w:r>
      <w:r>
        <w:rPr>
          <w:color w:val="000000"/>
          <w:sz w:val="21"/>
          <w:szCs w:val="21"/>
        </w:rPr>
        <w:t>’s decision.</w:t>
      </w:r>
    </w:p>
    <w:p w14:paraId="57BD553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does not remedy the default by the date specified in the notice given under Paragraph 20.3.1, the </w:t>
      </w:r>
      <w:r>
        <w:rPr>
          <w:i/>
          <w:iCs/>
          <w:color w:val="000000"/>
          <w:sz w:val="21"/>
          <w:szCs w:val="21"/>
        </w:rPr>
        <w:t>Client</w:t>
      </w:r>
      <w:r>
        <w:rPr>
          <w:color w:val="000000"/>
          <w:sz w:val="21"/>
          <w:szCs w:val="21"/>
        </w:rPr>
        <w:t xml:space="preserve"> may retain the withheld amount.</w:t>
      </w:r>
    </w:p>
    <w:p w14:paraId="157C48E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acknowledges:</w:t>
      </w:r>
    </w:p>
    <w:p w14:paraId="5C047DE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legitimate interest that the </w:t>
      </w:r>
      <w:r>
        <w:rPr>
          <w:i/>
          <w:iCs/>
          <w:color w:val="000000"/>
          <w:sz w:val="21"/>
          <w:szCs w:val="21"/>
        </w:rPr>
        <w:t>Client</w:t>
      </w:r>
      <w:r>
        <w:rPr>
          <w:color w:val="000000"/>
          <w:sz w:val="21"/>
          <w:szCs w:val="21"/>
        </w:rPr>
        <w:t xml:space="preserve"> has in ensuring t</w:t>
      </w:r>
      <w:r>
        <w:rPr>
          <w:color w:val="000000"/>
          <w:sz w:val="21"/>
          <w:szCs w:val="21"/>
        </w:rPr>
        <w:t xml:space="preserve">he security of the Service Provider Information Management System and the Government Data and, as a consequence, the performance by the </w:t>
      </w:r>
      <w:r>
        <w:rPr>
          <w:i/>
          <w:iCs/>
          <w:color w:val="000000"/>
          <w:sz w:val="21"/>
          <w:szCs w:val="21"/>
        </w:rPr>
        <w:t>Service Provider</w:t>
      </w:r>
      <w:r>
        <w:rPr>
          <w:color w:val="000000"/>
          <w:sz w:val="21"/>
          <w:szCs w:val="21"/>
        </w:rPr>
        <w:t xml:space="preserve"> of its obligations under this Schedule; and</w:t>
      </w:r>
    </w:p>
    <w:p w14:paraId="33601B6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that any payments that are retained by the </w:t>
      </w:r>
      <w:r>
        <w:rPr>
          <w:i/>
          <w:iCs/>
          <w:color w:val="000000"/>
          <w:sz w:val="21"/>
          <w:szCs w:val="21"/>
        </w:rPr>
        <w:t>Client</w:t>
      </w:r>
      <w:r>
        <w:rPr>
          <w:color w:val="000000"/>
          <w:sz w:val="21"/>
          <w:szCs w:val="21"/>
        </w:rPr>
        <w:t xml:space="preserve"> are not o</w:t>
      </w:r>
      <w:r>
        <w:rPr>
          <w:color w:val="000000"/>
          <w:sz w:val="21"/>
          <w:szCs w:val="21"/>
        </w:rPr>
        <w:t xml:space="preserve">ut of all proportion to the </w:t>
      </w:r>
      <w:r>
        <w:rPr>
          <w:i/>
          <w:iCs/>
          <w:color w:val="000000"/>
          <w:sz w:val="21"/>
          <w:szCs w:val="21"/>
        </w:rPr>
        <w:t>Client’s</w:t>
      </w:r>
      <w:r>
        <w:rPr>
          <w:color w:val="000000"/>
          <w:sz w:val="21"/>
          <w:szCs w:val="21"/>
        </w:rPr>
        <w:t xml:space="preserve"> legitimate interest, even where:</w:t>
      </w:r>
    </w:p>
    <w:p w14:paraId="0907451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suffered any Losses as a result of the </w:t>
      </w:r>
      <w:r>
        <w:rPr>
          <w:i/>
          <w:iCs/>
          <w:color w:val="000000"/>
          <w:sz w:val="21"/>
          <w:szCs w:val="21"/>
        </w:rPr>
        <w:t>Service Provider’s</w:t>
      </w:r>
      <w:r>
        <w:rPr>
          <w:color w:val="000000"/>
          <w:sz w:val="21"/>
          <w:szCs w:val="21"/>
        </w:rPr>
        <w:t xml:space="preserve"> default; or</w:t>
      </w:r>
    </w:p>
    <w:p w14:paraId="76F31A1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value of the Losses suffered by the </w:t>
      </w:r>
      <w:r>
        <w:rPr>
          <w:i/>
          <w:iCs/>
          <w:color w:val="000000"/>
          <w:sz w:val="21"/>
          <w:szCs w:val="21"/>
        </w:rPr>
        <w:t>Client</w:t>
      </w:r>
      <w:r>
        <w:rPr>
          <w:color w:val="000000"/>
          <w:sz w:val="21"/>
          <w:szCs w:val="21"/>
        </w:rPr>
        <w:t xml:space="preserve"> as a result of the </w:t>
      </w:r>
      <w:r>
        <w:rPr>
          <w:i/>
          <w:iCs/>
          <w:color w:val="000000"/>
          <w:sz w:val="21"/>
          <w:szCs w:val="21"/>
        </w:rPr>
        <w:t>Service Provider’s</w:t>
      </w:r>
      <w:r>
        <w:rPr>
          <w:color w:val="000000"/>
          <w:sz w:val="21"/>
          <w:szCs w:val="21"/>
        </w:rPr>
        <w:t xml:space="preserve"> default is lower than the amount of the charges retained.</w:t>
      </w:r>
    </w:p>
    <w:p w14:paraId="673CB2C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may raise a dispute under the Dispute Resolution Procedure with any decision by the </w:t>
      </w:r>
      <w:r>
        <w:rPr>
          <w:i/>
          <w:iCs/>
          <w:color w:val="000000"/>
          <w:sz w:val="21"/>
          <w:szCs w:val="21"/>
        </w:rPr>
        <w:t>Client</w:t>
      </w:r>
      <w:r>
        <w:rPr>
          <w:color w:val="000000"/>
          <w:sz w:val="21"/>
          <w:szCs w:val="21"/>
        </w:rPr>
        <w:t xml:space="preserve"> to:</w:t>
      </w:r>
    </w:p>
    <w:p w14:paraId="1EA4699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withhold any payments under Paragraph 20.1; or</w:t>
      </w:r>
    </w:p>
    <w:p w14:paraId="2472CCA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retain any payme</w:t>
      </w:r>
      <w:r>
        <w:rPr>
          <w:color w:val="000000"/>
          <w:sz w:val="21"/>
          <w:szCs w:val="21"/>
        </w:rPr>
        <w:t>nts under Paragraph 20.4.</w:t>
      </w:r>
    </w:p>
    <w:p w14:paraId="6320CDA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Any dispute raised by the </w:t>
      </w:r>
      <w:r>
        <w:rPr>
          <w:i/>
          <w:iCs/>
          <w:color w:val="000000"/>
          <w:sz w:val="21"/>
          <w:szCs w:val="21"/>
        </w:rPr>
        <w:t>Service Provider</w:t>
      </w:r>
      <w:r>
        <w:rPr>
          <w:color w:val="000000"/>
          <w:sz w:val="21"/>
          <w:szCs w:val="21"/>
        </w:rPr>
        <w:t xml:space="preserve"> does not prevent the </w:t>
      </w:r>
      <w:r>
        <w:rPr>
          <w:i/>
          <w:iCs/>
          <w:color w:val="000000"/>
          <w:sz w:val="21"/>
          <w:szCs w:val="21"/>
        </w:rPr>
        <w:t>Client</w:t>
      </w:r>
      <w:r>
        <w:rPr>
          <w:color w:val="000000"/>
          <w:sz w:val="21"/>
          <w:szCs w:val="21"/>
        </w:rPr>
        <w:t xml:space="preserve"> withholding payments in respect of:</w:t>
      </w:r>
    </w:p>
    <w:p w14:paraId="7C7E23A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decision subject to the dispute; or</w:t>
      </w:r>
    </w:p>
    <w:p w14:paraId="0E29DEE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other matter to which this Paragraph 20 applies.</w:t>
      </w:r>
    </w:p>
    <w:p w14:paraId="775866A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any dispute raised by the </w:t>
      </w:r>
      <w:r>
        <w:rPr>
          <w:i/>
          <w:iCs/>
          <w:color w:val="000000"/>
          <w:sz w:val="21"/>
          <w:szCs w:val="21"/>
        </w:rPr>
        <w:t>Service Provider</w:t>
      </w:r>
      <w:r>
        <w:rPr>
          <w:color w:val="000000"/>
          <w:sz w:val="21"/>
          <w:szCs w:val="21"/>
        </w:rPr>
        <w:t xml:space="preserve"> is resolved wholly or partially in its favour, the </w:t>
      </w:r>
      <w:r>
        <w:rPr>
          <w:i/>
          <w:iCs/>
          <w:color w:val="000000"/>
          <w:sz w:val="21"/>
          <w:szCs w:val="21"/>
        </w:rPr>
        <w:t>Client</w:t>
      </w:r>
      <w:r>
        <w:rPr>
          <w:color w:val="000000"/>
          <w:sz w:val="21"/>
          <w:szCs w:val="21"/>
        </w:rPr>
        <w:t xml:space="preserve"> must return such sums as are specified in any agreement or other document setting out the resolu</w:t>
      </w:r>
      <w:r>
        <w:rPr>
          <w:color w:val="000000"/>
          <w:sz w:val="21"/>
          <w:szCs w:val="21"/>
        </w:rPr>
        <w:t>tion of the dispute.</w:t>
      </w:r>
    </w:p>
    <w:p w14:paraId="1566293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Client’s</w:t>
      </w:r>
      <w:r>
        <w:rPr>
          <w:color w:val="000000"/>
          <w:sz w:val="21"/>
          <w:szCs w:val="21"/>
        </w:rPr>
        <w:t xml:space="preserve"> right to withhold or retain any amount under this Paragraph 20 are in addition to any other rights that the </w:t>
      </w:r>
      <w:r>
        <w:rPr>
          <w:i/>
          <w:iCs/>
          <w:color w:val="000000"/>
          <w:sz w:val="21"/>
          <w:szCs w:val="21"/>
        </w:rPr>
        <w:t>Client</w:t>
      </w:r>
      <w:r>
        <w:rPr>
          <w:color w:val="000000"/>
          <w:sz w:val="21"/>
          <w:szCs w:val="21"/>
        </w:rPr>
        <w:t xml:space="preserve"> may have under the Contract or in Law, including any right to claim damages for Losses it suffers arising f</w:t>
      </w:r>
      <w:r>
        <w:rPr>
          <w:color w:val="000000"/>
          <w:sz w:val="21"/>
          <w:szCs w:val="21"/>
        </w:rPr>
        <w:t>rom the default.</w:t>
      </w:r>
    </w:p>
    <w:p w14:paraId="0B483791" w14:textId="77777777" w:rsidR="007960A8" w:rsidRDefault="00A26397">
      <w:pPr>
        <w:keepNext/>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Access to Client System</w:t>
      </w:r>
    </w:p>
    <w:p w14:paraId="6C887091" w14:textId="77777777" w:rsidR="007960A8" w:rsidRDefault="00A26397">
      <w:pPr>
        <w:keepNext/>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a Sub-contractor or any of the Service Provider Staff is granted access to the Client System or to the Client Equipment, it must comply with and ensure that all such Sub-contractors and Service Provider Staff comply with, all rules, policies and guidance</w:t>
      </w:r>
      <w:r>
        <w:rPr>
          <w:color w:val="000000"/>
          <w:sz w:val="21"/>
          <w:szCs w:val="21"/>
        </w:rPr>
        <w:t xml:space="preserve"> provided to it and as updated from time to time concerning the Client System or the Client Equipment.</w:t>
      </w:r>
    </w:p>
    <w:p w14:paraId="49536209" w14:textId="77777777" w:rsidR="007960A8" w:rsidRDefault="00A26397">
      <w:pPr>
        <w:keepNext/>
        <w:pageBreakBefore/>
        <w:widowControl/>
        <w:numPr>
          <w:ilvl w:val="0"/>
          <w:numId w:val="31"/>
        </w:numPr>
        <w:pBdr>
          <w:top w:val="nil"/>
          <w:left w:val="nil"/>
          <w:bottom w:val="nil"/>
          <w:right w:val="nil"/>
          <w:between w:val="nil"/>
        </w:pBdr>
        <w:tabs>
          <w:tab w:val="left" w:pos="2160"/>
        </w:tabs>
        <w:spacing w:after="240"/>
        <w:jc w:val="center"/>
      </w:pPr>
      <w:r>
        <w:rPr>
          <w:b/>
          <w:bCs/>
          <w:color w:val="000000"/>
          <w:sz w:val="28"/>
          <w:szCs w:val="28"/>
        </w:rPr>
        <w:t>Security requirements</w:t>
      </w:r>
    </w:p>
    <w:p w14:paraId="1EE4DABF" w14:textId="77777777" w:rsidR="007960A8" w:rsidRDefault="00A26397">
      <w:pPr>
        <w:widowControl/>
        <w:numPr>
          <w:ilvl w:val="1"/>
          <w:numId w:val="29"/>
        </w:numPr>
        <w:pBdr>
          <w:top w:val="nil"/>
          <w:left w:val="nil"/>
          <w:bottom w:val="nil"/>
          <w:right w:val="nil"/>
          <w:between w:val="nil"/>
        </w:pBdr>
        <w:spacing w:after="240"/>
        <w:jc w:val="both"/>
        <w:rPr>
          <w:b/>
          <w:bCs/>
          <w:color w:val="000000"/>
          <w:sz w:val="21"/>
          <w:szCs w:val="21"/>
        </w:rPr>
      </w:pPr>
      <w:r>
        <w:rPr>
          <w:b/>
          <w:bCs/>
          <w:color w:val="000000"/>
          <w:sz w:val="21"/>
          <w:szCs w:val="21"/>
        </w:rPr>
        <w:t>Location</w:t>
      </w:r>
    </w:p>
    <w:p w14:paraId="4CA8A54E"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Location for Relevant Activities</w:t>
      </w:r>
    </w:p>
    <w:p w14:paraId="7CDA8BF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Unless otherwise agreed with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must, and ensure that its Sub-contractors, at all times:</w:t>
      </w:r>
    </w:p>
    <w:p w14:paraId="6738220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services</w:t>
      </w:r>
      <w:r>
        <w:rPr>
          <w:color w:val="000000"/>
          <w:sz w:val="21"/>
          <w:szCs w:val="21"/>
        </w:rPr>
        <w:t>;</w:t>
      </w:r>
    </w:p>
    <w:p w14:paraId="6F7F23D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 any activity supporting or managing:</w:t>
      </w:r>
    </w:p>
    <w:p w14:paraId="7B8FB8A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services</w:t>
      </w:r>
      <w:r>
        <w:rPr>
          <w:color w:val="000000"/>
          <w:sz w:val="21"/>
          <w:szCs w:val="21"/>
        </w:rPr>
        <w:t>;</w:t>
      </w:r>
    </w:p>
    <w:p w14:paraId="53AB400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Service Provider Information Management System; or</w:t>
      </w:r>
    </w:p>
    <w:p w14:paraId="6BC3F4E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Wider Information Management System;</w:t>
      </w:r>
    </w:p>
    <w:p w14:paraId="579824A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store, access or Handle Government Data;</w:t>
      </w:r>
    </w:p>
    <w:p w14:paraId="02C20A2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 the Development Activity; and</w:t>
      </w:r>
    </w:p>
    <w:p w14:paraId="690B856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host the Wider Information Management System, including any Sites</w:t>
      </w:r>
    </w:p>
    <w:p w14:paraId="7A0AA6F3"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(together, the Relevant Activities)</w:t>
      </w:r>
    </w:p>
    <w:p w14:paraId="05B3AEE5"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only in or from the geographic areas permitted by the </w:t>
      </w:r>
      <w:r>
        <w:rPr>
          <w:i/>
          <w:iCs/>
          <w:color w:val="000000"/>
          <w:sz w:val="21"/>
          <w:szCs w:val="21"/>
        </w:rPr>
        <w:t>Client</w:t>
      </w:r>
      <w:r>
        <w:rPr>
          <w:color w:val="000000"/>
          <w:sz w:val="21"/>
          <w:szCs w:val="21"/>
        </w:rPr>
        <w:t xml:space="preserve"> in Paragraph 1.</w:t>
      </w:r>
    </w:p>
    <w:p w14:paraId="594928F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selected an option concerning location in Paragraph 1, the </w:t>
      </w:r>
      <w:r>
        <w:rPr>
          <w:i/>
          <w:iCs/>
          <w:color w:val="000000"/>
          <w:sz w:val="21"/>
          <w:szCs w:val="21"/>
        </w:rPr>
        <w:t>Service Provider</w:t>
      </w:r>
      <w:r>
        <w:rPr>
          <w:color w:val="000000"/>
          <w:sz w:val="21"/>
          <w:szCs w:val="21"/>
        </w:rPr>
        <w:t xml:space="preserve"> may only undertake the Relevant Activities in or from:</w:t>
      </w:r>
    </w:p>
    <w:p w14:paraId="66B6225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United Kingdom; or</w:t>
      </w:r>
    </w:p>
    <w:p w14:paraId="744F3DF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territory permitted by and in accordance with any regulations for the time being in force made under section 17A of the Data Protection Act 2018 (adequacy decisions by the Sec</w:t>
      </w:r>
      <w:r>
        <w:rPr>
          <w:color w:val="000000"/>
          <w:sz w:val="21"/>
          <w:szCs w:val="21"/>
        </w:rPr>
        <w:t>retary of State).</w:t>
      </w:r>
    </w:p>
    <w:p w14:paraId="1F08091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its Sub-contractors undertake the Relevant Activities in a facility operated by an entity where:</w:t>
      </w:r>
    </w:p>
    <w:p w14:paraId="1251763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entity has entered into a binding agreement with the Service</w:t>
      </w:r>
      <w:r>
        <w:rPr>
          <w:i/>
          <w:iCs/>
          <w:color w:val="000000"/>
          <w:sz w:val="21"/>
          <w:szCs w:val="21"/>
        </w:rPr>
        <w:t xml:space="preserve"> Provider</w:t>
      </w:r>
      <w:r>
        <w:rPr>
          <w:color w:val="000000"/>
          <w:sz w:val="21"/>
          <w:szCs w:val="21"/>
        </w:rPr>
        <w:t xml:space="preserve"> or Sub-contractor (</w:t>
      </w:r>
      <w:r>
        <w:rPr>
          <w:color w:val="000000"/>
          <w:sz w:val="21"/>
          <w:szCs w:val="21"/>
        </w:rPr>
        <w:t>as applicable);</w:t>
      </w:r>
    </w:p>
    <w:p w14:paraId="5A312B6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that binding agreement includes obligations on the entity in relation to security management equivalent to those imposed on Sub-contractors in this Schedule;</w:t>
      </w:r>
    </w:p>
    <w:p w14:paraId="2B5A8E7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Sub-contractor has taken reasonable steps to assure itself</w:t>
      </w:r>
      <w:r>
        <w:rPr>
          <w:color w:val="000000"/>
          <w:sz w:val="21"/>
          <w:szCs w:val="21"/>
        </w:rPr>
        <w:t xml:space="preserve"> that the entity complies with the binding agreement;</w:t>
      </w:r>
    </w:p>
    <w:p w14:paraId="4C19589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such information as the </w:t>
      </w:r>
      <w:r>
        <w:rPr>
          <w:i/>
          <w:iCs/>
          <w:color w:val="000000"/>
          <w:sz w:val="21"/>
          <w:szCs w:val="21"/>
        </w:rPr>
        <w:t>Client</w:t>
      </w:r>
      <w:r>
        <w:rPr>
          <w:color w:val="000000"/>
          <w:sz w:val="21"/>
          <w:szCs w:val="21"/>
        </w:rPr>
        <w:t xml:space="preserve"> requires concerning:</w:t>
      </w:r>
    </w:p>
    <w:p w14:paraId="036819A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entity;</w:t>
      </w:r>
    </w:p>
    <w:p w14:paraId="4BAE01F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arrangements with the entity; and</w:t>
      </w:r>
    </w:p>
    <w:p w14:paraId="6D8E9E8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entity’s compliance with the binding agreement; and</w:t>
      </w:r>
    </w:p>
    <w:p w14:paraId="136458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given the </w:t>
      </w:r>
      <w:r>
        <w:rPr>
          <w:i/>
          <w:iCs/>
          <w:color w:val="000000"/>
          <w:sz w:val="21"/>
          <w:szCs w:val="21"/>
        </w:rPr>
        <w:t>Service Provider</w:t>
      </w:r>
      <w:r>
        <w:rPr>
          <w:color w:val="000000"/>
          <w:sz w:val="21"/>
          <w:szCs w:val="21"/>
        </w:rPr>
        <w:t xml:space="preserve"> a Prohibition Notice under Paragraph 1.11.</w:t>
      </w:r>
    </w:p>
    <w:p w14:paraId="0B981DA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cannot comply with one or more of the requirements of Paragraph 1.3:</w:t>
      </w:r>
    </w:p>
    <w:p w14:paraId="65B65EF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it must provide</w:t>
      </w:r>
      <w:r>
        <w:rPr>
          <w:color w:val="000000"/>
          <w:sz w:val="21"/>
          <w:szCs w:val="21"/>
        </w:rPr>
        <w:t xml:space="preserve"> the </w:t>
      </w:r>
      <w:r>
        <w:rPr>
          <w:i/>
          <w:iCs/>
          <w:color w:val="000000"/>
          <w:sz w:val="21"/>
          <w:szCs w:val="21"/>
        </w:rPr>
        <w:t>Client</w:t>
      </w:r>
      <w:r>
        <w:rPr>
          <w:color w:val="000000"/>
          <w:sz w:val="21"/>
          <w:szCs w:val="21"/>
        </w:rPr>
        <w:t xml:space="preserve"> with such information as the </w:t>
      </w:r>
      <w:r>
        <w:rPr>
          <w:i/>
          <w:iCs/>
          <w:color w:val="000000"/>
          <w:sz w:val="21"/>
          <w:szCs w:val="21"/>
        </w:rPr>
        <w:t>Client</w:t>
      </w:r>
      <w:r>
        <w:rPr>
          <w:color w:val="000000"/>
          <w:sz w:val="21"/>
          <w:szCs w:val="21"/>
        </w:rPr>
        <w:t xml:space="preserve"> requests concerning:</w:t>
      </w:r>
    </w:p>
    <w:p w14:paraId="2065242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security controls in places at the relevant location or locations; and</w:t>
      </w:r>
    </w:p>
    <w:p w14:paraId="63280B5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certain security controls are not, or only partially, implemented the reasons for this;</w:t>
      </w:r>
    </w:p>
    <w:p w14:paraId="1248AE8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grant approval to use that location or those locations, and that approval may include conditions; and</w:t>
      </w:r>
    </w:p>
    <w:p w14:paraId="095D20C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does not grant permission to use that location or those locations, the </w:t>
      </w:r>
      <w:r>
        <w:rPr>
          <w:i/>
          <w:iCs/>
          <w:color w:val="000000"/>
          <w:sz w:val="21"/>
          <w:szCs w:val="21"/>
        </w:rPr>
        <w:t>Service Provider</w:t>
      </w:r>
      <w:r>
        <w:rPr>
          <w:color w:val="000000"/>
          <w:sz w:val="21"/>
          <w:szCs w:val="21"/>
        </w:rPr>
        <w:t xml:space="preserve"> must, within such period as the </w:t>
      </w:r>
      <w:r>
        <w:rPr>
          <w:i/>
          <w:iCs/>
          <w:color w:val="000000"/>
          <w:sz w:val="21"/>
          <w:szCs w:val="21"/>
        </w:rPr>
        <w:t>Client</w:t>
      </w:r>
      <w:r>
        <w:rPr>
          <w:color w:val="000000"/>
          <w:sz w:val="21"/>
          <w:szCs w:val="21"/>
        </w:rPr>
        <w:t xml:space="preserve"> may spec</w:t>
      </w:r>
      <w:r>
        <w:rPr>
          <w:color w:val="000000"/>
          <w:sz w:val="21"/>
          <w:szCs w:val="21"/>
        </w:rPr>
        <w:t>ify:</w:t>
      </w:r>
    </w:p>
    <w:p w14:paraId="54C0408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cease to store, access or Handle Government Data at that location or those locations;</w:t>
      </w:r>
    </w:p>
    <w:p w14:paraId="6E79202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sanitise, in accordance with instructions from the </w:t>
      </w:r>
      <w:r>
        <w:rPr>
          <w:i/>
          <w:iCs/>
          <w:color w:val="000000"/>
          <w:sz w:val="21"/>
          <w:szCs w:val="21"/>
        </w:rPr>
        <w:t>Client</w:t>
      </w:r>
      <w:r>
        <w:rPr>
          <w:color w:val="000000"/>
          <w:sz w:val="21"/>
          <w:szCs w:val="21"/>
        </w:rPr>
        <w:t>, such equipment within the information and communications technology system used to store, access or Handle</w:t>
      </w:r>
      <w:r>
        <w:rPr>
          <w:color w:val="000000"/>
          <w:sz w:val="21"/>
          <w:szCs w:val="21"/>
        </w:rPr>
        <w:t xml:space="preserve"> Government Data at that location, or those locations, as the </w:t>
      </w:r>
      <w:r>
        <w:rPr>
          <w:i/>
          <w:iCs/>
          <w:color w:val="000000"/>
          <w:sz w:val="21"/>
          <w:szCs w:val="21"/>
        </w:rPr>
        <w:t>Client</w:t>
      </w:r>
      <w:r>
        <w:rPr>
          <w:color w:val="000000"/>
          <w:sz w:val="21"/>
          <w:szCs w:val="21"/>
        </w:rPr>
        <w:t xml:space="preserve"> may specify.</w:t>
      </w:r>
    </w:p>
    <w:p w14:paraId="37D3B4EA"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Support Locations</w:t>
      </w:r>
    </w:p>
    <w:p w14:paraId="4FD03DC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all Support Locations are located only in the geographic areas permitted by the </w:t>
      </w:r>
      <w:r>
        <w:rPr>
          <w:i/>
          <w:iCs/>
          <w:color w:val="000000"/>
          <w:sz w:val="21"/>
          <w:szCs w:val="21"/>
        </w:rPr>
        <w:t>Client</w:t>
      </w:r>
      <w:r>
        <w:rPr>
          <w:color w:val="000000"/>
          <w:sz w:val="21"/>
          <w:szCs w:val="21"/>
        </w:rPr>
        <w:t>.</w:t>
      </w:r>
    </w:p>
    <w:p w14:paraId="02DE49F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not selected an option concerning location in Paragraph 1, the </w:t>
      </w:r>
      <w:r>
        <w:rPr>
          <w:i/>
          <w:iCs/>
          <w:color w:val="000000"/>
          <w:sz w:val="21"/>
          <w:szCs w:val="21"/>
        </w:rPr>
        <w:t>Service Provider</w:t>
      </w:r>
      <w:r>
        <w:rPr>
          <w:color w:val="000000"/>
          <w:sz w:val="21"/>
          <w:szCs w:val="21"/>
        </w:rPr>
        <w:t xml:space="preserve"> may only locate Support Locations in:</w:t>
      </w:r>
    </w:p>
    <w:p w14:paraId="24C95B2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United </w:t>
      </w:r>
      <w:r>
        <w:rPr>
          <w:color w:val="000000"/>
          <w:sz w:val="21"/>
          <w:szCs w:val="21"/>
        </w:rPr>
        <w:t>Kingdom; or</w:t>
      </w:r>
    </w:p>
    <w:p w14:paraId="5BBBDF9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territory permitted by and in accordance with any regulations for the time being in force made under section 17A of the Data Protection Act 2018 (adequacy decisions by the Secretary of State).</w:t>
      </w:r>
    </w:p>
    <w:p w14:paraId="517E43B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i</w:t>
      </w:r>
      <w:r>
        <w:rPr>
          <w:color w:val="000000"/>
          <w:sz w:val="21"/>
          <w:szCs w:val="21"/>
        </w:rPr>
        <w:t>ts Sub-contractors operate the Support Locations in a facility operated by an entity where:</w:t>
      </w:r>
    </w:p>
    <w:p w14:paraId="73F9318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entity has entered into a binding agreement with the </w:t>
      </w:r>
      <w:r>
        <w:rPr>
          <w:i/>
          <w:iCs/>
          <w:color w:val="000000"/>
          <w:sz w:val="21"/>
          <w:szCs w:val="21"/>
        </w:rPr>
        <w:t>Service Provider</w:t>
      </w:r>
      <w:r>
        <w:rPr>
          <w:color w:val="000000"/>
          <w:sz w:val="21"/>
          <w:szCs w:val="21"/>
        </w:rPr>
        <w:t xml:space="preserve"> or Sub-contractor (as applicable);</w:t>
      </w:r>
    </w:p>
    <w:p w14:paraId="39EDE4A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binding agreement includes obligations on the entit</w:t>
      </w:r>
      <w:r>
        <w:rPr>
          <w:color w:val="000000"/>
          <w:sz w:val="21"/>
          <w:szCs w:val="21"/>
        </w:rPr>
        <w:t>y in relation to security management equivalent to those relating to Sub-contractors in this Schedule;</w:t>
      </w:r>
    </w:p>
    <w:p w14:paraId="7669C7F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Sub-contractor has taken reasonable steps to assure itself that the entity complies with the binding agreement;</w:t>
      </w:r>
    </w:p>
    <w:p w14:paraId="532A0F4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such information as the </w:t>
      </w:r>
      <w:r>
        <w:rPr>
          <w:i/>
          <w:iCs/>
          <w:color w:val="000000"/>
          <w:sz w:val="21"/>
          <w:szCs w:val="21"/>
        </w:rPr>
        <w:t>Client</w:t>
      </w:r>
      <w:r>
        <w:rPr>
          <w:color w:val="000000"/>
          <w:sz w:val="21"/>
          <w:szCs w:val="21"/>
        </w:rPr>
        <w:t xml:space="preserve"> requires concerning:</w:t>
      </w:r>
    </w:p>
    <w:p w14:paraId="0F98CCA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entity;</w:t>
      </w:r>
    </w:p>
    <w:p w14:paraId="73F0869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arrangements with the entity; and</w:t>
      </w:r>
    </w:p>
    <w:p w14:paraId="6D688A8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entity’s compliance with the binding agreement; and</w:t>
      </w:r>
    </w:p>
    <w:p w14:paraId="5E981D8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not given the </w:t>
      </w:r>
      <w:r>
        <w:rPr>
          <w:i/>
          <w:iCs/>
          <w:color w:val="000000"/>
          <w:sz w:val="21"/>
          <w:szCs w:val="21"/>
        </w:rPr>
        <w:t>Service Provider</w:t>
      </w:r>
      <w:r>
        <w:rPr>
          <w:color w:val="000000"/>
          <w:sz w:val="21"/>
          <w:szCs w:val="21"/>
        </w:rPr>
        <w:t xml:space="preserve"> a Prohibition Notice under Paragraph 1.11.</w:t>
      </w:r>
    </w:p>
    <w:p w14:paraId="0CB0FFC9"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Third-party Tools</w:t>
      </w:r>
    </w:p>
    <w:p w14:paraId="7D5189A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Before using any Third-party Tool, the </w:t>
      </w:r>
      <w:r>
        <w:rPr>
          <w:i/>
          <w:iCs/>
          <w:color w:val="000000"/>
          <w:sz w:val="21"/>
          <w:szCs w:val="21"/>
        </w:rPr>
        <w:t>Service Provider</w:t>
      </w:r>
      <w:r>
        <w:rPr>
          <w:color w:val="000000"/>
          <w:sz w:val="21"/>
          <w:szCs w:val="21"/>
        </w:rPr>
        <w:t xml:space="preserve"> must, and must ensure that its Sub-contractors:</w:t>
      </w:r>
    </w:p>
    <w:p w14:paraId="3C1A98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perform adequate due diligence to determine whether there are any recognised security vulnerabilities with that Third-party Tool;</w:t>
      </w:r>
    </w:p>
    <w:p w14:paraId="6346D54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has provided the </w:t>
      </w:r>
      <w:r>
        <w:rPr>
          <w:i/>
          <w:iCs/>
          <w:color w:val="000000"/>
          <w:sz w:val="21"/>
          <w:szCs w:val="21"/>
        </w:rPr>
        <w:t>Client</w:t>
      </w:r>
      <w:r>
        <w:rPr>
          <w:color w:val="000000"/>
          <w:sz w:val="21"/>
          <w:szCs w:val="21"/>
        </w:rPr>
        <w:t xml:space="preserve"> with such information as the </w:t>
      </w:r>
      <w:r>
        <w:rPr>
          <w:i/>
          <w:iCs/>
          <w:color w:val="000000"/>
          <w:sz w:val="21"/>
          <w:szCs w:val="21"/>
        </w:rPr>
        <w:t>Cli</w:t>
      </w:r>
      <w:r>
        <w:rPr>
          <w:i/>
          <w:iCs/>
          <w:color w:val="000000"/>
          <w:sz w:val="21"/>
          <w:szCs w:val="21"/>
        </w:rPr>
        <w:t>ent</w:t>
      </w:r>
      <w:r>
        <w:rPr>
          <w:color w:val="000000"/>
          <w:sz w:val="21"/>
          <w:szCs w:val="21"/>
        </w:rPr>
        <w:t xml:space="preserve"> requires concerning:</w:t>
      </w:r>
    </w:p>
    <w:p w14:paraId="2F6FE57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arrangements with the provider of the Third-party Tool; and</w:t>
      </w:r>
    </w:p>
    <w:p w14:paraId="72C40C8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due diligence undertaken by the </w:t>
      </w:r>
      <w:r>
        <w:rPr>
          <w:i/>
          <w:iCs/>
          <w:color w:val="000000"/>
          <w:sz w:val="21"/>
          <w:szCs w:val="21"/>
        </w:rPr>
        <w:t>Service Provider</w:t>
      </w:r>
      <w:r>
        <w:rPr>
          <w:color w:val="000000"/>
          <w:sz w:val="21"/>
          <w:szCs w:val="21"/>
        </w:rPr>
        <w:t xml:space="preserve"> or Sub-contractor; and</w:t>
      </w:r>
    </w:p>
    <w:p w14:paraId="66219D9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do not use a Third-party Tool in respect of which the </w:t>
      </w:r>
      <w:r>
        <w:rPr>
          <w:i/>
          <w:iCs/>
          <w:color w:val="000000"/>
          <w:sz w:val="21"/>
          <w:szCs w:val="21"/>
        </w:rPr>
        <w:t>Client</w:t>
      </w:r>
      <w:r>
        <w:rPr>
          <w:color w:val="000000"/>
          <w:sz w:val="21"/>
          <w:szCs w:val="21"/>
        </w:rPr>
        <w:t xml:space="preserve"> has given the </w:t>
      </w:r>
      <w:r>
        <w:rPr>
          <w:i/>
          <w:iCs/>
          <w:color w:val="000000"/>
          <w:sz w:val="21"/>
          <w:szCs w:val="21"/>
        </w:rPr>
        <w:t>Service Provider</w:t>
      </w:r>
      <w:r>
        <w:rPr>
          <w:color w:val="000000"/>
          <w:sz w:val="21"/>
          <w:szCs w:val="21"/>
        </w:rPr>
        <w:t xml:space="preserve"> a Prohibition Notice under Paragraph 1.11.</w:t>
      </w:r>
    </w:p>
    <w:p w14:paraId="32A8729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use, and ensure that Sub-contractors use, only those Third-party Tools included in the Register of Sites, Support Locations and Third-party Tools.</w:t>
      </w:r>
    </w:p>
    <w:p w14:paraId="033FF90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and must not allow Sub-contractors to, use:</w:t>
      </w:r>
    </w:p>
    <w:p w14:paraId="4842091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Third-party Tool other tha</w:t>
      </w:r>
      <w:r>
        <w:rPr>
          <w:color w:val="000000"/>
          <w:sz w:val="21"/>
          <w:szCs w:val="21"/>
        </w:rPr>
        <w:t>n for the activity specified for that Third-party Tool in the Register of Sites, Support Locations and Third-party Tools; or</w:t>
      </w:r>
    </w:p>
    <w:p w14:paraId="2862A48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 a new Third-party Tool, or replace an existing Third-party Tool, without the permission of the </w:t>
      </w:r>
      <w:r>
        <w:rPr>
          <w:i/>
          <w:iCs/>
          <w:color w:val="000000"/>
          <w:sz w:val="21"/>
          <w:szCs w:val="21"/>
        </w:rPr>
        <w:t>Client</w:t>
      </w:r>
      <w:r>
        <w:rPr>
          <w:color w:val="000000"/>
          <w:sz w:val="21"/>
          <w:szCs w:val="21"/>
        </w:rPr>
        <w:t>.</w:t>
      </w:r>
    </w:p>
    <w:p w14:paraId="6B4D8C61"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Prohibited Activities</w:t>
      </w:r>
    </w:p>
    <w:p w14:paraId="190F42D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by notice in writing at any time give notice to the </w:t>
      </w:r>
      <w:r>
        <w:rPr>
          <w:i/>
          <w:iCs/>
          <w:color w:val="000000"/>
          <w:sz w:val="21"/>
          <w:szCs w:val="21"/>
        </w:rPr>
        <w:t>Service Provider</w:t>
      </w:r>
      <w:r>
        <w:rPr>
          <w:color w:val="000000"/>
          <w:sz w:val="21"/>
          <w:szCs w:val="21"/>
        </w:rPr>
        <w:t xml:space="preserve"> that it and its Sub-contractors must not:</w:t>
      </w:r>
    </w:p>
    <w:p w14:paraId="79836D8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 or permit to be undertaken some or all of the Relevant Activities or operate Support Locations (Pr</w:t>
      </w:r>
      <w:r>
        <w:rPr>
          <w:color w:val="000000"/>
          <w:sz w:val="21"/>
          <w:szCs w:val="21"/>
        </w:rPr>
        <w:t>ohibited Activity).</w:t>
      </w:r>
    </w:p>
    <w:p w14:paraId="420E65F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in any particular country or group of countries;</w:t>
      </w:r>
    </w:p>
    <w:p w14:paraId="3D6B2B0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in or using facilities operated by any particular entity or group of entities; or</w:t>
      </w:r>
    </w:p>
    <w:p w14:paraId="535E3AA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in or using any particular facility or group of facilities, whether operated by the </w:t>
      </w:r>
      <w:r>
        <w:rPr>
          <w:i/>
          <w:iCs/>
          <w:color w:val="000000"/>
          <w:sz w:val="21"/>
          <w:szCs w:val="21"/>
        </w:rPr>
        <w:t>Service Provider</w:t>
      </w:r>
      <w:r>
        <w:rPr>
          <w:color w:val="000000"/>
          <w:sz w:val="21"/>
          <w:szCs w:val="21"/>
        </w:rPr>
        <w:t>, a Sub-contractor or a third  party entity; or</w:t>
      </w:r>
    </w:p>
    <w:p w14:paraId="60FDF33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use any specified Third-party Tool,</w:t>
      </w:r>
    </w:p>
    <w:p w14:paraId="09683BD5"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(a Prohibition Notice).</w:t>
      </w:r>
    </w:p>
    <w:p w14:paraId="7ECC0C5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or Sub-contractor, on the date of the Prohibition Notice:</w:t>
      </w:r>
    </w:p>
    <w:p w14:paraId="7502DED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undertakes any Prohibited Activities;</w:t>
      </w:r>
    </w:p>
    <w:p w14:paraId="0A2AD72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operates any Support Locations; or</w:t>
      </w:r>
    </w:p>
    <w:p w14:paraId="288D14A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employs any Third-party Tool,</w:t>
      </w:r>
    </w:p>
    <w:p w14:paraId="475D9BC3"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affected by the notice, the </w:t>
      </w:r>
      <w:r>
        <w:rPr>
          <w:i/>
          <w:iCs/>
          <w:color w:val="000000"/>
          <w:sz w:val="21"/>
          <w:szCs w:val="21"/>
        </w:rPr>
        <w:t>Service Provider</w:t>
      </w:r>
      <w:r>
        <w:rPr>
          <w:color w:val="000000"/>
          <w:sz w:val="21"/>
          <w:szCs w:val="21"/>
        </w:rPr>
        <w:t xml:space="preserve"> must, and must procure that Sub-contractors, cease to undertake that Prohibited Activity or employ that Third-party Tool within 40 Working Days of the date of the Prohibition Notice.</w:t>
      </w:r>
    </w:p>
    <w:p w14:paraId="6D2D6CEA"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Physical Security</w:t>
      </w:r>
    </w:p>
    <w:p w14:paraId="02B84E7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must ensure that Sub-contractors ensure, that:</w:t>
      </w:r>
    </w:p>
    <w:p w14:paraId="73A7C01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all Sites, locations at which Relevant Activities are performed, or Support Locations (Secure Locations) have the necessary physical protective security measures in place to prevent unauthori</w:t>
      </w:r>
      <w:r>
        <w:rPr>
          <w:color w:val="000000"/>
          <w:sz w:val="21"/>
          <w:szCs w:val="21"/>
        </w:rPr>
        <w:t>sed access, damage and interference, whether malicious or otherwise, to Government Data;</w:t>
      </w:r>
    </w:p>
    <w:p w14:paraId="0581126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operator of the Secure Location has prepared a physical security risk assessment and a site security plan for the Secure Location; and</w:t>
      </w:r>
    </w:p>
    <w:p w14:paraId="43AC582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physical security risk a</w:t>
      </w:r>
      <w:r>
        <w:rPr>
          <w:color w:val="000000"/>
          <w:sz w:val="21"/>
          <w:szCs w:val="21"/>
        </w:rPr>
        <w:t>ssessment and site security plan for each Secure Location:</w:t>
      </w:r>
    </w:p>
    <w:p w14:paraId="45BFB73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considers whether different areas of the Secure Location require different security measures based on the functions of each area;</w:t>
      </w:r>
    </w:p>
    <w:p w14:paraId="66E4EFB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adopts a layered approach to physical security;</w:t>
      </w:r>
    </w:p>
    <w:p w14:paraId="77CDB39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has sections dealing with the following matters:</w:t>
      </w:r>
    </w:p>
    <w:p w14:paraId="296FC62E"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the perimeter of the Secure L</w:t>
      </w:r>
      <w:r>
        <w:rPr>
          <w:color w:val="000000"/>
          <w:sz w:val="21"/>
          <w:szCs w:val="21"/>
        </w:rPr>
        <w:t>ocation;</w:t>
      </w:r>
    </w:p>
    <w:p w14:paraId="4012A535"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the building fabric;</w:t>
      </w:r>
    </w:p>
    <w:p w14:paraId="2658BB92"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security guarding;</w:t>
      </w:r>
    </w:p>
    <w:p w14:paraId="3520974C"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visitor and people management;</w:t>
      </w:r>
    </w:p>
    <w:p w14:paraId="3E590E7C"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server and communications rooms;</w:t>
      </w:r>
    </w:p>
    <w:p w14:paraId="798D76A5"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protection of sensitive data;</w:t>
      </w:r>
    </w:p>
    <w:p w14:paraId="430DA2B5"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closed circuit television;</w:t>
      </w:r>
    </w:p>
    <w:p w14:paraId="7D27E2E0"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automated access and control systems;</w:t>
      </w:r>
    </w:p>
    <w:p w14:paraId="7E37A581"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intruder detection; and</w:t>
      </w:r>
    </w:p>
    <w:p w14:paraId="37D54910"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security control rooms.</w:t>
      </w:r>
    </w:p>
    <w:p w14:paraId="0C60C6C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with the physical security risk assessment and site security plan for any Secure Location within 20 Working Days of a request by the </w:t>
      </w:r>
      <w:r>
        <w:rPr>
          <w:i/>
          <w:iCs/>
          <w:color w:val="000000"/>
          <w:sz w:val="21"/>
          <w:szCs w:val="21"/>
        </w:rPr>
        <w:t>Client</w:t>
      </w:r>
      <w:r>
        <w:rPr>
          <w:color w:val="000000"/>
          <w:sz w:val="21"/>
          <w:szCs w:val="21"/>
        </w:rPr>
        <w:t>.</w:t>
      </w:r>
    </w:p>
    <w:p w14:paraId="77B588B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Vetting, Training and Staff Access</w:t>
      </w:r>
    </w:p>
    <w:p w14:paraId="0A4AD3F0"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Vetting before performing or managi</w:t>
      </w:r>
      <w:r>
        <w:rPr>
          <w:b/>
          <w:bCs/>
          <w:color w:val="000000"/>
          <w:sz w:val="21"/>
          <w:szCs w:val="21"/>
        </w:rPr>
        <w:t>ng Services</w:t>
      </w:r>
    </w:p>
    <w:p w14:paraId="73B1509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 engage Service Provider Staff, and must ensure that Sub-contractors do not engage Service Provider Staff in:</w:t>
      </w:r>
    </w:p>
    <w:p w14:paraId="746E7A3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any activity relating to the provision or management of the </w:t>
      </w:r>
      <w:r>
        <w:rPr>
          <w:i/>
          <w:iCs/>
          <w:color w:val="000000"/>
          <w:sz w:val="21"/>
          <w:szCs w:val="21"/>
        </w:rPr>
        <w:t>services</w:t>
      </w:r>
      <w:r>
        <w:rPr>
          <w:color w:val="000000"/>
          <w:sz w:val="21"/>
          <w:szCs w:val="21"/>
        </w:rPr>
        <w:t>; or</w:t>
      </w:r>
    </w:p>
    <w:p w14:paraId="4D5462E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activity that allows or requires the Handling of Government Data,</w:t>
      </w:r>
    </w:p>
    <w:p w14:paraId="39624128"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unless:</w:t>
      </w:r>
    </w:p>
    <w:p w14:paraId="096A793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that individual has passed the security checks listed in Paragraph 3.2; or</w:t>
      </w:r>
    </w:p>
    <w:p w14:paraId="54B8289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has given prior wri</w:t>
      </w:r>
      <w:r>
        <w:rPr>
          <w:color w:val="000000"/>
          <w:sz w:val="21"/>
          <w:szCs w:val="21"/>
        </w:rPr>
        <w:t>tten permission for a named individual to perform a specific role.</w:t>
      </w:r>
    </w:p>
    <w:p w14:paraId="37F9EFE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For the purposes of Paragraph 3.1, the security checks are:</w:t>
      </w:r>
    </w:p>
    <w:p w14:paraId="0A74B8C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checks required for the HMG Baseline Personnel Security Standard (BPSS) to verify:</w:t>
      </w:r>
    </w:p>
    <w:p w14:paraId="3AE2421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individual’s identity;</w:t>
      </w:r>
    </w:p>
    <w:p w14:paraId="150DB62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where that individual will work in the United Kingdom, the individual’s nationality and immigration status so as to demonstrate that they have a right to work in the United Kingdom;</w:t>
      </w:r>
    </w:p>
    <w:p w14:paraId="4A12F66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individual’s previous employment history; a</w:t>
      </w:r>
      <w:r>
        <w:rPr>
          <w:color w:val="000000"/>
          <w:sz w:val="21"/>
          <w:szCs w:val="21"/>
        </w:rPr>
        <w:t>nd</w:t>
      </w:r>
    </w:p>
    <w:p w14:paraId="5483924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that the individual has no Relevant Convictions;</w:t>
      </w:r>
    </w:p>
    <w:p w14:paraId="568F84D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national security vetting clearance to the level specified by the </w:t>
      </w:r>
      <w:r>
        <w:rPr>
          <w:i/>
          <w:iCs/>
          <w:color w:val="000000"/>
          <w:sz w:val="21"/>
          <w:szCs w:val="21"/>
        </w:rPr>
        <w:t>Client</w:t>
      </w:r>
      <w:r>
        <w:rPr>
          <w:color w:val="000000"/>
          <w:sz w:val="21"/>
          <w:szCs w:val="21"/>
        </w:rPr>
        <w:t xml:space="preserve"> for such individuals or such roles as the </w:t>
      </w:r>
      <w:r>
        <w:rPr>
          <w:i/>
          <w:iCs/>
          <w:color w:val="000000"/>
          <w:sz w:val="21"/>
          <w:szCs w:val="21"/>
        </w:rPr>
        <w:t>Client</w:t>
      </w:r>
      <w:r>
        <w:rPr>
          <w:color w:val="000000"/>
          <w:sz w:val="21"/>
          <w:szCs w:val="21"/>
        </w:rPr>
        <w:t xml:space="preserve"> may specify; or</w:t>
      </w:r>
    </w:p>
    <w:p w14:paraId="5AE8C84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such other checks for the Service Provider Staff of Sub-contractors as the </w:t>
      </w:r>
      <w:r>
        <w:rPr>
          <w:i/>
          <w:iCs/>
          <w:color w:val="000000"/>
          <w:sz w:val="21"/>
          <w:szCs w:val="21"/>
        </w:rPr>
        <w:t>Client</w:t>
      </w:r>
      <w:r>
        <w:rPr>
          <w:color w:val="000000"/>
          <w:sz w:val="21"/>
          <w:szCs w:val="21"/>
        </w:rPr>
        <w:t xml:space="preserve"> may specify.</w:t>
      </w:r>
    </w:p>
    <w:p w14:paraId="2F59571E"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Exception for certain Sub-contractors</w:t>
      </w:r>
    </w:p>
    <w:p w14:paraId="116FDA4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considers it cannot ensure that a Sub-contractor will undertake the relevant security checks on any Service Provider Staff, it must:</w:t>
      </w:r>
    </w:p>
    <w:p w14:paraId="0B15174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as soon as practicable, and in any event within [20] Working Days of becoming aware of the issue, notify the </w:t>
      </w:r>
      <w:r>
        <w:rPr>
          <w:i/>
          <w:iCs/>
          <w:color w:val="000000"/>
          <w:sz w:val="21"/>
          <w:szCs w:val="21"/>
        </w:rPr>
        <w:t>Client</w:t>
      </w:r>
      <w:r>
        <w:rPr>
          <w:color w:val="000000"/>
          <w:sz w:val="21"/>
          <w:szCs w:val="21"/>
        </w:rPr>
        <w:t>;</w:t>
      </w:r>
    </w:p>
    <w:p w14:paraId="432BD27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provi</w:t>
      </w:r>
      <w:r>
        <w:rPr>
          <w:color w:val="000000"/>
          <w:sz w:val="21"/>
          <w:szCs w:val="21"/>
        </w:rPr>
        <w:t xml:space="preserve">de such information relating to the Sub-contractor, its vetting processes and the roles the affected Service Provider Staff will perform as the </w:t>
      </w:r>
      <w:r>
        <w:rPr>
          <w:i/>
          <w:iCs/>
          <w:color w:val="000000"/>
          <w:sz w:val="21"/>
          <w:szCs w:val="21"/>
        </w:rPr>
        <w:t>Client</w:t>
      </w:r>
      <w:r>
        <w:rPr>
          <w:color w:val="000000"/>
          <w:sz w:val="21"/>
          <w:szCs w:val="21"/>
        </w:rPr>
        <w:t xml:space="preserve"> reasonably requires; and</w:t>
      </w:r>
    </w:p>
    <w:p w14:paraId="0335215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comply, at the Service Provider’s cost, with all directions the </w:t>
      </w:r>
      <w:r>
        <w:rPr>
          <w:i/>
          <w:iCs/>
          <w:color w:val="000000"/>
          <w:sz w:val="21"/>
          <w:szCs w:val="21"/>
        </w:rPr>
        <w:t>Client</w:t>
      </w:r>
      <w:r>
        <w:rPr>
          <w:color w:val="000000"/>
          <w:sz w:val="21"/>
          <w:szCs w:val="21"/>
        </w:rPr>
        <w:t xml:space="preserve"> may provi</w:t>
      </w:r>
      <w:r>
        <w:rPr>
          <w:color w:val="000000"/>
          <w:sz w:val="21"/>
          <w:szCs w:val="21"/>
        </w:rPr>
        <w:t>de concerning the vetting of the affected Service Provider Staff and the management of the Sub-contractor.</w:t>
      </w:r>
    </w:p>
    <w:p w14:paraId="284D4D8B"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Annual training</w:t>
      </w:r>
    </w:p>
    <w:p w14:paraId="38A48AC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ensure that Sub-contractors ensure, that all Service Provider Staff, complete and pass security</w:t>
      </w:r>
      <w:r>
        <w:rPr>
          <w:color w:val="000000"/>
          <w:sz w:val="21"/>
          <w:szCs w:val="21"/>
        </w:rPr>
        <w:t xml:space="preserve"> training at least once every calendar year that covers:</w:t>
      </w:r>
    </w:p>
    <w:p w14:paraId="1B6D48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general training concerning security and data handling;</w:t>
      </w:r>
    </w:p>
    <w:p w14:paraId="4A774D5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Phishing, including the dangers from ransomware and other malware; and</w:t>
      </w:r>
    </w:p>
    <w:p w14:paraId="5DDF4F7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Secure by Design Principles.</w:t>
      </w:r>
    </w:p>
    <w:p w14:paraId="5AF82C92"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Staff access</w:t>
      </w:r>
    </w:p>
    <w:p w14:paraId="7DD2BA8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ensure that Sub-contractors ensure, that individual Service Provider Staff can access only the Government Data necessary to allow individuals to perform their role and fulfil their responsibilities in the provision of the </w:t>
      </w:r>
      <w:r>
        <w:rPr>
          <w:i/>
          <w:iCs/>
          <w:color w:val="000000"/>
          <w:sz w:val="21"/>
          <w:szCs w:val="21"/>
        </w:rPr>
        <w:t>services</w:t>
      </w:r>
      <w:r>
        <w:rPr>
          <w:color w:val="000000"/>
          <w:sz w:val="21"/>
          <w:szCs w:val="21"/>
        </w:rPr>
        <w:t>.</w:t>
      </w:r>
    </w:p>
    <w:p w14:paraId="184B811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ensure that Sub-contractors ensure, that where individual Service Provider Staff no longer require access to the Government Data or any part of the Government Data, their access to the Government Data or that part of the Government Data i</w:t>
      </w:r>
      <w:r>
        <w:rPr>
          <w:color w:val="000000"/>
          <w:sz w:val="21"/>
          <w:szCs w:val="21"/>
        </w:rPr>
        <w:t>s revoked immediately when their requirement to access Government Data ceases.</w:t>
      </w:r>
    </w:p>
    <w:p w14:paraId="23A3854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requested by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must remove, and must ensure that Sub-contractors remove, an individual Service Provider Staff’s access to the Government Dat</w:t>
      </w:r>
      <w:r>
        <w:rPr>
          <w:color w:val="000000"/>
          <w:sz w:val="21"/>
          <w:szCs w:val="21"/>
        </w:rPr>
        <w:t xml:space="preserve">a, or part of that Government Data specified by the </w:t>
      </w:r>
      <w:r>
        <w:rPr>
          <w:i/>
          <w:iCs/>
          <w:color w:val="000000"/>
          <w:sz w:val="21"/>
          <w:szCs w:val="21"/>
        </w:rPr>
        <w:t>Client</w:t>
      </w:r>
      <w:r>
        <w:rPr>
          <w:color w:val="000000"/>
          <w:sz w:val="21"/>
          <w:szCs w:val="21"/>
        </w:rPr>
        <w:t>, as soon as practicable and in any event within 24 hours of the request.</w:t>
      </w:r>
    </w:p>
    <w:p w14:paraId="533BCFCD"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Remote Working</w:t>
      </w:r>
    </w:p>
    <w:p w14:paraId="389FC65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ensure that Sub-contractors ensure, that:</w:t>
      </w:r>
    </w:p>
    <w:p w14:paraId="64899DE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unless agreed otherwise in wr</w:t>
      </w:r>
      <w:r>
        <w:rPr>
          <w:color w:val="000000"/>
          <w:sz w:val="21"/>
          <w:szCs w:val="21"/>
        </w:rPr>
        <w:t xml:space="preserve">iting by the </w:t>
      </w:r>
      <w:r>
        <w:rPr>
          <w:i/>
          <w:iCs/>
          <w:color w:val="000000"/>
          <w:sz w:val="21"/>
          <w:szCs w:val="21"/>
        </w:rPr>
        <w:t>Client</w:t>
      </w:r>
      <w:r>
        <w:rPr>
          <w:color w:val="000000"/>
          <w:sz w:val="21"/>
          <w:szCs w:val="21"/>
        </w:rPr>
        <w:t>, Privileged Users do not undertake Remote Working;</w:t>
      </w:r>
    </w:p>
    <w:p w14:paraId="0E7C532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permits Remote Working by Privileged Users, the </w:t>
      </w:r>
      <w:r>
        <w:rPr>
          <w:i/>
          <w:iCs/>
          <w:color w:val="000000"/>
          <w:sz w:val="21"/>
          <w:szCs w:val="21"/>
        </w:rPr>
        <w:t>Service Provider</w:t>
      </w:r>
      <w:r>
        <w:rPr>
          <w:color w:val="000000"/>
          <w:sz w:val="21"/>
          <w:szCs w:val="21"/>
        </w:rPr>
        <w:t xml:space="preserve"> ensures, and ensures that Sub-contractors ensure, that such Remote Working takes place only in accordan</w:t>
      </w:r>
      <w:r>
        <w:rPr>
          <w:color w:val="000000"/>
          <w:sz w:val="21"/>
          <w:szCs w:val="21"/>
        </w:rPr>
        <w:t xml:space="preserve">ce with any conditions imposed by the </w:t>
      </w:r>
      <w:r>
        <w:rPr>
          <w:i/>
          <w:iCs/>
          <w:color w:val="000000"/>
          <w:sz w:val="21"/>
          <w:szCs w:val="21"/>
        </w:rPr>
        <w:t>Client</w:t>
      </w:r>
      <w:r>
        <w:rPr>
          <w:color w:val="000000"/>
          <w:sz w:val="21"/>
          <w:szCs w:val="21"/>
        </w:rPr>
        <w:t>.</w:t>
      </w:r>
    </w:p>
    <w:p w14:paraId="528EF90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or a Sub-contractor wishes to permit Service Provider Staff to undertake Remote Working, it must:</w:t>
      </w:r>
    </w:p>
    <w:p w14:paraId="51F35C2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prepare and have approved by the </w:t>
      </w:r>
      <w:r>
        <w:rPr>
          <w:i/>
          <w:iCs/>
          <w:color w:val="000000"/>
          <w:sz w:val="21"/>
          <w:szCs w:val="21"/>
        </w:rPr>
        <w:t>Client</w:t>
      </w:r>
      <w:r>
        <w:rPr>
          <w:color w:val="000000"/>
          <w:sz w:val="21"/>
          <w:szCs w:val="21"/>
        </w:rPr>
        <w:t xml:space="preserve"> the Remote Working Policy in accordance with </w:t>
      </w:r>
      <w:r>
        <w:rPr>
          <w:color w:val="000000"/>
          <w:sz w:val="21"/>
          <w:szCs w:val="21"/>
        </w:rPr>
        <w:t>this Paragraph;</w:t>
      </w:r>
    </w:p>
    <w:p w14:paraId="002408C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undertake and, where applicable, ensure that any relevant Sub-contractors undertake, all steps required by the Remote Working Policy;</w:t>
      </w:r>
    </w:p>
    <w:p w14:paraId="0170CF3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Service Provider Staff undertake Remote Working only in accordance with the Remote Working Policy; and</w:t>
      </w:r>
    </w:p>
    <w:p w14:paraId="5FCA81E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may not permit any Service Provider Staff of the </w:t>
      </w:r>
      <w:r>
        <w:rPr>
          <w:i/>
          <w:iCs/>
          <w:color w:val="000000"/>
          <w:sz w:val="21"/>
          <w:szCs w:val="21"/>
        </w:rPr>
        <w:t>Service Provider</w:t>
      </w:r>
      <w:r>
        <w:rPr>
          <w:color w:val="000000"/>
          <w:sz w:val="21"/>
          <w:szCs w:val="21"/>
        </w:rPr>
        <w:t xml:space="preserve"> or any Sub-contractor to undertake Remote Working until the Remote Working </w:t>
      </w:r>
      <w:r>
        <w:rPr>
          <w:color w:val="000000"/>
          <w:sz w:val="21"/>
          <w:szCs w:val="21"/>
        </w:rPr>
        <w:t xml:space="preserve">Policy is approved by the </w:t>
      </w:r>
      <w:r>
        <w:rPr>
          <w:i/>
          <w:iCs/>
          <w:color w:val="000000"/>
          <w:sz w:val="21"/>
          <w:szCs w:val="21"/>
        </w:rPr>
        <w:t>Client</w:t>
      </w:r>
      <w:r>
        <w:rPr>
          <w:color w:val="000000"/>
          <w:sz w:val="21"/>
          <w:szCs w:val="21"/>
        </w:rPr>
        <w:t>.</w:t>
      </w:r>
    </w:p>
    <w:p w14:paraId="76E5FB4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Remote Working Policy must include or make provision for the following matters:</w:t>
      </w:r>
    </w:p>
    <w:p w14:paraId="6FE5C41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restricting or prohibiting Service Provider Staff from printing documents in any Remote Location;</w:t>
      </w:r>
    </w:p>
    <w:p w14:paraId="5CA04C0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restricting or prohibiting Service Provider Staff from downloading any Government Data to any End-user Device other than an End-user Device that:</w:t>
      </w:r>
    </w:p>
    <w:p w14:paraId="0C9229E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is provided by the </w:t>
      </w:r>
      <w:r>
        <w:rPr>
          <w:i/>
          <w:iCs/>
          <w:color w:val="000000"/>
          <w:sz w:val="21"/>
          <w:szCs w:val="21"/>
        </w:rPr>
        <w:t>Service Provider</w:t>
      </w:r>
      <w:r>
        <w:rPr>
          <w:color w:val="000000"/>
          <w:sz w:val="21"/>
          <w:szCs w:val="21"/>
        </w:rPr>
        <w:t xml:space="preserve"> or Sub-contractor (as appropriate); and</w:t>
      </w:r>
    </w:p>
    <w:p w14:paraId="5E5F1A1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complies with the requirements set</w:t>
      </w:r>
      <w:r>
        <w:rPr>
          <w:color w:val="000000"/>
          <w:sz w:val="21"/>
          <w:szCs w:val="21"/>
        </w:rPr>
        <w:t xml:space="preserve"> out in Paragraph 4 (End-user Devices);</w:t>
      </w:r>
    </w:p>
    <w:p w14:paraId="0179295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ensuring that Service Provider Staff comply with the Expected Behaviours (so far as they are applicable);</w:t>
      </w:r>
    </w:p>
    <w:p w14:paraId="2033DCE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giving effect to the Security Controls (so far as they are applicable);</w:t>
      </w:r>
    </w:p>
    <w:p w14:paraId="00AE4BC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for each different category of Service</w:t>
      </w:r>
      <w:r>
        <w:rPr>
          <w:color w:val="000000"/>
          <w:sz w:val="21"/>
          <w:szCs w:val="21"/>
        </w:rPr>
        <w:t xml:space="preserve"> Provider Staff subject to the proposed Remote Working Policy:</w:t>
      </w:r>
    </w:p>
    <w:p w14:paraId="399E100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types and volumes of Government Data that the Service Provider Staff can Handle in a Remote Location and the Handling that those Service Provider Staff will undertake;</w:t>
      </w:r>
    </w:p>
    <w:p w14:paraId="7FD9F9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any identified security risks arising from the proposed Handling in a Remote Locatio</w:t>
      </w:r>
      <w:r>
        <w:rPr>
          <w:color w:val="000000"/>
          <w:sz w:val="21"/>
          <w:szCs w:val="21"/>
        </w:rPr>
        <w:t>n;</w:t>
      </w:r>
    </w:p>
    <w:p w14:paraId="683F073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mitigations, controls and security measures the </w:t>
      </w:r>
      <w:r>
        <w:rPr>
          <w:i/>
          <w:iCs/>
          <w:color w:val="000000"/>
          <w:sz w:val="21"/>
          <w:szCs w:val="21"/>
        </w:rPr>
        <w:t>Service Provider</w:t>
      </w:r>
      <w:r>
        <w:rPr>
          <w:color w:val="000000"/>
          <w:sz w:val="21"/>
          <w:szCs w:val="21"/>
        </w:rPr>
        <w:t xml:space="preserve"> or Sub-contractor (as applicable) will implement to mitigate the identified risks;</w:t>
      </w:r>
    </w:p>
    <w:p w14:paraId="5504EB5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residual risk levels following the implementation of those mitigations, controls and measures;</w:t>
      </w:r>
    </w:p>
    <w:p w14:paraId="38C5A6C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w:t>
      </w:r>
      <w:r>
        <w:rPr>
          <w:color w:val="000000"/>
          <w:sz w:val="21"/>
          <w:szCs w:val="21"/>
        </w:rPr>
        <w:t>en the Service Provider or Sub-contractor (as applicable) will implement the proposed mitigations, controls and measures; and</w:t>
      </w:r>
    </w:p>
    <w:p w14:paraId="119BD3E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business rules with which the Service Provider Staff must comply; and</w:t>
      </w:r>
    </w:p>
    <w:p w14:paraId="221DBDF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how the </w:t>
      </w:r>
      <w:r>
        <w:rPr>
          <w:i/>
          <w:iCs/>
          <w:color w:val="000000"/>
          <w:sz w:val="21"/>
          <w:szCs w:val="21"/>
        </w:rPr>
        <w:t>Service Provider</w:t>
      </w:r>
      <w:r>
        <w:rPr>
          <w:color w:val="000000"/>
          <w:sz w:val="21"/>
          <w:szCs w:val="21"/>
        </w:rPr>
        <w:t xml:space="preserve"> or the Sub-contractor (as appli</w:t>
      </w:r>
      <w:r>
        <w:rPr>
          <w:color w:val="000000"/>
          <w:sz w:val="21"/>
          <w:szCs w:val="21"/>
        </w:rPr>
        <w:t>cable) will:</w:t>
      </w:r>
    </w:p>
    <w:p w14:paraId="6A0E17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communicate the Remote Working Policy and business rules to Service Provider Staff; and</w:t>
      </w:r>
    </w:p>
    <w:p w14:paraId="39A1E6D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enforce the Remote Working Plan and business rules.</w:t>
      </w:r>
    </w:p>
    <w:p w14:paraId="1322244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may submit a proposed Remote Working Policy to the </w:t>
      </w:r>
      <w:r>
        <w:rPr>
          <w:i/>
          <w:iCs/>
          <w:color w:val="000000"/>
          <w:sz w:val="21"/>
          <w:szCs w:val="21"/>
        </w:rPr>
        <w:t>Client</w:t>
      </w:r>
      <w:r>
        <w:rPr>
          <w:color w:val="000000"/>
          <w:sz w:val="21"/>
          <w:szCs w:val="21"/>
        </w:rPr>
        <w:t xml:space="preserve"> for consideration at any</w:t>
      </w:r>
      <w:r>
        <w:rPr>
          <w:color w:val="000000"/>
          <w:sz w:val="21"/>
          <w:szCs w:val="21"/>
        </w:rPr>
        <w:t xml:space="preserve"> time.</w:t>
      </w:r>
    </w:p>
    <w:p w14:paraId="1FD6343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must, within 20 Working Days of the submission of a proposed Remote Working Plan, either:</w:t>
      </w:r>
    </w:p>
    <w:p w14:paraId="779D46C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approve the proposed Remote Working Policy, in which case the </w:t>
      </w:r>
      <w:r>
        <w:rPr>
          <w:i/>
          <w:iCs/>
          <w:color w:val="000000"/>
          <w:sz w:val="21"/>
          <w:szCs w:val="21"/>
        </w:rPr>
        <w:t>Service Provider</w:t>
      </w:r>
      <w:r>
        <w:rPr>
          <w:color w:val="000000"/>
          <w:sz w:val="21"/>
          <w:szCs w:val="21"/>
        </w:rPr>
        <w:t xml:space="preserve"> must, and ensure that any applicable Sub-contractor, implements the approved Remote Working Plan in accordance with its terms; or</w:t>
      </w:r>
    </w:p>
    <w:p w14:paraId="67B1B16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reject the proposed Remote Working Policy, in which case:</w:t>
      </w:r>
    </w:p>
    <w:p w14:paraId="26EFF71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set out any changes to the proposed Remote Working P</w:t>
      </w:r>
      <w:r>
        <w:rPr>
          <w:color w:val="000000"/>
          <w:sz w:val="21"/>
          <w:szCs w:val="21"/>
        </w:rPr>
        <w:t xml:space="preserve">olicy the </w:t>
      </w:r>
      <w:r>
        <w:rPr>
          <w:i/>
          <w:iCs/>
          <w:color w:val="000000"/>
          <w:sz w:val="21"/>
          <w:szCs w:val="21"/>
        </w:rPr>
        <w:t>Client</w:t>
      </w:r>
      <w:r>
        <w:rPr>
          <w:color w:val="000000"/>
          <w:sz w:val="21"/>
          <w:szCs w:val="21"/>
        </w:rPr>
        <w:t xml:space="preserve"> requires to make the plan capable of approval; and</w:t>
      </w:r>
    </w:p>
    <w:p w14:paraId="5EE60C8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may:</w:t>
      </w:r>
    </w:p>
    <w:p w14:paraId="3A7CAB6E"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revise the proposed Remote Working Plan; and</w:t>
      </w:r>
    </w:p>
    <w:p w14:paraId="5BC980DD"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 xml:space="preserve">re-submit the proposed Remote Working Plan to the </w:t>
      </w:r>
      <w:r>
        <w:rPr>
          <w:i/>
          <w:iCs/>
          <w:color w:val="000000"/>
          <w:sz w:val="21"/>
          <w:szCs w:val="21"/>
        </w:rPr>
        <w:t>Client</w:t>
      </w:r>
      <w:r>
        <w:rPr>
          <w:color w:val="000000"/>
          <w:sz w:val="21"/>
          <w:szCs w:val="21"/>
        </w:rPr>
        <w:t xml:space="preserve"> for approval under Paragraph 3.11.</w:t>
      </w:r>
    </w:p>
    <w:p w14:paraId="5C617952"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End-user Devices</w:t>
      </w:r>
    </w:p>
    <w:p w14:paraId="2278333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manage, and must ensure that all Sub-contractors manage, all End-user Devices on which Government Data or Code is stored or handled in accordance the following requirements:</w:t>
      </w:r>
    </w:p>
    <w:p w14:paraId="78521C3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operating system and any applications that store, Handle or have access to Government Data or Code must be in current support by the vendor, or the relevant community in the case of open source operating systems or applications;</w:t>
      </w:r>
    </w:p>
    <w:p w14:paraId="0112977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users must authenticate</w:t>
      </w:r>
      <w:r>
        <w:rPr>
          <w:color w:val="000000"/>
          <w:sz w:val="21"/>
          <w:szCs w:val="21"/>
        </w:rPr>
        <w:t xml:space="preserve"> before gaining access;</w:t>
      </w:r>
    </w:p>
    <w:p w14:paraId="4149B6B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all Government Data and Code must be encrypted using an encryption tool agreed to by the </w:t>
      </w:r>
      <w:r>
        <w:rPr>
          <w:i/>
          <w:iCs/>
          <w:color w:val="000000"/>
          <w:sz w:val="21"/>
          <w:szCs w:val="21"/>
        </w:rPr>
        <w:t>Client</w:t>
      </w:r>
      <w:r>
        <w:rPr>
          <w:color w:val="000000"/>
          <w:sz w:val="21"/>
          <w:szCs w:val="21"/>
        </w:rPr>
        <w:t>;</w:t>
      </w:r>
    </w:p>
    <w:p w14:paraId="43F3D92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End-user Device must lock and require any user to re authenticate after a period of time that is proportionate to the risk environm</w:t>
      </w:r>
      <w:r>
        <w:rPr>
          <w:color w:val="000000"/>
          <w:sz w:val="21"/>
          <w:szCs w:val="21"/>
        </w:rPr>
        <w:t>ent, during which the End-user Device is inactive;</w:t>
      </w:r>
    </w:p>
    <w:p w14:paraId="7CDDD14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End-user Device must be managed in a way that allows for the application of technical policies and controls over applications that have access to Government Data and Code to ensure the security of that</w:t>
      </w:r>
      <w:r>
        <w:rPr>
          <w:color w:val="000000"/>
          <w:sz w:val="21"/>
          <w:szCs w:val="21"/>
        </w:rPr>
        <w:t xml:space="preserve"> Government Data and Code;</w:t>
      </w:r>
    </w:p>
    <w:p w14:paraId="64B3830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Sub-contractor, as applicable, can, without physical access to the End-user Device, remove or make inaccessible all Government Data or Code stored on the device and prevent any user or group of users from </w:t>
      </w:r>
      <w:r>
        <w:rPr>
          <w:color w:val="000000"/>
          <w:sz w:val="21"/>
          <w:szCs w:val="21"/>
        </w:rPr>
        <w:t>accessing the device; and</w:t>
      </w:r>
    </w:p>
    <w:p w14:paraId="55B5F6A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all End-user Devices are within the scope of any Relevant Certification.</w:t>
      </w:r>
    </w:p>
    <w:p w14:paraId="40C492C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comply, and ensure that all Sub-contractors comply, with the recommendations in NCSC Device Guidance as if those recommendations we</w:t>
      </w:r>
      <w:r>
        <w:rPr>
          <w:color w:val="000000"/>
          <w:sz w:val="21"/>
          <w:szCs w:val="21"/>
        </w:rPr>
        <w:t>re incorporated as specific obligations under the Contract.</w:t>
      </w:r>
    </w:p>
    <w:p w14:paraId="5040A16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Where there is any conflict between the requirements of this Schedule and the requirements of the NCSC Device Guidance, the requirements of this Schedule take precedence.</w:t>
      </w:r>
    </w:p>
    <w:p w14:paraId="5A7CF1F0"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Hardware and software sup</w:t>
      </w:r>
      <w:r>
        <w:rPr>
          <w:b/>
          <w:bCs/>
          <w:color w:val="000000"/>
          <w:sz w:val="21"/>
          <w:szCs w:val="21"/>
        </w:rPr>
        <w:t>port</w:t>
      </w:r>
    </w:p>
    <w:p w14:paraId="065A784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Before using any software as part of the Service Provider Information Management System, the </w:t>
      </w:r>
      <w:r>
        <w:rPr>
          <w:i/>
          <w:iCs/>
          <w:color w:val="000000"/>
          <w:sz w:val="21"/>
          <w:szCs w:val="21"/>
        </w:rPr>
        <w:t>Service Provider</w:t>
      </w:r>
      <w:r>
        <w:rPr>
          <w:color w:val="000000"/>
          <w:sz w:val="21"/>
          <w:szCs w:val="21"/>
        </w:rPr>
        <w:t xml:space="preserve"> must:</w:t>
      </w:r>
    </w:p>
    <w:p w14:paraId="57C416F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perform adequate due diligence to determine whether there are any recognised security vulnerabilities with that software; and</w:t>
      </w:r>
    </w:p>
    <w:p w14:paraId="18B1511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there are any recognised security vulnerabilities, either:</w:t>
      </w:r>
    </w:p>
    <w:p w14:paraId="658130B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remedy vulnerabilities; or</w:t>
      </w:r>
    </w:p>
    <w:p w14:paraId="2836569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ensure that the design of the Service </w:t>
      </w:r>
      <w:r>
        <w:rPr>
          <w:color w:val="000000"/>
          <w:sz w:val="21"/>
          <w:szCs w:val="21"/>
        </w:rPr>
        <w:t>Provider Information Management System mitigates those vulnerabilities.</w:t>
      </w:r>
    </w:p>
    <w:p w14:paraId="47A39EB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all software used to provide the </w:t>
      </w:r>
      <w:r>
        <w:rPr>
          <w:i/>
          <w:iCs/>
          <w:color w:val="000000"/>
          <w:sz w:val="21"/>
          <w:szCs w:val="21"/>
        </w:rPr>
        <w:t>services</w:t>
      </w:r>
      <w:r>
        <w:rPr>
          <w:color w:val="000000"/>
          <w:sz w:val="21"/>
          <w:szCs w:val="21"/>
        </w:rPr>
        <w:t xml:space="preserve"> remains at all times in full security support, including any extended or bespoke security support.</w:t>
      </w:r>
    </w:p>
    <w:p w14:paraId="6B0D9CF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produce and maintain a register of all software that forms the Service Provider Information Management System (Support Register).</w:t>
      </w:r>
    </w:p>
    <w:p w14:paraId="044C781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Support Register must include in respect of each item of software:</w:t>
      </w:r>
    </w:p>
    <w:p w14:paraId="04A6FC3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vulnerabilities identifie</w:t>
      </w:r>
      <w:r>
        <w:rPr>
          <w:color w:val="000000"/>
          <w:sz w:val="21"/>
          <w:szCs w:val="21"/>
        </w:rPr>
        <w:t xml:space="preserve">d with the software and the steps the </w:t>
      </w:r>
      <w:r>
        <w:rPr>
          <w:i/>
          <w:iCs/>
          <w:color w:val="000000"/>
          <w:sz w:val="21"/>
          <w:szCs w:val="21"/>
        </w:rPr>
        <w:t>Service Provider</w:t>
      </w:r>
      <w:r>
        <w:rPr>
          <w:color w:val="000000"/>
          <w:sz w:val="21"/>
          <w:szCs w:val="21"/>
        </w:rPr>
        <w:t xml:space="preserve"> has taken to remedy or mitigate those vulnerabilities;</w:t>
      </w:r>
    </w:p>
    <w:p w14:paraId="1526B43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date, so far as it is known, that the item will cease to be in mainstream security support; and</w:t>
      </w:r>
    </w:p>
    <w:p w14:paraId="08DD04A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Provider’s</w:t>
      </w:r>
      <w:r>
        <w:rPr>
          <w:color w:val="000000"/>
          <w:sz w:val="21"/>
          <w:szCs w:val="21"/>
        </w:rPr>
        <w:t xml:space="preserve"> plans to upgrade the item before it ceases to be in mainstream security support.</w:t>
      </w:r>
    </w:p>
    <w:p w14:paraId="2207CCD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20491B1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review and update the Support Register:</w:t>
      </w:r>
    </w:p>
    <w:p w14:paraId="2FA1C8F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within ten Working days of becoming aware of any new vulnerability in any item of software;</w:t>
      </w:r>
    </w:p>
    <w:p w14:paraId="6CA712E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within ten Work</w:t>
      </w:r>
      <w:r>
        <w:rPr>
          <w:color w:val="000000"/>
          <w:sz w:val="21"/>
          <w:szCs w:val="21"/>
        </w:rPr>
        <w:t>ing Days of becoming aware of the date on which, or any change to the date on which, any item of software will cease to be in mainstream security report;</w:t>
      </w:r>
    </w:p>
    <w:p w14:paraId="608E099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within ten Working Days of introducing new software, or removing existing software, from the Service P</w:t>
      </w:r>
      <w:r>
        <w:rPr>
          <w:color w:val="000000"/>
          <w:sz w:val="21"/>
          <w:szCs w:val="21"/>
        </w:rPr>
        <w:t>rovider Information Management System; and</w:t>
      </w:r>
    </w:p>
    <w:p w14:paraId="441259C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at least once every 12 months;</w:t>
      </w:r>
    </w:p>
    <w:p w14:paraId="0F0B913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copy of the Support Register:</w:t>
      </w:r>
    </w:p>
    <w:p w14:paraId="49CEEE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whenever it updates the Support Register; and</w:t>
      </w:r>
    </w:p>
    <w:p w14:paraId="2299F65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otherwise when the </w:t>
      </w:r>
      <w:r>
        <w:rPr>
          <w:i/>
          <w:iCs/>
          <w:color w:val="000000"/>
          <w:sz w:val="21"/>
          <w:szCs w:val="21"/>
        </w:rPr>
        <w:t>Client</w:t>
      </w:r>
      <w:r>
        <w:rPr>
          <w:color w:val="000000"/>
          <w:sz w:val="21"/>
          <w:szCs w:val="21"/>
        </w:rPr>
        <w:t xml:space="preserve"> requests.</w:t>
      </w:r>
    </w:p>
    <w:p w14:paraId="078B473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any element of the Service Provider Information Management System consists of COTS Software, the </w:t>
      </w:r>
      <w:r>
        <w:rPr>
          <w:i/>
          <w:iCs/>
          <w:color w:val="000000"/>
          <w:sz w:val="21"/>
          <w:szCs w:val="21"/>
        </w:rPr>
        <w:t>Service Provider</w:t>
      </w:r>
      <w:r>
        <w:rPr>
          <w:color w:val="000000"/>
          <w:sz w:val="21"/>
          <w:szCs w:val="21"/>
        </w:rPr>
        <w:t xml:space="preserve"> shall ensure:</w:t>
      </w:r>
    </w:p>
    <w:p w14:paraId="0536B40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those elements are always in mainstream or extended security support from the relevant vendor; and</w:t>
      </w:r>
    </w:p>
    <w:p w14:paraId="1EA58E9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COTS Software is no</w:t>
      </w:r>
      <w:r>
        <w:rPr>
          <w:color w:val="000000"/>
          <w:sz w:val="21"/>
          <w:szCs w:val="21"/>
        </w:rPr>
        <w:t>t more than one version or major release behind the latest version of the software.</w:t>
      </w:r>
    </w:p>
    <w:p w14:paraId="505B2D9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ensure that all hardware used to provide the </w:t>
      </w:r>
      <w:r>
        <w:rPr>
          <w:i/>
          <w:iCs/>
          <w:color w:val="000000"/>
          <w:sz w:val="21"/>
          <w:szCs w:val="21"/>
        </w:rPr>
        <w:t>services</w:t>
      </w:r>
      <w:r>
        <w:rPr>
          <w:color w:val="000000"/>
          <w:sz w:val="21"/>
          <w:szCs w:val="21"/>
        </w:rPr>
        <w:t xml:space="preserve">, whether used by the </w:t>
      </w:r>
      <w:r>
        <w:rPr>
          <w:i/>
          <w:iCs/>
          <w:color w:val="000000"/>
          <w:sz w:val="21"/>
          <w:szCs w:val="21"/>
        </w:rPr>
        <w:t>Service Provider</w:t>
      </w:r>
      <w:r>
        <w:rPr>
          <w:color w:val="000000"/>
          <w:sz w:val="21"/>
          <w:szCs w:val="21"/>
        </w:rPr>
        <w:t xml:space="preserve"> or any Sub-contractor is, at all times, remains in ma</w:t>
      </w:r>
      <w:r>
        <w:rPr>
          <w:color w:val="000000"/>
          <w:sz w:val="21"/>
          <w:szCs w:val="21"/>
        </w:rPr>
        <w:t>instream vendor support, that is, that in respect of the hardware, the vendor continues to provide:</w:t>
      </w:r>
    </w:p>
    <w:p w14:paraId="54F0B65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regular firmware updates to the hardware; and</w:t>
      </w:r>
    </w:p>
    <w:p w14:paraId="318F580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physical repair or replacement service for the hardware.</w:t>
      </w:r>
    </w:p>
    <w:p w14:paraId="6331087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where any sof</w:t>
      </w:r>
      <w:r>
        <w:rPr>
          <w:color w:val="000000"/>
          <w:sz w:val="21"/>
          <w:szCs w:val="21"/>
        </w:rPr>
        <w:t xml:space="preserve">tware or hardware component of the Service Provider Information Management System is no longer required to provide the </w:t>
      </w:r>
      <w:r>
        <w:rPr>
          <w:i/>
          <w:iCs/>
          <w:color w:val="000000"/>
          <w:sz w:val="21"/>
          <w:szCs w:val="21"/>
        </w:rPr>
        <w:t>services</w:t>
      </w:r>
      <w:r>
        <w:rPr>
          <w:color w:val="000000"/>
          <w:sz w:val="21"/>
          <w:szCs w:val="21"/>
        </w:rPr>
        <w:t xml:space="preserve"> or has reached the end of its life it is removed or disconnected from the Service Provider Information Management System.</w:t>
      </w:r>
    </w:p>
    <w:p w14:paraId="6B1F9E9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Encryption</w:t>
      </w:r>
    </w:p>
    <w:p w14:paraId="3713F85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Before Handling any Government Data, the </w:t>
      </w:r>
      <w:r>
        <w:rPr>
          <w:i/>
          <w:iCs/>
          <w:color w:val="000000"/>
          <w:sz w:val="21"/>
          <w:szCs w:val="21"/>
        </w:rPr>
        <w:t>Service Provider</w:t>
      </w:r>
      <w:r>
        <w:rPr>
          <w:color w:val="000000"/>
          <w:sz w:val="21"/>
          <w:szCs w:val="21"/>
        </w:rPr>
        <w:t xml:space="preserve"> must agree with the </w:t>
      </w:r>
      <w:r>
        <w:rPr>
          <w:i/>
          <w:iCs/>
          <w:color w:val="000000"/>
          <w:sz w:val="21"/>
          <w:szCs w:val="21"/>
        </w:rPr>
        <w:t>Client</w:t>
      </w:r>
      <w:r>
        <w:rPr>
          <w:color w:val="000000"/>
          <w:sz w:val="21"/>
          <w:szCs w:val="21"/>
        </w:rPr>
        <w:t xml:space="preserve"> the encryption methods that it and any Sub-contractors that Handle Government Data will use to comply with this Paragraph 6.</w:t>
      </w:r>
    </w:p>
    <w:p w14:paraId="142C358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Where this Paragraph 6 requires Gov</w:t>
      </w:r>
      <w:r>
        <w:rPr>
          <w:color w:val="000000"/>
          <w:sz w:val="21"/>
          <w:szCs w:val="21"/>
        </w:rPr>
        <w:t xml:space="preserve">ernment Data to be encrypted, the </w:t>
      </w:r>
      <w:r>
        <w:rPr>
          <w:i/>
          <w:iCs/>
          <w:color w:val="000000"/>
          <w:sz w:val="21"/>
          <w:szCs w:val="21"/>
        </w:rPr>
        <w:t>Service Provider</w:t>
      </w:r>
      <w:r>
        <w:rPr>
          <w:color w:val="000000"/>
          <w:sz w:val="21"/>
          <w:szCs w:val="21"/>
        </w:rPr>
        <w:t xml:space="preserve"> must use, and ensure that Sub-contractors use, the methods agreed by the </w:t>
      </w:r>
      <w:r>
        <w:rPr>
          <w:i/>
          <w:iCs/>
          <w:color w:val="000000"/>
          <w:sz w:val="21"/>
          <w:szCs w:val="21"/>
        </w:rPr>
        <w:t>Client</w:t>
      </w:r>
      <w:r>
        <w:rPr>
          <w:color w:val="000000"/>
          <w:sz w:val="21"/>
          <w:szCs w:val="21"/>
        </w:rPr>
        <w:t xml:space="preserve"> under Paragraph 6.1.</w:t>
      </w:r>
    </w:p>
    <w:p w14:paraId="7F0EF7F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Unless Paragraph 6.4 applies, the </w:t>
      </w:r>
      <w:r>
        <w:rPr>
          <w:i/>
          <w:iCs/>
          <w:color w:val="000000"/>
          <w:sz w:val="21"/>
          <w:szCs w:val="21"/>
        </w:rPr>
        <w:t>Service Provider</w:t>
      </w:r>
      <w:r>
        <w:rPr>
          <w:color w:val="000000"/>
          <w:sz w:val="21"/>
          <w:szCs w:val="21"/>
        </w:rPr>
        <w:t xml:space="preserve"> must ensure, and must ensure that all Sub-contractors ensure, that Government Data is encrypted:</w:t>
      </w:r>
    </w:p>
    <w:p w14:paraId="7C4B190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when stored at any time when no operation is being performed on it, including when stored on any portable storage media; and</w:t>
      </w:r>
    </w:p>
    <w:p w14:paraId="680C86E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when transmitted.</w:t>
      </w:r>
    </w:p>
    <w:p w14:paraId="439FFF8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w:t>
      </w:r>
      <w:r>
        <w:rPr>
          <w:i/>
          <w:iCs/>
          <w:color w:val="000000"/>
          <w:sz w:val="21"/>
          <w:szCs w:val="21"/>
        </w:rPr>
        <w:t>ce Provider</w:t>
      </w:r>
      <w:r>
        <w:rPr>
          <w:color w:val="000000"/>
          <w:sz w:val="21"/>
          <w:szCs w:val="21"/>
        </w:rPr>
        <w:t xml:space="preserve">, or a Sub-contractor, cannot encrypt Government Data as required by Paragraph 6.2, the </w:t>
      </w:r>
      <w:r>
        <w:rPr>
          <w:i/>
          <w:iCs/>
          <w:color w:val="000000"/>
          <w:sz w:val="21"/>
          <w:szCs w:val="21"/>
        </w:rPr>
        <w:t>Service Provider</w:t>
      </w:r>
      <w:r>
        <w:rPr>
          <w:color w:val="000000"/>
          <w:sz w:val="21"/>
          <w:szCs w:val="21"/>
        </w:rPr>
        <w:t xml:space="preserve"> must:</w:t>
      </w:r>
    </w:p>
    <w:p w14:paraId="6C1B571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immediately inform the </w:t>
      </w:r>
      <w:r>
        <w:rPr>
          <w:i/>
          <w:iCs/>
          <w:color w:val="000000"/>
          <w:sz w:val="21"/>
          <w:szCs w:val="21"/>
        </w:rPr>
        <w:t>Client</w:t>
      </w:r>
      <w:r>
        <w:rPr>
          <w:color w:val="000000"/>
          <w:sz w:val="21"/>
          <w:szCs w:val="21"/>
        </w:rPr>
        <w:t xml:space="preserve"> of the subset or subsets of Government Data it cannot encrypt and the circumstances in which and the rea</w:t>
      </w:r>
      <w:r>
        <w:rPr>
          <w:color w:val="000000"/>
          <w:sz w:val="21"/>
          <w:szCs w:val="21"/>
        </w:rPr>
        <w:t>sons why it cannot do so;</w:t>
      </w:r>
    </w:p>
    <w:p w14:paraId="6FE977F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details of the protective measures the </w:t>
      </w:r>
      <w:r>
        <w:rPr>
          <w:i/>
          <w:iCs/>
          <w:color w:val="000000"/>
          <w:sz w:val="21"/>
          <w:szCs w:val="21"/>
        </w:rPr>
        <w:t>Service Provider</w:t>
      </w:r>
      <w:r>
        <w:rPr>
          <w:color w:val="000000"/>
          <w:sz w:val="21"/>
          <w:szCs w:val="21"/>
        </w:rPr>
        <w:t xml:space="preserve"> or Sub-contractor (as applicable) proposes to take to provide equivalent protection to the </w:t>
      </w:r>
      <w:r>
        <w:rPr>
          <w:i/>
          <w:iCs/>
          <w:color w:val="000000"/>
          <w:sz w:val="21"/>
          <w:szCs w:val="21"/>
        </w:rPr>
        <w:t>Client</w:t>
      </w:r>
      <w:r>
        <w:rPr>
          <w:color w:val="000000"/>
          <w:sz w:val="21"/>
          <w:szCs w:val="21"/>
        </w:rPr>
        <w:t xml:space="preserve"> as encryption;</w:t>
      </w:r>
    </w:p>
    <w:p w14:paraId="6AABC10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such additional information r</w:t>
      </w:r>
      <w:r>
        <w:rPr>
          <w:color w:val="000000"/>
          <w:sz w:val="21"/>
          <w:szCs w:val="21"/>
        </w:rPr>
        <w:t>elating to the information provided under Paragraphs 6.4.1 and 6.4.2 as the Client may require.</w:t>
      </w:r>
    </w:p>
    <w:p w14:paraId="5A1A01D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and, where the </w:t>
      </w:r>
      <w:r>
        <w:rPr>
          <w:i/>
          <w:iCs/>
          <w:color w:val="000000"/>
          <w:sz w:val="21"/>
          <w:szCs w:val="21"/>
        </w:rPr>
        <w:t>Client</w:t>
      </w:r>
      <w:r>
        <w:rPr>
          <w:color w:val="000000"/>
          <w:sz w:val="21"/>
          <w:szCs w:val="21"/>
        </w:rPr>
        <w:t xml:space="preserve"> requires, any relevant Sub-contractor shall meet to agree appropriate protective measures for the unencry</w:t>
      </w:r>
      <w:r>
        <w:rPr>
          <w:color w:val="000000"/>
          <w:sz w:val="21"/>
          <w:szCs w:val="21"/>
        </w:rPr>
        <w:t>pted Government Data.</w:t>
      </w:r>
    </w:p>
    <w:p w14:paraId="32C5611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and </w:t>
      </w:r>
      <w:r>
        <w:rPr>
          <w:i/>
          <w:iCs/>
          <w:color w:val="000000"/>
          <w:sz w:val="21"/>
          <w:szCs w:val="21"/>
        </w:rPr>
        <w:t>Service Provider</w:t>
      </w:r>
      <w:r>
        <w:rPr>
          <w:color w:val="000000"/>
          <w:sz w:val="21"/>
          <w:szCs w:val="21"/>
        </w:rPr>
        <w:t xml:space="preserve"> reach agreement, the </w:t>
      </w:r>
      <w:r>
        <w:rPr>
          <w:i/>
          <w:iCs/>
          <w:color w:val="000000"/>
          <w:sz w:val="21"/>
          <w:szCs w:val="21"/>
        </w:rPr>
        <w:t>Service Provider</w:t>
      </w:r>
      <w:r>
        <w:rPr>
          <w:color w:val="000000"/>
          <w:sz w:val="21"/>
          <w:szCs w:val="21"/>
        </w:rPr>
        <w:t xml:space="preserve"> must update the Security Management Plan to include:</w:t>
      </w:r>
    </w:p>
    <w:p w14:paraId="592A438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subset or subsets of Government Data not encrypted and the circumstances in which that will occur; and</w:t>
      </w:r>
    </w:p>
    <w:p w14:paraId="456CCD1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protective measure that the </w:t>
      </w:r>
      <w:r>
        <w:rPr>
          <w:i/>
          <w:iCs/>
          <w:color w:val="000000"/>
          <w:sz w:val="21"/>
          <w:szCs w:val="21"/>
        </w:rPr>
        <w:t>Service Provider</w:t>
      </w:r>
      <w:r>
        <w:rPr>
          <w:color w:val="000000"/>
          <w:sz w:val="21"/>
          <w:szCs w:val="21"/>
        </w:rPr>
        <w:t xml:space="preserve"> and/or Sub-contractor will put in place in respect of the unencrypted Government Data.</w:t>
      </w:r>
    </w:p>
    <w:p w14:paraId="7A0580D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w:t>
      </w:r>
      <w:r>
        <w:rPr>
          <w:i/>
          <w:iCs/>
          <w:color w:val="000000"/>
          <w:sz w:val="21"/>
          <w:szCs w:val="21"/>
        </w:rPr>
        <w:t>ent</w:t>
      </w:r>
      <w:r>
        <w:rPr>
          <w:color w:val="000000"/>
          <w:sz w:val="21"/>
          <w:szCs w:val="21"/>
        </w:rPr>
        <w:t xml:space="preserve"> and </w:t>
      </w:r>
      <w:r>
        <w:rPr>
          <w:i/>
          <w:iCs/>
          <w:color w:val="000000"/>
          <w:sz w:val="21"/>
          <w:szCs w:val="21"/>
        </w:rPr>
        <w:t>Service Provider</w:t>
      </w:r>
      <w:r>
        <w:rPr>
          <w:color w:val="000000"/>
          <w:sz w:val="21"/>
          <w:szCs w:val="21"/>
        </w:rPr>
        <w:t xml:space="preserve"> do not reach agreement within 40 Working Days of the date on which the </w:t>
      </w:r>
      <w:r>
        <w:rPr>
          <w:i/>
          <w:iCs/>
          <w:color w:val="000000"/>
          <w:sz w:val="21"/>
          <w:szCs w:val="21"/>
        </w:rPr>
        <w:t>Service Provider</w:t>
      </w:r>
      <w:r>
        <w:rPr>
          <w:color w:val="000000"/>
          <w:sz w:val="21"/>
          <w:szCs w:val="21"/>
        </w:rPr>
        <w:t xml:space="preserve"> first notified the </w:t>
      </w:r>
      <w:r>
        <w:rPr>
          <w:i/>
          <w:iCs/>
          <w:color w:val="000000"/>
          <w:sz w:val="21"/>
          <w:szCs w:val="21"/>
        </w:rPr>
        <w:t>Client</w:t>
      </w:r>
      <w:r>
        <w:rPr>
          <w:color w:val="000000"/>
          <w:sz w:val="21"/>
          <w:szCs w:val="21"/>
        </w:rPr>
        <w:t xml:space="preserve"> that it could not encrypt certain Government Data, either party may refer the matter to be determined by an expert in</w:t>
      </w:r>
      <w:r>
        <w:rPr>
          <w:color w:val="000000"/>
          <w:sz w:val="21"/>
          <w:szCs w:val="21"/>
        </w:rPr>
        <w:t xml:space="preserve"> accordance with the Dispute Resolution Procedure.</w:t>
      </w:r>
    </w:p>
    <w:p w14:paraId="402B9D01"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Backup and recovery of Government Data</w:t>
      </w:r>
    </w:p>
    <w:p w14:paraId="6433098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backup and recover the Government Data in accordance with the Backup and Recovery Plan to ensure the recovery point objective and recovery time objective in Paragraph 7.3.1.</w:t>
      </w:r>
    </w:p>
    <w:p w14:paraId="1500610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Any backup system operated by the </w:t>
      </w:r>
      <w:r>
        <w:rPr>
          <w:i/>
          <w:iCs/>
          <w:color w:val="000000"/>
          <w:sz w:val="21"/>
          <w:szCs w:val="21"/>
        </w:rPr>
        <w:t>Service Provider</w:t>
      </w:r>
      <w:r>
        <w:rPr>
          <w:color w:val="000000"/>
          <w:sz w:val="21"/>
          <w:szCs w:val="21"/>
        </w:rPr>
        <w:t xml:space="preserve"> or Sub-contractor forms p</w:t>
      </w:r>
      <w:r>
        <w:rPr>
          <w:color w:val="000000"/>
          <w:sz w:val="21"/>
          <w:szCs w:val="21"/>
        </w:rPr>
        <w:t>art of the Service Provider System or that Sub-contractor’s System to which this Schedule and the security requirements in Appendix 1 apply.</w:t>
      </w:r>
    </w:p>
    <w:p w14:paraId="4A97D244"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Backup and Recovery Plan</w:t>
      </w:r>
    </w:p>
    <w:p w14:paraId="3D6A4A6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Unless otherwise required by the </w:t>
      </w:r>
      <w:r>
        <w:rPr>
          <w:i/>
          <w:iCs/>
          <w:color w:val="000000"/>
          <w:sz w:val="21"/>
          <w:szCs w:val="21"/>
        </w:rPr>
        <w:t>Client</w:t>
      </w:r>
      <w:r>
        <w:rPr>
          <w:color w:val="000000"/>
          <w:sz w:val="21"/>
          <w:szCs w:val="21"/>
        </w:rPr>
        <w:t>, the Backup and Recovery Plan must provide for:</w:t>
      </w:r>
    </w:p>
    <w:p w14:paraId="31B61BA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 the case of a full or partial failure of the Service Provider System or a Sub-contractor’s System:</w:t>
      </w:r>
    </w:p>
    <w:p w14:paraId="324EB5C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recovery time objective of [Client Guidance: insert period]; and</w:t>
      </w:r>
    </w:p>
    <w:p w14:paraId="10A02EF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recovery point objective of [Client Guidance: insert period]; and</w:t>
      </w:r>
    </w:p>
    <w:p w14:paraId="6C35AE5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 retention period </w:t>
      </w:r>
      <w:r>
        <w:rPr>
          <w:color w:val="000000"/>
          <w:sz w:val="21"/>
          <w:szCs w:val="21"/>
        </w:rPr>
        <w:t>of [Client Guidance: insert period].</w:t>
      </w:r>
    </w:p>
    <w:p w14:paraId="626F055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doing so, the Backup and Recovery Plan must ensure that in respect of any backup system operated by the </w:t>
      </w:r>
      <w:r>
        <w:rPr>
          <w:i/>
          <w:iCs/>
          <w:color w:val="000000"/>
          <w:sz w:val="21"/>
          <w:szCs w:val="21"/>
        </w:rPr>
        <w:t>Service Provider</w:t>
      </w:r>
      <w:r>
        <w:rPr>
          <w:color w:val="000000"/>
          <w:sz w:val="21"/>
          <w:szCs w:val="21"/>
        </w:rPr>
        <w:t xml:space="preserve"> or a Sub-contractor:</w:t>
      </w:r>
    </w:p>
    <w:p w14:paraId="582BE50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backup location for Government Data is sufficiently physically and logically separate from the rest of the Service Provider System or a Sub-contractor’s System that it is not affected by any Disaster affecting the rest of the Service Provider System or</w:t>
      </w:r>
      <w:r>
        <w:rPr>
          <w:color w:val="000000"/>
          <w:sz w:val="21"/>
          <w:szCs w:val="21"/>
        </w:rPr>
        <w:t xml:space="preserve"> a Sub-contractor’s System;</w:t>
      </w:r>
    </w:p>
    <w:p w14:paraId="26FEB11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there is sufficient storage volume for the amount of Government Data to be backed up;</w:t>
      </w:r>
    </w:p>
    <w:p w14:paraId="13DB730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all back-up media for Government Data is used in accordance with the manufacturer’s usage recommendations;</w:t>
      </w:r>
    </w:p>
    <w:p w14:paraId="64D8A09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newer backups of Government Data do</w:t>
      </w:r>
      <w:r>
        <w:rPr>
          <w:color w:val="000000"/>
          <w:sz w:val="21"/>
          <w:szCs w:val="21"/>
        </w:rPr>
        <w:t xml:space="preserve"> not overwrite existing backups made during the retention period specified in Paragraph 7.3.1(b);</w:t>
      </w:r>
    </w:p>
    <w:p w14:paraId="6594D06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backup system monitors backups of Government Data to:</w:t>
      </w:r>
    </w:p>
    <w:p w14:paraId="190B4D8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identifies any backup failure; and</w:t>
      </w:r>
    </w:p>
    <w:p w14:paraId="61A99BD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confirm the integrity of the Government Data backed up;</w:t>
      </w:r>
    </w:p>
    <w:p w14:paraId="42CC6D9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backup failure is remedied promptly;</w:t>
      </w:r>
    </w:p>
    <w:p w14:paraId="3795BFB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backup system monitors the recovery of Government Data to:</w:t>
      </w:r>
    </w:p>
    <w:p w14:paraId="06E93C6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identify any recovery failure;</w:t>
      </w:r>
    </w:p>
    <w:p w14:paraId="3CBF229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confirm the integrity of Government Data recovered; and</w:t>
      </w:r>
    </w:p>
    <w:p w14:paraId="0B9EFFA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recov</w:t>
      </w:r>
      <w:r>
        <w:rPr>
          <w:color w:val="000000"/>
          <w:sz w:val="21"/>
          <w:szCs w:val="21"/>
        </w:rPr>
        <w:t>ery failure is promptly remedied.</w:t>
      </w:r>
    </w:p>
    <w:p w14:paraId="6DC1983B"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Email</w:t>
      </w:r>
    </w:p>
    <w:p w14:paraId="36F9F9F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where the Service Provider Information Management System will provide an Email Service to the </w:t>
      </w:r>
      <w:r>
        <w:rPr>
          <w:i/>
          <w:iCs/>
          <w:color w:val="000000"/>
          <w:sz w:val="21"/>
          <w:szCs w:val="21"/>
        </w:rPr>
        <w:t>Client</w:t>
      </w:r>
      <w:r>
        <w:rPr>
          <w:color w:val="000000"/>
          <w:sz w:val="21"/>
          <w:szCs w:val="21"/>
        </w:rPr>
        <w:t>, it:</w:t>
      </w:r>
    </w:p>
    <w:p w14:paraId="2EF7F76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supports transport layer security (TLS) version 1.2, or higher, for sending and receiving emails;</w:t>
      </w:r>
    </w:p>
    <w:p w14:paraId="79DB60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supports TLS Reporting (TLS RPT);</w:t>
      </w:r>
    </w:p>
    <w:p w14:paraId="70062AF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capable of implementing:</w:t>
      </w:r>
    </w:p>
    <w:p w14:paraId="37AB269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domain based message authentication, reporting and conformance (DMARC);</w:t>
      </w:r>
    </w:p>
    <w:p w14:paraId="3BF529A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sender policy framework (SPF); and</w:t>
      </w:r>
    </w:p>
    <w:p w14:paraId="474AE21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domain keys identified mail (DKIM); and</w:t>
      </w:r>
    </w:p>
    <w:p w14:paraId="1ED0C66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capable of complying in all respects with any guidance concerning email securi</w:t>
      </w:r>
      <w:r>
        <w:rPr>
          <w:color w:val="000000"/>
          <w:sz w:val="21"/>
          <w:szCs w:val="21"/>
        </w:rPr>
        <w:t>ty as issued or updated from time to time by:</w:t>
      </w:r>
    </w:p>
    <w:p w14:paraId="4A5837C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UK Government (current version at https://www.gov.uk/guidance/set-up-government-email-services-securely; or</w:t>
      </w:r>
    </w:p>
    <w:p w14:paraId="3560CFB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NCSC (current version at https://www.ncsc.gov.uk/collection/email-security-and-anti-spoofing).</w:t>
      </w:r>
    </w:p>
    <w:p w14:paraId="5E0E8EED"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DNS</w:t>
      </w:r>
    </w:p>
    <w:p w14:paraId="6F8E114E"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Unless otherwise agreed by the </w:t>
      </w:r>
      <w:r>
        <w:rPr>
          <w:i/>
          <w:iCs/>
          <w:color w:val="000000"/>
          <w:sz w:val="21"/>
          <w:szCs w:val="21"/>
        </w:rPr>
        <w:t>Client</w:t>
      </w:r>
      <w:r>
        <w:rPr>
          <w:color w:val="000000"/>
          <w:sz w:val="21"/>
          <w:szCs w:val="21"/>
        </w:rPr>
        <w:t xml:space="preserve">, the </w:t>
      </w:r>
      <w:r>
        <w:rPr>
          <w:i/>
          <w:iCs/>
          <w:color w:val="000000"/>
          <w:sz w:val="21"/>
          <w:szCs w:val="21"/>
        </w:rPr>
        <w:t>Service Provider</w:t>
      </w:r>
      <w:r>
        <w:rPr>
          <w:color w:val="000000"/>
          <w:sz w:val="21"/>
          <w:szCs w:val="21"/>
        </w:rPr>
        <w:t xml:space="preserve"> must ensure that the Service Provider Information Management System uses the UK public sector Protective DNS (PDNS) service to resolve internet DNS queries.</w:t>
      </w:r>
    </w:p>
    <w:p w14:paraId="383ADD2A"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Malicious Software</w:t>
      </w:r>
    </w:p>
    <w:p w14:paraId="4543699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install and maintain Anti virus Software or procure that Anti virus Software is installed and maintained on the Service Provider Information Management System.</w:t>
      </w:r>
    </w:p>
    <w:p w14:paraId="46370E8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such Anti virus Software:</w:t>
      </w:r>
    </w:p>
    <w:p w14:paraId="4934A21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prevents the installation of the most common forms of Malicious Software in the Service Provider Information Management System and the Development Environment;</w:t>
      </w:r>
    </w:p>
    <w:p w14:paraId="033A1DE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is configured to perform automatic software and definition updates;</w:t>
      </w:r>
    </w:p>
    <w:p w14:paraId="679AC5F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provides for all updates to </w:t>
      </w:r>
      <w:r>
        <w:rPr>
          <w:color w:val="000000"/>
          <w:sz w:val="21"/>
          <w:szCs w:val="21"/>
        </w:rPr>
        <w:t>be the Anti virus Software to be deployed within [ten] Working Days of the update’s release by the vendor;</w:t>
      </w:r>
    </w:p>
    <w:p w14:paraId="37A98FC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performs regular scans of the Service Provider Information Management System to check for and prevent the introduction of Malicious Software; and</w:t>
      </w:r>
    </w:p>
    <w:p w14:paraId="7EFD266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w:t>
      </w:r>
      <w:r>
        <w:rPr>
          <w:color w:val="000000"/>
          <w:sz w:val="21"/>
          <w:szCs w:val="21"/>
        </w:rPr>
        <w:t>re Malicious Software has been introduced into the Service Provider Information Management System, identifies, contains the spread of, and minimises the impact of Malicious Software.</w:t>
      </w:r>
    </w:p>
    <w:p w14:paraId="50B7DD5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If Malicious Software is found, the Parties shall cooperate to reduce the</w:t>
      </w:r>
      <w:r>
        <w:rPr>
          <w:color w:val="000000"/>
          <w:sz w:val="21"/>
          <w:szCs w:val="21"/>
        </w:rPr>
        <w:t xml:space="preserve"> effect of the Malicious Software and, particularly if Malicious Software causes loss of operational efficiency or loss or corruption of Government Data, assist each other to mitigate any Losses and to restore the </w:t>
      </w:r>
      <w:r>
        <w:rPr>
          <w:i/>
          <w:iCs/>
          <w:color w:val="000000"/>
          <w:sz w:val="21"/>
          <w:szCs w:val="21"/>
        </w:rPr>
        <w:t>services</w:t>
      </w:r>
      <w:r>
        <w:rPr>
          <w:color w:val="000000"/>
          <w:sz w:val="21"/>
          <w:szCs w:val="21"/>
        </w:rPr>
        <w:t xml:space="preserve"> to their desired operating effici</w:t>
      </w:r>
      <w:r>
        <w:rPr>
          <w:color w:val="000000"/>
          <w:sz w:val="21"/>
          <w:szCs w:val="21"/>
        </w:rPr>
        <w:t>ency.</w:t>
      </w:r>
    </w:p>
    <w:p w14:paraId="38B43AC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Any Breach of Security caused by Malicious Software where the Breach of Security arose from a failure by the </w:t>
      </w:r>
      <w:r>
        <w:rPr>
          <w:i/>
          <w:iCs/>
          <w:color w:val="000000"/>
          <w:sz w:val="21"/>
          <w:szCs w:val="21"/>
        </w:rPr>
        <w:t>Service Provider</w:t>
      </w:r>
      <w:r>
        <w:rPr>
          <w:color w:val="000000"/>
          <w:sz w:val="21"/>
          <w:szCs w:val="21"/>
        </w:rPr>
        <w:t>, or a Sub-contractor, to comply with this Paragraph 10 is a material Default.</w:t>
      </w:r>
    </w:p>
    <w:p w14:paraId="7540107A"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Vulnerabilities</w:t>
      </w:r>
    </w:p>
    <w:p w14:paraId="35C501E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Unless the </w:t>
      </w:r>
      <w:r>
        <w:rPr>
          <w:i/>
          <w:iCs/>
          <w:color w:val="000000"/>
          <w:sz w:val="21"/>
          <w:szCs w:val="21"/>
        </w:rPr>
        <w:t>Client</w:t>
      </w:r>
      <w:r>
        <w:rPr>
          <w:color w:val="000000"/>
          <w:sz w:val="21"/>
          <w:szCs w:val="21"/>
        </w:rPr>
        <w:t xml:space="preserve"> otherwise agrees, the </w:t>
      </w:r>
      <w:r>
        <w:rPr>
          <w:i/>
          <w:iCs/>
          <w:color w:val="000000"/>
          <w:sz w:val="21"/>
          <w:szCs w:val="21"/>
        </w:rPr>
        <w:t>Service Provider</w:t>
      </w:r>
      <w:r>
        <w:rPr>
          <w:color w:val="000000"/>
          <w:sz w:val="21"/>
          <w:szCs w:val="21"/>
        </w:rPr>
        <w:t xml:space="preserve"> must ensure that it or any relevant Sub-contractor applies security patches to any vulnerabilities in the Service Provider Information Management System no later than:</w:t>
      </w:r>
    </w:p>
    <w:p w14:paraId="61E6857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seven days after the public release of patches f</w:t>
      </w:r>
      <w:r>
        <w:rPr>
          <w:color w:val="000000"/>
          <w:sz w:val="21"/>
          <w:szCs w:val="21"/>
        </w:rPr>
        <w:t>or vulnerabilities classified as "critical";</w:t>
      </w:r>
    </w:p>
    <w:p w14:paraId="639BB0F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30 days after the public release of patches for vulnerabilities classified as "important"; and</w:t>
      </w:r>
    </w:p>
    <w:p w14:paraId="66E132D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60 days after the public release of patches for vulnerabilities classified as "other".</w:t>
      </w:r>
    </w:p>
    <w:p w14:paraId="68697CD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31E7FAA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scan the Service Provider Information Management System and the Development Environment at least once every month to identify any unpatched vu</w:t>
      </w:r>
      <w:r>
        <w:rPr>
          <w:color w:val="000000"/>
          <w:sz w:val="21"/>
          <w:szCs w:val="21"/>
        </w:rPr>
        <w:t>lnerabilities; and</w:t>
      </w:r>
    </w:p>
    <w:p w14:paraId="2B88E19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if the scan identifies any unpatched vulnerabilities ensure they are patched in accordance with Paragraph 11.1.</w:t>
      </w:r>
    </w:p>
    <w:p w14:paraId="3D434BC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For the purposes of this Paragraph 11, the </w:t>
      </w:r>
      <w:r>
        <w:rPr>
          <w:i/>
          <w:iCs/>
          <w:color w:val="000000"/>
          <w:sz w:val="21"/>
          <w:szCs w:val="21"/>
        </w:rPr>
        <w:t>Service Provider</w:t>
      </w:r>
      <w:r>
        <w:rPr>
          <w:color w:val="000000"/>
          <w:sz w:val="21"/>
          <w:szCs w:val="21"/>
        </w:rPr>
        <w:t xml:space="preserve"> must implement a method for classifying vulnerabilities to the Se</w:t>
      </w:r>
      <w:r>
        <w:rPr>
          <w:color w:val="000000"/>
          <w:sz w:val="21"/>
          <w:szCs w:val="21"/>
        </w:rPr>
        <w:t>rvice Provider Information Management System as "critical", "important" or "other" that is aligned to recognised vulnerability assessment systems, such as:</w:t>
      </w:r>
    </w:p>
    <w:p w14:paraId="59BED6A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National Vulnerability Database’s vulnerability security ratings; or</w:t>
      </w:r>
    </w:p>
    <w:p w14:paraId="093E8C5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Microsoft’s security bullet</w:t>
      </w:r>
      <w:r>
        <w:rPr>
          <w:color w:val="000000"/>
          <w:sz w:val="21"/>
          <w:szCs w:val="21"/>
        </w:rPr>
        <w:t>in severity rating system.</w:t>
      </w:r>
    </w:p>
    <w:p w14:paraId="3F9A586B"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Security testing</w:t>
      </w:r>
    </w:p>
    <w:p w14:paraId="1F3EDBE9"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Responsibility for security testing</w:t>
      </w:r>
    </w:p>
    <w:p w14:paraId="498747B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is solely responsible for:</w:t>
      </w:r>
    </w:p>
    <w:p w14:paraId="65D742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costs of conducting any security testing required by this Paragraph 12; and</w:t>
      </w:r>
    </w:p>
    <w:p w14:paraId="0E0CB46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costs of implementing any findings, or remedying any vulnerabilities, identified in that security testing.</w:t>
      </w:r>
    </w:p>
    <w:p w14:paraId="18718D31"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Security tests by Service Provider</w:t>
      </w:r>
    </w:p>
    <w:p w14:paraId="5742460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2484467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bef</w:t>
      </w:r>
      <w:r>
        <w:rPr>
          <w:color w:val="000000"/>
          <w:sz w:val="21"/>
          <w:szCs w:val="21"/>
        </w:rPr>
        <w:t xml:space="preserve">ore submitting the draft Security Management Plan to the </w:t>
      </w:r>
      <w:r>
        <w:rPr>
          <w:i/>
          <w:iCs/>
          <w:color w:val="000000"/>
          <w:sz w:val="21"/>
          <w:szCs w:val="21"/>
        </w:rPr>
        <w:t>Client</w:t>
      </w:r>
      <w:r>
        <w:rPr>
          <w:color w:val="000000"/>
          <w:sz w:val="21"/>
          <w:szCs w:val="21"/>
        </w:rPr>
        <w:t xml:space="preserve"> for a decision under Paragraph 16;</w:t>
      </w:r>
    </w:p>
    <w:p w14:paraId="0191171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at least once during each Contract Year; and</w:t>
      </w:r>
    </w:p>
    <w:p w14:paraId="36303DA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when required to do so by the </w:t>
      </w:r>
      <w:r>
        <w:rPr>
          <w:i/>
          <w:iCs/>
          <w:color w:val="000000"/>
          <w:sz w:val="21"/>
          <w:szCs w:val="21"/>
        </w:rPr>
        <w:t>Client</w:t>
      </w:r>
      <w:r>
        <w:rPr>
          <w:color w:val="000000"/>
          <w:sz w:val="21"/>
          <w:szCs w:val="21"/>
        </w:rPr>
        <w:t>;</w:t>
      </w:r>
    </w:p>
    <w:p w14:paraId="73B9F726"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undertake the following activities:</w:t>
      </w:r>
    </w:p>
    <w:p w14:paraId="404B5D0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conduct security testing of the Service Provider Information Management System (IT Health Check) in accordance with Paragraph 12.8 to 12.10; and</w:t>
      </w:r>
    </w:p>
    <w:p w14:paraId="263D731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implement any findings, and remedy any vulnerabilities identified by the IT Health Check in accordance with Par</w:t>
      </w:r>
      <w:r>
        <w:rPr>
          <w:color w:val="000000"/>
          <w:sz w:val="21"/>
          <w:szCs w:val="21"/>
        </w:rPr>
        <w:t>agraphs 12.11 to 12.21.</w:t>
      </w:r>
    </w:p>
    <w:p w14:paraId="1E75427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addition to its obligations under Paragraph 12.2, the </w:t>
      </w:r>
      <w:r>
        <w:rPr>
          <w:i/>
          <w:iCs/>
          <w:color w:val="000000"/>
          <w:sz w:val="21"/>
          <w:szCs w:val="21"/>
        </w:rPr>
        <w:t>Service Provider</w:t>
      </w:r>
      <w:r>
        <w:rPr>
          <w:color w:val="000000"/>
          <w:sz w:val="21"/>
          <w:szCs w:val="21"/>
        </w:rPr>
        <w:t xml:space="preserve"> must undertake any tests required by:</w:t>
      </w:r>
    </w:p>
    <w:p w14:paraId="1384053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Remediation Action Plan;</w:t>
      </w:r>
    </w:p>
    <w:p w14:paraId="4AC98A2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ISO27001 Certification Requirements;</w:t>
      </w:r>
    </w:p>
    <w:p w14:paraId="30C55B8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Security Management Plan; and</w:t>
      </w:r>
    </w:p>
    <w:p w14:paraId="1E54F25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foll</w:t>
      </w:r>
      <w:r>
        <w:rPr>
          <w:color w:val="000000"/>
          <w:sz w:val="21"/>
          <w:szCs w:val="21"/>
        </w:rPr>
        <w:t xml:space="preserve">owing a Breach of Security or a significant change, as assessed by the </w:t>
      </w:r>
      <w:r>
        <w:rPr>
          <w:i/>
          <w:iCs/>
          <w:color w:val="000000"/>
          <w:sz w:val="21"/>
          <w:szCs w:val="21"/>
        </w:rPr>
        <w:t>Client</w:t>
      </w:r>
      <w:r>
        <w:rPr>
          <w:color w:val="000000"/>
          <w:sz w:val="21"/>
          <w:szCs w:val="21"/>
        </w:rPr>
        <w:t>, to the components or architecture of the Service Provider Information Management System,</w:t>
      </w:r>
    </w:p>
    <w:p w14:paraId="3BE25C42"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(each a Service Provider Security Test).</w:t>
      </w:r>
    </w:p>
    <w:p w14:paraId="75FA299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191A68F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design and implement the Service Provider Security Tests so as to minimise the impact on the delivery of the </w:t>
      </w:r>
      <w:r>
        <w:rPr>
          <w:i/>
          <w:iCs/>
          <w:color w:val="000000"/>
          <w:sz w:val="21"/>
          <w:szCs w:val="21"/>
        </w:rPr>
        <w:t>services</w:t>
      </w:r>
      <w:r>
        <w:rPr>
          <w:color w:val="000000"/>
          <w:sz w:val="21"/>
          <w:szCs w:val="21"/>
        </w:rPr>
        <w:t>;</w:t>
      </w:r>
    </w:p>
    <w:p w14:paraId="253A716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agree the date, timing, content and conduct of such Service Provider Security Tests in advance with the </w:t>
      </w:r>
      <w:r>
        <w:rPr>
          <w:i/>
          <w:iCs/>
          <w:color w:val="000000"/>
          <w:sz w:val="21"/>
          <w:szCs w:val="21"/>
        </w:rPr>
        <w:t>Client</w:t>
      </w:r>
      <w:r>
        <w:rPr>
          <w:color w:val="000000"/>
          <w:sz w:val="21"/>
          <w:szCs w:val="21"/>
        </w:rPr>
        <w:t>.</w:t>
      </w:r>
    </w:p>
    <w:p w14:paraId="4E1C43F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send a rep</w:t>
      </w:r>
      <w:r>
        <w:rPr>
          <w:color w:val="000000"/>
          <w:sz w:val="21"/>
          <w:szCs w:val="21"/>
        </w:rPr>
        <w:t>resentative to witness the conduct of the Service Provider Security Tests.</w:t>
      </w:r>
    </w:p>
    <w:p w14:paraId="2D676D1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provide the </w:t>
      </w:r>
      <w:r>
        <w:rPr>
          <w:i/>
          <w:iCs/>
          <w:color w:val="000000"/>
          <w:sz w:val="21"/>
          <w:szCs w:val="21"/>
        </w:rPr>
        <w:t>Client</w:t>
      </w:r>
      <w:r>
        <w:rPr>
          <w:color w:val="000000"/>
          <w:sz w:val="21"/>
          <w:szCs w:val="21"/>
        </w:rPr>
        <w:t xml:space="preserve"> with a full, unedited and unredacted copy of the results of such Security Tests (in a form approved by the </w:t>
      </w:r>
      <w:r>
        <w:rPr>
          <w:i/>
          <w:iCs/>
          <w:color w:val="000000"/>
          <w:sz w:val="21"/>
          <w:szCs w:val="21"/>
        </w:rPr>
        <w:t>Client</w:t>
      </w:r>
      <w:r>
        <w:rPr>
          <w:color w:val="000000"/>
          <w:sz w:val="21"/>
          <w:szCs w:val="21"/>
        </w:rPr>
        <w:t xml:space="preserve"> in advance) as soon a</w:t>
      </w:r>
      <w:r>
        <w:rPr>
          <w:color w:val="000000"/>
          <w:sz w:val="21"/>
          <w:szCs w:val="21"/>
        </w:rPr>
        <w:t>s practicable, and in any case within ten Working Days, after completion of each Service Provider Security Test</w:t>
      </w:r>
    </w:p>
    <w:p w14:paraId="73D1AEF9"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IT Health Checks</w:t>
      </w:r>
    </w:p>
    <w:p w14:paraId="4E32849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arranging an IT Health Check, the </w:t>
      </w:r>
      <w:r>
        <w:rPr>
          <w:i/>
          <w:iCs/>
          <w:color w:val="000000"/>
          <w:sz w:val="21"/>
          <w:szCs w:val="21"/>
        </w:rPr>
        <w:t>Service Provider</w:t>
      </w:r>
      <w:r>
        <w:rPr>
          <w:color w:val="000000"/>
          <w:sz w:val="21"/>
          <w:szCs w:val="21"/>
        </w:rPr>
        <w:t xml:space="preserve"> must:</w:t>
      </w:r>
    </w:p>
    <w:p w14:paraId="031456C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use only a CHECK Scheme Provider to perform the IT Health Check;</w:t>
      </w:r>
    </w:p>
    <w:p w14:paraId="3E51577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the CHECK Scheme Provider uses a qualified CHECK Team Leader and CHECK Team Members to perform the IT Health Check;</w:t>
      </w:r>
    </w:p>
    <w:p w14:paraId="519689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design and plan for the IT Health Check so as to minimise the i</w:t>
      </w:r>
      <w:r>
        <w:rPr>
          <w:color w:val="000000"/>
          <w:sz w:val="21"/>
          <w:szCs w:val="21"/>
        </w:rPr>
        <w:t xml:space="preserve">mpact of the IT Health Check on the Service Provider Information Management System and the delivery of the </w:t>
      </w:r>
      <w:r>
        <w:rPr>
          <w:i/>
          <w:iCs/>
          <w:color w:val="000000"/>
          <w:sz w:val="21"/>
          <w:szCs w:val="21"/>
        </w:rPr>
        <w:t>services</w:t>
      </w:r>
      <w:r>
        <w:rPr>
          <w:color w:val="000000"/>
          <w:sz w:val="21"/>
          <w:szCs w:val="21"/>
        </w:rPr>
        <w:t>.</w:t>
      </w:r>
    </w:p>
    <w:p w14:paraId="1717168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promptly provide the </w:t>
      </w:r>
      <w:r>
        <w:rPr>
          <w:i/>
          <w:iCs/>
          <w:color w:val="000000"/>
          <w:sz w:val="21"/>
          <w:szCs w:val="21"/>
        </w:rPr>
        <w:t>Client</w:t>
      </w:r>
      <w:r>
        <w:rPr>
          <w:color w:val="000000"/>
          <w:sz w:val="21"/>
          <w:szCs w:val="21"/>
        </w:rPr>
        <w:t xml:space="preserve"> with such technical and other information relating to the Information Management System as the </w:t>
      </w:r>
      <w:r>
        <w:rPr>
          <w:i/>
          <w:iCs/>
          <w:color w:val="000000"/>
          <w:sz w:val="21"/>
          <w:szCs w:val="21"/>
        </w:rPr>
        <w:t>Client</w:t>
      </w:r>
      <w:r>
        <w:rPr>
          <w:color w:val="000000"/>
          <w:sz w:val="21"/>
          <w:szCs w:val="21"/>
        </w:rPr>
        <w:t xml:space="preserve"> requests;</w:t>
      </w:r>
    </w:p>
    <w:p w14:paraId="6BC8B9B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include within the scope of the IT Health Check such tests as the </w:t>
      </w:r>
      <w:r>
        <w:rPr>
          <w:i/>
          <w:iCs/>
          <w:color w:val="000000"/>
          <w:sz w:val="21"/>
          <w:szCs w:val="21"/>
        </w:rPr>
        <w:t>Client</w:t>
      </w:r>
      <w:r>
        <w:rPr>
          <w:color w:val="000000"/>
          <w:sz w:val="21"/>
          <w:szCs w:val="21"/>
        </w:rPr>
        <w:t xml:space="preserve"> requires;</w:t>
      </w:r>
    </w:p>
    <w:p w14:paraId="0E8AB9C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agree with the </w:t>
      </w:r>
      <w:r>
        <w:rPr>
          <w:i/>
          <w:iCs/>
          <w:color w:val="000000"/>
          <w:sz w:val="21"/>
          <w:szCs w:val="21"/>
        </w:rPr>
        <w:t>Client</w:t>
      </w:r>
      <w:r>
        <w:rPr>
          <w:color w:val="000000"/>
          <w:sz w:val="21"/>
          <w:szCs w:val="21"/>
        </w:rPr>
        <w:t xml:space="preserve"> the scope, aim and timing of the IT Health Check.</w:t>
      </w:r>
    </w:p>
    <w:p w14:paraId="7B0564E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commission the IT Health Check in accordance with the scope, aim and timing agreed by the </w:t>
      </w:r>
      <w:r>
        <w:rPr>
          <w:i/>
          <w:iCs/>
          <w:color w:val="000000"/>
          <w:sz w:val="21"/>
          <w:szCs w:val="21"/>
        </w:rPr>
        <w:t>Client</w:t>
      </w:r>
      <w:r>
        <w:rPr>
          <w:color w:val="000000"/>
          <w:sz w:val="21"/>
          <w:szCs w:val="21"/>
        </w:rPr>
        <w:t>.</w:t>
      </w:r>
    </w:p>
    <w:p w14:paraId="18FCBD7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Following completion of an IT Health Check, the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with a full, unedited and unredacted copy of the report relatin</w:t>
      </w:r>
      <w:r>
        <w:rPr>
          <w:color w:val="000000"/>
          <w:sz w:val="21"/>
          <w:szCs w:val="21"/>
        </w:rPr>
        <w:t xml:space="preserve">g to the IT Health Check without delay and in any event within ten Working Days of its receipt by the </w:t>
      </w:r>
      <w:r>
        <w:rPr>
          <w:i/>
          <w:iCs/>
          <w:color w:val="000000"/>
          <w:sz w:val="21"/>
          <w:szCs w:val="21"/>
        </w:rPr>
        <w:t>Service Provider</w:t>
      </w:r>
      <w:r>
        <w:rPr>
          <w:color w:val="000000"/>
          <w:sz w:val="21"/>
          <w:szCs w:val="21"/>
        </w:rPr>
        <w:t>.</w:t>
      </w:r>
    </w:p>
    <w:p w14:paraId="32FC9BDA"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Remedying vulnerabilities</w:t>
      </w:r>
    </w:p>
    <w:p w14:paraId="1FF3C11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addition to complying with Paragraphs 12.13 to 12.21, the </w:t>
      </w:r>
      <w:r>
        <w:rPr>
          <w:i/>
          <w:iCs/>
          <w:color w:val="000000"/>
          <w:sz w:val="21"/>
          <w:szCs w:val="21"/>
        </w:rPr>
        <w:t>Service Provider</w:t>
      </w:r>
      <w:r>
        <w:rPr>
          <w:color w:val="000000"/>
          <w:sz w:val="21"/>
          <w:szCs w:val="21"/>
        </w:rPr>
        <w:t xml:space="preserve"> must remedy:</w:t>
      </w:r>
    </w:p>
    <w:p w14:paraId="6542EFA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vulnerabilities</w:t>
      </w:r>
      <w:r>
        <w:rPr>
          <w:color w:val="000000"/>
          <w:sz w:val="21"/>
          <w:szCs w:val="21"/>
        </w:rPr>
        <w:t xml:space="preserve"> classified as critical in a Security Test report within five Working Days of becoming aware of the vulnerability and its classification;</w:t>
      </w:r>
    </w:p>
    <w:p w14:paraId="53F1069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vulnerabilities classified as high in a Security Test report within one month of becoming aware of the vulnerability and its classification; and</w:t>
      </w:r>
    </w:p>
    <w:p w14:paraId="6097247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vulnerabilities classified as medium in a Security Test report within three months of becoming aware of</w:t>
      </w:r>
      <w:r>
        <w:rPr>
          <w:color w:val="000000"/>
          <w:sz w:val="21"/>
          <w:szCs w:val="21"/>
        </w:rPr>
        <w:t xml:space="preserve"> the vulnerability and its classification.</w:t>
      </w:r>
    </w:p>
    <w:p w14:paraId="215F30B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notify the </w:t>
      </w:r>
      <w:r>
        <w:rPr>
          <w:i/>
          <w:iCs/>
          <w:color w:val="000000"/>
          <w:sz w:val="21"/>
          <w:szCs w:val="21"/>
        </w:rPr>
        <w:t>Client</w:t>
      </w:r>
      <w:r>
        <w:rPr>
          <w:color w:val="000000"/>
          <w:sz w:val="21"/>
          <w:szCs w:val="21"/>
        </w:rPr>
        <w:t xml:space="preserve"> immediately if it does not, or considers it will not be able to, remedy the vulnerabilities classified as critical, high or medium in a Security Test report within the t</w:t>
      </w:r>
      <w:r>
        <w:rPr>
          <w:color w:val="000000"/>
          <w:sz w:val="21"/>
          <w:szCs w:val="21"/>
        </w:rPr>
        <w:t>ime periods specified in Paragraph 12.11.</w:t>
      </w:r>
    </w:p>
    <w:p w14:paraId="5BDBBE01"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Responding to a Security Test report</w:t>
      </w:r>
    </w:p>
    <w:p w14:paraId="1815260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Security Test report identifies vulnerabilities in, or makes findings in respect of, the Service Provider Information Management System, the </w:t>
      </w:r>
      <w:r>
        <w:rPr>
          <w:i/>
          <w:iCs/>
          <w:color w:val="000000"/>
          <w:sz w:val="21"/>
          <w:szCs w:val="21"/>
        </w:rPr>
        <w:t>Service Provider</w:t>
      </w:r>
      <w:r>
        <w:rPr>
          <w:color w:val="000000"/>
          <w:sz w:val="21"/>
          <w:szCs w:val="21"/>
        </w:rPr>
        <w:t xml:space="preserve"> must within [20] Working Days of receiving the Security Test report, prepare and submit </w:t>
      </w:r>
      <w:r>
        <w:rPr>
          <w:color w:val="000000"/>
          <w:sz w:val="21"/>
          <w:szCs w:val="21"/>
        </w:rPr>
        <w:t xml:space="preserve">for approval to the </w:t>
      </w:r>
      <w:r>
        <w:rPr>
          <w:i/>
          <w:iCs/>
          <w:color w:val="000000"/>
          <w:sz w:val="21"/>
          <w:szCs w:val="21"/>
        </w:rPr>
        <w:t>Client</w:t>
      </w:r>
      <w:r>
        <w:rPr>
          <w:color w:val="000000"/>
          <w:sz w:val="21"/>
          <w:szCs w:val="21"/>
        </w:rPr>
        <w:t xml:space="preserve"> a draft plan addressing the vulnerabilities and findings (Remediation Action Plan).</w:t>
      </w:r>
    </w:p>
    <w:p w14:paraId="7E61739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has commissioned a root cause analysis under Paragraph 12.21, the </w:t>
      </w:r>
      <w:r>
        <w:rPr>
          <w:i/>
          <w:iCs/>
          <w:color w:val="000000"/>
          <w:sz w:val="21"/>
          <w:szCs w:val="21"/>
        </w:rPr>
        <w:t>Service Provider</w:t>
      </w:r>
      <w:r>
        <w:rPr>
          <w:color w:val="000000"/>
          <w:sz w:val="21"/>
          <w:szCs w:val="21"/>
        </w:rPr>
        <w:t xml:space="preserve"> shall ensure that the draft Remediation Actio</w:t>
      </w:r>
      <w:r>
        <w:rPr>
          <w:color w:val="000000"/>
          <w:sz w:val="21"/>
          <w:szCs w:val="21"/>
        </w:rPr>
        <w:t>n Plan addresses that analysis.</w:t>
      </w:r>
    </w:p>
    <w:p w14:paraId="7B9C9B3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draft Remediation Action Plan must, in respect of each vulnerability identified or finding made by the Security Test report:</w:t>
      </w:r>
    </w:p>
    <w:p w14:paraId="41FC20F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how the vulnerability or finding will be remedied;</w:t>
      </w:r>
    </w:p>
    <w:p w14:paraId="008896C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date by which the vulnerability or findi</w:t>
      </w:r>
      <w:r>
        <w:rPr>
          <w:color w:val="000000"/>
          <w:sz w:val="21"/>
          <w:szCs w:val="21"/>
        </w:rPr>
        <w:t>ng will be remedied; and</w:t>
      </w:r>
    </w:p>
    <w:p w14:paraId="130DAA0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tests that the </w:t>
      </w:r>
      <w:r>
        <w:rPr>
          <w:i/>
          <w:iCs/>
          <w:color w:val="000000"/>
          <w:sz w:val="21"/>
          <w:szCs w:val="21"/>
        </w:rPr>
        <w:t>Service Provider</w:t>
      </w:r>
      <w:r>
        <w:rPr>
          <w:color w:val="000000"/>
          <w:sz w:val="21"/>
          <w:szCs w:val="21"/>
        </w:rPr>
        <w:t xml:space="preserve"> proposes to perform to confirm that the vulnerability has been remedied or the finding addressed.</w:t>
      </w:r>
    </w:p>
    <w:p w14:paraId="0E40EF4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promptly provide the </w:t>
      </w:r>
      <w:r>
        <w:rPr>
          <w:i/>
          <w:iCs/>
          <w:color w:val="000000"/>
          <w:sz w:val="21"/>
          <w:szCs w:val="21"/>
        </w:rPr>
        <w:t>Client</w:t>
      </w:r>
      <w:r>
        <w:rPr>
          <w:color w:val="000000"/>
          <w:sz w:val="21"/>
          <w:szCs w:val="21"/>
        </w:rPr>
        <w:t xml:space="preserve"> with such technical and other information </w:t>
      </w:r>
      <w:r>
        <w:rPr>
          <w:color w:val="000000"/>
          <w:sz w:val="21"/>
          <w:szCs w:val="21"/>
        </w:rPr>
        <w:t xml:space="preserve">relating to the Service Provider Information Management System, the IT Health Check report or the draft Remediation Action Plan as the </w:t>
      </w:r>
      <w:r>
        <w:rPr>
          <w:i/>
          <w:iCs/>
          <w:color w:val="000000"/>
          <w:sz w:val="21"/>
          <w:szCs w:val="21"/>
        </w:rPr>
        <w:t>Client</w:t>
      </w:r>
      <w:r>
        <w:rPr>
          <w:color w:val="000000"/>
          <w:sz w:val="21"/>
          <w:szCs w:val="21"/>
        </w:rPr>
        <w:t xml:space="preserve"> requests.</w:t>
      </w:r>
    </w:p>
    <w:p w14:paraId="6C27DA6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w:t>
      </w:r>
    </w:p>
    <w:p w14:paraId="4FF3A48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reject the draft Remediation Action Plan where it considers that the draft Remediation A</w:t>
      </w:r>
      <w:r>
        <w:rPr>
          <w:color w:val="000000"/>
          <w:sz w:val="21"/>
          <w:szCs w:val="21"/>
        </w:rPr>
        <w:t>ction Plan is inadequate, providing its reasons for doing so, in which case:</w:t>
      </w:r>
    </w:p>
    <w:p w14:paraId="50FBF3A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within ten Working Days of the date on which the </w:t>
      </w:r>
      <w:r>
        <w:rPr>
          <w:i/>
          <w:iCs/>
          <w:color w:val="000000"/>
          <w:sz w:val="21"/>
          <w:szCs w:val="21"/>
        </w:rPr>
        <w:t>Client</w:t>
      </w:r>
      <w:r>
        <w:rPr>
          <w:color w:val="000000"/>
          <w:sz w:val="21"/>
          <w:szCs w:val="21"/>
        </w:rPr>
        <w:t xml:space="preserve"> rejected the draft Remediation Action Plan submit a revised draft Remediation Action Plan that takes into account the </w:t>
      </w:r>
      <w:r>
        <w:rPr>
          <w:i/>
          <w:iCs/>
          <w:color w:val="000000"/>
          <w:sz w:val="21"/>
          <w:szCs w:val="21"/>
        </w:rPr>
        <w:t>Client’s</w:t>
      </w:r>
      <w:r>
        <w:rPr>
          <w:color w:val="000000"/>
          <w:sz w:val="21"/>
          <w:szCs w:val="21"/>
        </w:rPr>
        <w:t xml:space="preserve"> reasons; and</w:t>
      </w:r>
    </w:p>
    <w:p w14:paraId="6CBF76B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Paragraph 12.15 to 12.17 shall apply, with appropriate modifications, to the revised draft Remediation Action Plan;</w:t>
      </w:r>
    </w:p>
    <w:p w14:paraId="0839CF3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accept the draft Remediation Action Plan, in which case the </w:t>
      </w:r>
      <w:r>
        <w:rPr>
          <w:i/>
          <w:iCs/>
          <w:color w:val="000000"/>
          <w:sz w:val="21"/>
          <w:szCs w:val="21"/>
        </w:rPr>
        <w:t>Service Provider</w:t>
      </w:r>
      <w:r>
        <w:rPr>
          <w:color w:val="000000"/>
          <w:sz w:val="21"/>
          <w:szCs w:val="21"/>
        </w:rPr>
        <w:t xml:space="preserve"> must immediately start work on implementing the Remediation Action Plan in accordance with Paragraph 12.19 and 12.20.</w:t>
      </w:r>
    </w:p>
    <w:p w14:paraId="2CCEC27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Client</w:t>
      </w:r>
      <w:r>
        <w:rPr>
          <w:color w:val="000000"/>
          <w:sz w:val="21"/>
          <w:szCs w:val="21"/>
        </w:rPr>
        <w:t xml:space="preserve"> unreasonably:</w:t>
      </w:r>
    </w:p>
    <w:p w14:paraId="1306975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delays its approval; or</w:t>
      </w:r>
    </w:p>
    <w:p w14:paraId="7EE884B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rejec</w:t>
      </w:r>
      <w:r>
        <w:rPr>
          <w:color w:val="000000"/>
          <w:sz w:val="21"/>
          <w:szCs w:val="21"/>
        </w:rPr>
        <w:t>ts,</w:t>
      </w:r>
    </w:p>
    <w:p w14:paraId="393990AB"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the draft Remediation Action Plan, the </w:t>
      </w:r>
      <w:r>
        <w:rPr>
          <w:i/>
          <w:iCs/>
          <w:color w:val="000000"/>
          <w:sz w:val="21"/>
          <w:szCs w:val="21"/>
        </w:rPr>
        <w:t>Service Provider</w:t>
      </w:r>
      <w:r>
        <w:rPr>
          <w:color w:val="000000"/>
          <w:sz w:val="21"/>
          <w:szCs w:val="21"/>
        </w:rPr>
        <w:t xml:space="preserve"> will not be in breach of the Contract to the extent it demonstrates that any breach:</w:t>
      </w:r>
    </w:p>
    <w:p w14:paraId="706FBE9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arose directly from the </w:t>
      </w:r>
      <w:r>
        <w:rPr>
          <w:i/>
          <w:iCs/>
          <w:color w:val="000000"/>
          <w:sz w:val="21"/>
          <w:szCs w:val="21"/>
        </w:rPr>
        <w:t>Client</w:t>
      </w:r>
      <w:r>
        <w:rPr>
          <w:color w:val="000000"/>
          <w:sz w:val="21"/>
          <w:szCs w:val="21"/>
        </w:rPr>
        <w:t xml:space="preserve"> unreasonably withholding or delaying, as appropriate, its approval of the draft Remediation Action Plan; and</w:t>
      </w:r>
    </w:p>
    <w:p w14:paraId="09EEC7B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would not have occurred had:</w:t>
      </w:r>
    </w:p>
    <w:p w14:paraId="286FDDC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given its approval, or given its approval in a timely manner, to the draft Remediation Action Plan; and</w:t>
      </w:r>
    </w:p>
    <w:p w14:paraId="669C7E5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w:t>
      </w:r>
      <w:r>
        <w:rPr>
          <w:color w:val="000000"/>
          <w:sz w:val="21"/>
          <w:szCs w:val="21"/>
        </w:rPr>
        <w:t xml:space="preserve">e </w:t>
      </w:r>
      <w:r>
        <w:rPr>
          <w:i/>
          <w:iCs/>
          <w:color w:val="000000"/>
          <w:sz w:val="21"/>
          <w:szCs w:val="21"/>
        </w:rPr>
        <w:t>Service Provider</w:t>
      </w:r>
      <w:r>
        <w:rPr>
          <w:color w:val="000000"/>
          <w:sz w:val="21"/>
          <w:szCs w:val="21"/>
        </w:rPr>
        <w:t xml:space="preserve"> had implemented the draft Remediation Action Plan in accordance with its terms.</w:t>
      </w:r>
    </w:p>
    <w:p w14:paraId="1CA71E3B"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Implementing an approved Remediation Action Plan</w:t>
      </w:r>
    </w:p>
    <w:p w14:paraId="523F7C5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implementing the Remediation Action Plan, the </w:t>
      </w:r>
      <w:r>
        <w:rPr>
          <w:i/>
          <w:iCs/>
          <w:color w:val="000000"/>
          <w:sz w:val="21"/>
          <w:szCs w:val="21"/>
        </w:rPr>
        <w:t>Service Provider</w:t>
      </w:r>
      <w:r>
        <w:rPr>
          <w:color w:val="000000"/>
          <w:sz w:val="21"/>
          <w:szCs w:val="21"/>
        </w:rPr>
        <w:t xml:space="preserve"> must conduct such further tests on the Service Provider Information Management System as are required by the Remediation Action Plan to confirm that the Remediation Action Plan has fully and correctly implemented.</w:t>
      </w:r>
    </w:p>
    <w:p w14:paraId="6893388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If any such testing identifies a new risk, new threat, vulnerability or exploitation technique with the potential to affect the security of the Service Provider Information Management System, the </w:t>
      </w:r>
      <w:r>
        <w:rPr>
          <w:i/>
          <w:iCs/>
          <w:color w:val="000000"/>
          <w:sz w:val="21"/>
          <w:szCs w:val="21"/>
        </w:rPr>
        <w:t>Service Provider</w:t>
      </w:r>
      <w:r>
        <w:rPr>
          <w:color w:val="000000"/>
          <w:sz w:val="21"/>
          <w:szCs w:val="21"/>
        </w:rPr>
        <w:t xml:space="preserve"> shall within two Working Days of becoming a</w:t>
      </w:r>
      <w:r>
        <w:rPr>
          <w:color w:val="000000"/>
          <w:sz w:val="21"/>
          <w:szCs w:val="21"/>
        </w:rPr>
        <w:t>ware of such risk, threat, vulnerability or exploitation technique:</w:t>
      </w:r>
    </w:p>
    <w:p w14:paraId="72EC821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full, unedited and unredacted copy of the test report;</w:t>
      </w:r>
    </w:p>
    <w:p w14:paraId="7647672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implement interim mitigation measures to vulnerabilities in the Information System known to be exploitable </w:t>
      </w:r>
      <w:r>
        <w:rPr>
          <w:color w:val="000000"/>
          <w:sz w:val="21"/>
          <w:szCs w:val="21"/>
        </w:rPr>
        <w:t>where a security patch is not immediately available;</w:t>
      </w:r>
    </w:p>
    <w:p w14:paraId="2C4DF37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as far as practicable, remove or disable any extraneous interfaces, services or capabilities not needed for the provision of the </w:t>
      </w:r>
      <w:r>
        <w:rPr>
          <w:i/>
          <w:iCs/>
          <w:color w:val="000000"/>
          <w:sz w:val="21"/>
          <w:szCs w:val="21"/>
        </w:rPr>
        <w:t>services</w:t>
      </w:r>
      <w:r>
        <w:rPr>
          <w:color w:val="000000"/>
          <w:sz w:val="21"/>
          <w:szCs w:val="21"/>
        </w:rPr>
        <w:t xml:space="preserve"> within the timescales set out in the test report or such other ti</w:t>
      </w:r>
      <w:r>
        <w:rPr>
          <w:color w:val="000000"/>
          <w:sz w:val="21"/>
          <w:szCs w:val="21"/>
        </w:rPr>
        <w:t xml:space="preserve">mescales as may be agreed with the </w:t>
      </w:r>
      <w:r>
        <w:rPr>
          <w:i/>
          <w:iCs/>
          <w:color w:val="000000"/>
          <w:sz w:val="21"/>
          <w:szCs w:val="21"/>
        </w:rPr>
        <w:t>Client</w:t>
      </w:r>
      <w:r>
        <w:rPr>
          <w:color w:val="000000"/>
          <w:sz w:val="21"/>
          <w:szCs w:val="21"/>
        </w:rPr>
        <w:t>.</w:t>
      </w:r>
    </w:p>
    <w:p w14:paraId="45817558" w14:textId="77777777" w:rsidR="007960A8" w:rsidRDefault="00A26397">
      <w:pPr>
        <w:keepNext/>
        <w:widowControl/>
        <w:pBdr>
          <w:top w:val="nil"/>
          <w:left w:val="nil"/>
          <w:bottom w:val="nil"/>
          <w:right w:val="nil"/>
          <w:between w:val="nil"/>
        </w:pBdr>
        <w:spacing w:after="240"/>
        <w:ind w:left="720"/>
        <w:jc w:val="both"/>
        <w:rPr>
          <w:b/>
          <w:bCs/>
          <w:color w:val="000000"/>
          <w:sz w:val="21"/>
          <w:szCs w:val="21"/>
        </w:rPr>
      </w:pPr>
      <w:r>
        <w:rPr>
          <w:b/>
          <w:bCs/>
          <w:color w:val="000000"/>
          <w:sz w:val="21"/>
          <w:szCs w:val="21"/>
        </w:rPr>
        <w:t>Significant vulnerabilities</w:t>
      </w:r>
    </w:p>
    <w:p w14:paraId="127F8065" w14:textId="77777777" w:rsidR="007960A8" w:rsidRDefault="00A26397">
      <w:pPr>
        <w:keepNext/>
        <w:widowControl/>
        <w:numPr>
          <w:ilvl w:val="2"/>
          <w:numId w:val="94"/>
        </w:numPr>
        <w:pBdr>
          <w:top w:val="nil"/>
          <w:left w:val="nil"/>
          <w:bottom w:val="nil"/>
          <w:right w:val="nil"/>
          <w:between w:val="nil"/>
        </w:pBdr>
        <w:spacing w:after="240"/>
        <w:jc w:val="both"/>
      </w:pPr>
      <w:r>
        <w:rPr>
          <w:color w:val="000000"/>
          <w:sz w:val="21"/>
          <w:szCs w:val="21"/>
        </w:rPr>
        <w:t>Where:</w:t>
      </w:r>
    </w:p>
    <w:p w14:paraId="406D6AD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 Security Test report identifies more than 10 vulnerabilities classified as either critical or high; or</w:t>
      </w:r>
    </w:p>
    <w:p w14:paraId="40A8DD9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rejected a revised draft Remediation Action Plan,</w:t>
      </w:r>
    </w:p>
    <w:p w14:paraId="294A1D76"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may, at the </w:t>
      </w:r>
      <w:r>
        <w:rPr>
          <w:i/>
          <w:iCs/>
          <w:color w:val="000000"/>
          <w:sz w:val="21"/>
          <w:szCs w:val="21"/>
        </w:rPr>
        <w:t>Service Provider’s</w:t>
      </w:r>
      <w:r>
        <w:rPr>
          <w:color w:val="000000"/>
          <w:sz w:val="21"/>
          <w:szCs w:val="21"/>
        </w:rPr>
        <w:t xml:space="preserve"> cost, either:</w:t>
      </w:r>
    </w:p>
    <w:p w14:paraId="1B58FA6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appoint an independent and appropriately qualified and experienced security architect and adviser to perform a root cause analysis of the identified vulnerabilities; or</w:t>
      </w:r>
    </w:p>
    <w:p w14:paraId="3F8B26A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give notice to the </w:t>
      </w:r>
      <w:r>
        <w:rPr>
          <w:i/>
          <w:iCs/>
          <w:color w:val="000000"/>
          <w:sz w:val="21"/>
          <w:szCs w:val="21"/>
        </w:rPr>
        <w:t>Service Provider</w:t>
      </w:r>
      <w:r>
        <w:rPr>
          <w:color w:val="000000"/>
          <w:sz w:val="21"/>
          <w:szCs w:val="21"/>
        </w:rPr>
        <w:t xml:space="preserve"> requiring the appointment as soon as reasonably pra</w:t>
      </w:r>
      <w:r>
        <w:rPr>
          <w:color w:val="000000"/>
          <w:sz w:val="21"/>
          <w:szCs w:val="21"/>
        </w:rPr>
        <w:t>cticable, and in any event within ten Working Days, of an Independent Security Adviser.</w:t>
      </w:r>
    </w:p>
    <w:p w14:paraId="585670FD"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Access Control</w:t>
      </w:r>
    </w:p>
    <w:p w14:paraId="07398D1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w:t>
      </w:r>
    </w:p>
    <w:p w14:paraId="45E5F2B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identify and authenticate all persons who access the </w:t>
      </w:r>
      <w:r>
        <w:rPr>
          <w:i/>
          <w:iCs/>
          <w:color w:val="000000"/>
          <w:sz w:val="21"/>
          <w:szCs w:val="21"/>
        </w:rPr>
        <w:t>Service Provider</w:t>
      </w:r>
      <w:r>
        <w:rPr>
          <w:color w:val="000000"/>
          <w:sz w:val="21"/>
          <w:szCs w:val="21"/>
        </w:rPr>
        <w:t xml:space="preserve"> Information Management System and Sites before they do so;</w:t>
      </w:r>
    </w:p>
    <w:p w14:paraId="219CFDA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require multi factor authentication for all user accounts that have access to Government Data or that are Privileged Users;</w:t>
      </w:r>
    </w:p>
    <w:p w14:paraId="1EBC62E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all</w:t>
      </w:r>
      <w:r>
        <w:rPr>
          <w:color w:val="000000"/>
          <w:sz w:val="21"/>
          <w:szCs w:val="21"/>
        </w:rPr>
        <w:t>ow access only to those parts of the Service Provider Information Management System and Sites that those persons require;</w:t>
      </w:r>
    </w:p>
    <w:p w14:paraId="3C2A692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maintain records detailing each person’s access to the Service Provider Information Management System and Sites, and make those record</w:t>
      </w:r>
      <w:r>
        <w:rPr>
          <w:color w:val="000000"/>
          <w:sz w:val="21"/>
          <w:szCs w:val="21"/>
        </w:rPr>
        <w:t xml:space="preserve">s available to the </w:t>
      </w:r>
      <w:r>
        <w:rPr>
          <w:i/>
          <w:iCs/>
          <w:color w:val="000000"/>
          <w:sz w:val="21"/>
          <w:szCs w:val="21"/>
        </w:rPr>
        <w:t>Client</w:t>
      </w:r>
      <w:r>
        <w:rPr>
          <w:color w:val="000000"/>
          <w:sz w:val="21"/>
          <w:szCs w:val="21"/>
        </w:rPr>
        <w:t xml:space="preserve"> on request.</w:t>
      </w:r>
    </w:p>
    <w:p w14:paraId="4211742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must ensure that all Sub-contractors ensure, that the user accounts for Privileged Users of the Service Provider Information Management System:</w:t>
      </w:r>
    </w:p>
    <w:p w14:paraId="32A10A3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are allocated to a single, individua</w:t>
      </w:r>
      <w:r>
        <w:rPr>
          <w:color w:val="000000"/>
          <w:sz w:val="21"/>
          <w:szCs w:val="21"/>
        </w:rPr>
        <w:t>l user;</w:t>
      </w:r>
    </w:p>
    <w:p w14:paraId="67113C2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are accessible only from dedicated End-user Devices;</w:t>
      </w:r>
    </w:p>
    <w:p w14:paraId="1B3DF7D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are configured so that those accounts can only be used for system administration tasks;</w:t>
      </w:r>
    </w:p>
    <w:p w14:paraId="3359D2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require passwords with high complexity that are changed regularly;</w:t>
      </w:r>
    </w:p>
    <w:p w14:paraId="17DE88A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automatically log the user out of the Se</w:t>
      </w:r>
      <w:r>
        <w:rPr>
          <w:color w:val="000000"/>
          <w:sz w:val="21"/>
          <w:szCs w:val="21"/>
        </w:rPr>
        <w:t>rvice Provider Information Management System after a period of time that is proportionate to the risk environment during which the account is inactive; and</w:t>
      </w:r>
    </w:p>
    <w:p w14:paraId="4F2DAB5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are:</w:t>
      </w:r>
    </w:p>
    <w:p w14:paraId="2612EA5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restricted to a single role or small number of roles;</w:t>
      </w:r>
    </w:p>
    <w:p w14:paraId="3EB40AB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time limited; and</w:t>
      </w:r>
    </w:p>
    <w:p w14:paraId="1C0C719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restrict the Privileged User’s access to the internet.</w:t>
      </w:r>
    </w:p>
    <w:p w14:paraId="246E768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and must ensure that all Sub-contractors ensure, that it logs all activity of the Privileged Us</w:t>
      </w:r>
      <w:r>
        <w:rPr>
          <w:color w:val="000000"/>
          <w:sz w:val="21"/>
          <w:szCs w:val="21"/>
        </w:rPr>
        <w:t>ers while those users access those accounts and keeps the activity logs for 20 Working Days before deletion.</w:t>
      </w:r>
    </w:p>
    <w:p w14:paraId="3CC646F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require, and must ensure that all Sub-contractors require, that Privileged Users use unique and substantially different h</w:t>
      </w:r>
      <w:r>
        <w:rPr>
          <w:color w:val="000000"/>
          <w:sz w:val="21"/>
          <w:szCs w:val="21"/>
        </w:rPr>
        <w:t>igh complexity passwords for their different accounts on the Service Provider Information Management System.</w:t>
      </w:r>
    </w:p>
    <w:p w14:paraId="1D9CC8A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w:t>
      </w:r>
    </w:p>
    <w:p w14:paraId="22CB33A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configure any hardware that forms part of the Service Provider Information Man</w:t>
      </w:r>
      <w:r>
        <w:rPr>
          <w:color w:val="000000"/>
          <w:sz w:val="21"/>
          <w:szCs w:val="21"/>
        </w:rPr>
        <w:t>agement System that is capable of requiring a password before it is accessed to require a password; and</w:t>
      </w:r>
    </w:p>
    <w:p w14:paraId="68890D8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change the default password of that hardware to a password of high complexity that is substantially different from the password required to access simil</w:t>
      </w:r>
      <w:r>
        <w:rPr>
          <w:color w:val="000000"/>
          <w:sz w:val="21"/>
          <w:szCs w:val="21"/>
        </w:rPr>
        <w:t>ar hardware.</w:t>
      </w:r>
    </w:p>
    <w:p w14:paraId="6CD8733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Event logging and protective monitoring</w:t>
      </w:r>
    </w:p>
    <w:p w14:paraId="46C90542"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Protective Monitoring System</w:t>
      </w:r>
    </w:p>
    <w:p w14:paraId="28DB8D9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Sub-contractors, implement an effective system of monitoring and reports, analysing access to and use of the Service Provider Information Management System, the Development Environment, the Government Data and the Code to:</w:t>
      </w:r>
    </w:p>
    <w:p w14:paraId="09D4BBA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ident</w:t>
      </w:r>
      <w:r>
        <w:rPr>
          <w:color w:val="000000"/>
          <w:sz w:val="21"/>
          <w:szCs w:val="21"/>
        </w:rPr>
        <w:t>ify and prevent potential Breaches of Security;</w:t>
      </w:r>
    </w:p>
    <w:p w14:paraId="41305DB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respond effectively and in a timely manner to Breaches of Security that do occur;</w:t>
      </w:r>
    </w:p>
    <w:p w14:paraId="77884A6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identify and implement changes to the Service Provider Information Management System to prevent future Breaches of Security; and</w:t>
      </w:r>
    </w:p>
    <w:p w14:paraId="429C886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help detect and prevent any potential criminal offence relating to fraud, bribery or corruption using the Service Provider Info</w:t>
      </w:r>
      <w:r>
        <w:rPr>
          <w:color w:val="000000"/>
          <w:sz w:val="21"/>
          <w:szCs w:val="21"/>
        </w:rPr>
        <w:t>rmation Management System,</w:t>
      </w:r>
    </w:p>
    <w:p w14:paraId="0A2A7A12"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(Protective Monitoring System).</w:t>
      </w:r>
    </w:p>
    <w:p w14:paraId="1A99A80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Protective Monitoring System must provide for:</w:t>
      </w:r>
    </w:p>
    <w:p w14:paraId="13D0FEA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event logs and audit records of access to the Service Provider Information Management system; and</w:t>
      </w:r>
    </w:p>
    <w:p w14:paraId="53C6E14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regular reports and alerts to identify:</w:t>
      </w:r>
    </w:p>
    <w:p w14:paraId="0FBE387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changing access trends;</w:t>
      </w:r>
    </w:p>
    <w:p w14:paraId="0F89F45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unusual usage patterns; or</w:t>
      </w:r>
    </w:p>
    <w:p w14:paraId="3A7095A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access of greater than usual volumes of Government Data;</w:t>
      </w:r>
    </w:p>
    <w:p w14:paraId="0C295FB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detection and prevention of any attack on the Service Provider Information Management System or the Development Environment using common cyb</w:t>
      </w:r>
      <w:r>
        <w:rPr>
          <w:color w:val="000000"/>
          <w:sz w:val="21"/>
          <w:szCs w:val="21"/>
        </w:rPr>
        <w:t>er attack techniques;</w:t>
      </w:r>
    </w:p>
    <w:p w14:paraId="2A4AA11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other matters required by the Security Management Plan.</w:t>
      </w:r>
    </w:p>
    <w:p w14:paraId="0C13AC02"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Event logs</w:t>
      </w:r>
    </w:p>
    <w:p w14:paraId="69BA6D5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unless the </w:t>
      </w:r>
      <w:r>
        <w:rPr>
          <w:i/>
          <w:iCs/>
          <w:color w:val="000000"/>
          <w:sz w:val="21"/>
          <w:szCs w:val="21"/>
        </w:rPr>
        <w:t>Client</w:t>
      </w:r>
      <w:r>
        <w:rPr>
          <w:color w:val="000000"/>
          <w:sz w:val="21"/>
          <w:szCs w:val="21"/>
        </w:rPr>
        <w:t xml:space="preserve"> otherwise agrees, any event logs do not log:</w:t>
      </w:r>
    </w:p>
    <w:p w14:paraId="3002822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personal data, other than identifiers relating to users; or</w:t>
      </w:r>
    </w:p>
    <w:p w14:paraId="6B488F5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sensitive data, such as credentials or security keys.</w:t>
      </w:r>
    </w:p>
    <w:p w14:paraId="59B04077"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 xml:space="preserve">Provision of information to </w:t>
      </w:r>
      <w:r>
        <w:rPr>
          <w:b/>
          <w:bCs/>
          <w:i/>
          <w:iCs/>
          <w:color w:val="000000"/>
          <w:sz w:val="21"/>
          <w:szCs w:val="21"/>
        </w:rPr>
        <w:t>Client</w:t>
      </w:r>
    </w:p>
    <w:p w14:paraId="59A60E3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w:t>
      </w:r>
      <w:r>
        <w:rPr>
          <w:i/>
          <w:iCs/>
          <w:color w:val="000000"/>
          <w:sz w:val="21"/>
          <w:szCs w:val="21"/>
        </w:rPr>
        <w:t>Client</w:t>
      </w:r>
      <w:r>
        <w:rPr>
          <w:color w:val="000000"/>
          <w:sz w:val="21"/>
          <w:szCs w:val="21"/>
        </w:rPr>
        <w:t xml:space="preserve"> on request with:</w:t>
      </w:r>
    </w:p>
    <w:p w14:paraId="527D216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full details of the Protective Monitoring System it has implemented; and</w:t>
      </w:r>
    </w:p>
    <w:p w14:paraId="25779E8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copies of monitoring logs and reports prepared as part of the Protective Monitoring System.</w:t>
      </w:r>
    </w:p>
    <w:p w14:paraId="79094B4D"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Changes to Protective Monitoring System</w:t>
      </w:r>
    </w:p>
    <w:p w14:paraId="749AB3E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at any time require the </w:t>
      </w:r>
      <w:r>
        <w:rPr>
          <w:i/>
          <w:iCs/>
          <w:color w:val="000000"/>
          <w:sz w:val="21"/>
          <w:szCs w:val="21"/>
        </w:rPr>
        <w:t>Service Prov</w:t>
      </w:r>
      <w:r>
        <w:rPr>
          <w:i/>
          <w:iCs/>
          <w:color w:val="000000"/>
          <w:sz w:val="21"/>
          <w:szCs w:val="21"/>
        </w:rPr>
        <w:t>ider</w:t>
      </w:r>
      <w:r>
        <w:rPr>
          <w:color w:val="000000"/>
          <w:sz w:val="21"/>
          <w:szCs w:val="21"/>
        </w:rPr>
        <w:t xml:space="preserve"> to update the Protective Monitoring System to:</w:t>
      </w:r>
    </w:p>
    <w:p w14:paraId="6DF439D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respond to a specific threat identified by the </w:t>
      </w:r>
      <w:r>
        <w:rPr>
          <w:i/>
          <w:iCs/>
          <w:color w:val="000000"/>
          <w:sz w:val="21"/>
          <w:szCs w:val="21"/>
        </w:rPr>
        <w:t>Client</w:t>
      </w:r>
      <w:r>
        <w:rPr>
          <w:color w:val="000000"/>
          <w:sz w:val="21"/>
          <w:szCs w:val="21"/>
        </w:rPr>
        <w:t>;</w:t>
      </w:r>
    </w:p>
    <w:p w14:paraId="4D5B213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implement additional audit and monitoring requirements; and</w:t>
      </w:r>
    </w:p>
    <w:p w14:paraId="3C15A1B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stream any specified event logs to the Client’s security information and event management system.</w:t>
      </w:r>
    </w:p>
    <w:p w14:paraId="24EA549B"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Audit rights</w:t>
      </w:r>
    </w:p>
    <w:p w14:paraId="4CBC97B3"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Right of audit</w:t>
      </w:r>
    </w:p>
    <w:p w14:paraId="7A147C4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undertake an audit of the </w:t>
      </w:r>
      <w:r>
        <w:rPr>
          <w:i/>
          <w:iCs/>
          <w:color w:val="000000"/>
          <w:sz w:val="21"/>
          <w:szCs w:val="21"/>
        </w:rPr>
        <w:t>Service Provider</w:t>
      </w:r>
      <w:r>
        <w:rPr>
          <w:color w:val="000000"/>
          <w:sz w:val="21"/>
          <w:szCs w:val="21"/>
        </w:rPr>
        <w:t xml:space="preserve"> or any Sub-contractor to:</w:t>
      </w:r>
    </w:p>
    <w:p w14:paraId="7EEF955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verify the </w:t>
      </w:r>
      <w:r>
        <w:rPr>
          <w:i/>
          <w:iCs/>
          <w:color w:val="000000"/>
          <w:sz w:val="21"/>
          <w:szCs w:val="21"/>
        </w:rPr>
        <w:t>Service Provider’s</w:t>
      </w:r>
      <w:r>
        <w:rPr>
          <w:color w:val="000000"/>
          <w:sz w:val="21"/>
          <w:szCs w:val="21"/>
        </w:rPr>
        <w:t xml:space="preserve"> or Sub-contractor’s (as applicable) compliance with the requirements of this Schedule and the Data Protection Laws as they apply to Government Data;</w:t>
      </w:r>
    </w:p>
    <w:p w14:paraId="4842033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inspect the Service Provider Information Management System (or any part of it);</w:t>
      </w:r>
    </w:p>
    <w:p w14:paraId="2781A37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review t</w:t>
      </w:r>
      <w:r>
        <w:rPr>
          <w:color w:val="000000"/>
          <w:sz w:val="21"/>
          <w:szCs w:val="21"/>
        </w:rPr>
        <w:t>he integrity, confidentiality and security of the Government Data; and/or</w:t>
      </w:r>
    </w:p>
    <w:p w14:paraId="3368708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review the integrity and security of the Code.</w:t>
      </w:r>
    </w:p>
    <w:p w14:paraId="48B0FD1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Any audit undertaken under Paragraph 15.1:</w:t>
      </w:r>
    </w:p>
    <w:p w14:paraId="48EB7C8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may only take place during the </w:t>
      </w:r>
      <w:r>
        <w:rPr>
          <w:i/>
          <w:iCs/>
          <w:color w:val="000000"/>
          <w:sz w:val="21"/>
          <w:szCs w:val="21"/>
        </w:rPr>
        <w:t>service period</w:t>
      </w:r>
      <w:r>
        <w:rPr>
          <w:color w:val="000000"/>
          <w:sz w:val="21"/>
          <w:szCs w:val="21"/>
        </w:rPr>
        <w:t xml:space="preserve"> and for a period of 18 months afterwards; and</w:t>
      </w:r>
    </w:p>
    <w:p w14:paraId="0D163BD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is in addition to any other rights of audit the </w:t>
      </w:r>
      <w:r>
        <w:rPr>
          <w:i/>
          <w:iCs/>
          <w:color w:val="000000"/>
          <w:sz w:val="21"/>
          <w:szCs w:val="21"/>
        </w:rPr>
        <w:t>Client</w:t>
      </w:r>
      <w:r>
        <w:rPr>
          <w:color w:val="000000"/>
          <w:sz w:val="21"/>
          <w:szCs w:val="21"/>
        </w:rPr>
        <w:t xml:space="preserve"> has under the Contract.</w:t>
      </w:r>
    </w:p>
    <w:p w14:paraId="2901677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not undertake more than one audit under Paragraph 15.1 in each calendar year unless the </w:t>
      </w:r>
      <w:r>
        <w:rPr>
          <w:i/>
          <w:iCs/>
          <w:color w:val="000000"/>
          <w:sz w:val="21"/>
          <w:szCs w:val="21"/>
        </w:rPr>
        <w:t>Client</w:t>
      </w:r>
      <w:r>
        <w:rPr>
          <w:color w:val="000000"/>
          <w:sz w:val="21"/>
          <w:szCs w:val="21"/>
        </w:rPr>
        <w:t xml:space="preserve"> has reasonable grounds for believing:</w:t>
      </w:r>
    </w:p>
    <w:p w14:paraId="35EA1B7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any S</w:t>
      </w:r>
      <w:r>
        <w:rPr>
          <w:color w:val="000000"/>
          <w:sz w:val="21"/>
          <w:szCs w:val="21"/>
        </w:rPr>
        <w:t>ub-contractor has not complied with its obligations under the Contract or the Data Protection Laws as they apply to the Government Data;</w:t>
      </w:r>
    </w:p>
    <w:p w14:paraId="712C6DA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there has been or is likely to be a Breach of Security affecting the Government Data or the Code; or</w:t>
      </w:r>
    </w:p>
    <w:p w14:paraId="5077C68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vulnerabilit</w:t>
      </w:r>
      <w:r>
        <w:rPr>
          <w:color w:val="000000"/>
          <w:sz w:val="21"/>
          <w:szCs w:val="21"/>
        </w:rPr>
        <w:t>ies, or potential vulnerabilities, in the Code have been identified by:</w:t>
      </w:r>
    </w:p>
    <w:p w14:paraId="1E083D0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 IT Health Check; or</w:t>
      </w:r>
    </w:p>
    <w:p w14:paraId="3D1A056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Breach of Security.</w:t>
      </w:r>
    </w:p>
    <w:p w14:paraId="2A4EA57A"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Conduct of audits</w:t>
      </w:r>
    </w:p>
    <w:p w14:paraId="262EF75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must use reasonable endeavours to provide 15 Working Days’ notice of an audit.</w:t>
      </w:r>
    </w:p>
    <w:p w14:paraId="72D46D8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must when conducting an audit:</w:t>
      </w:r>
    </w:p>
    <w:p w14:paraId="5A7B67A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comply with all relevant policies and guidelines of the </w:t>
      </w:r>
      <w:r>
        <w:rPr>
          <w:i/>
          <w:iCs/>
          <w:color w:val="000000"/>
          <w:sz w:val="21"/>
          <w:szCs w:val="21"/>
        </w:rPr>
        <w:t>Service Provider</w:t>
      </w:r>
      <w:r>
        <w:rPr>
          <w:color w:val="000000"/>
          <w:sz w:val="21"/>
          <w:szCs w:val="21"/>
        </w:rPr>
        <w:t xml:space="preserve"> or Sub-contractor (as applicable) concerning access to the Service Provider Information Management System the </w:t>
      </w:r>
      <w:r>
        <w:rPr>
          <w:i/>
          <w:iCs/>
          <w:color w:val="000000"/>
          <w:sz w:val="21"/>
          <w:szCs w:val="21"/>
        </w:rPr>
        <w:t>Client</w:t>
      </w:r>
      <w:r>
        <w:rPr>
          <w:color w:val="000000"/>
          <w:sz w:val="21"/>
          <w:szCs w:val="21"/>
        </w:rPr>
        <w:t xml:space="preserve"> considers reasonable having regard to the purpose of the audit; and</w:t>
      </w:r>
    </w:p>
    <w:p w14:paraId="4B43685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use reasonable endeavours to ensure that the conduct of the audit does</w:t>
      </w:r>
      <w:r>
        <w:rPr>
          <w:color w:val="000000"/>
          <w:sz w:val="21"/>
          <w:szCs w:val="21"/>
        </w:rPr>
        <w:t xml:space="preserve"> not unreasonably disrupt the </w:t>
      </w:r>
      <w:r>
        <w:rPr>
          <w:i/>
          <w:iCs/>
          <w:color w:val="000000"/>
          <w:sz w:val="21"/>
          <w:szCs w:val="21"/>
        </w:rPr>
        <w:t>Service Provider</w:t>
      </w:r>
      <w:r>
        <w:rPr>
          <w:color w:val="000000"/>
          <w:sz w:val="21"/>
          <w:szCs w:val="21"/>
        </w:rPr>
        <w:t xml:space="preserve"> or Sub-contractor (as applicable) or delay the provision of the </w:t>
      </w:r>
      <w:r>
        <w:rPr>
          <w:i/>
          <w:iCs/>
          <w:color w:val="000000"/>
          <w:sz w:val="21"/>
          <w:szCs w:val="21"/>
        </w:rPr>
        <w:t>services</w:t>
      </w:r>
      <w:r>
        <w:rPr>
          <w:color w:val="000000"/>
          <w:sz w:val="21"/>
          <w:szCs w:val="21"/>
        </w:rPr>
        <w:t>.</w:t>
      </w:r>
    </w:p>
    <w:p w14:paraId="7406140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Sub-contractors, on demand provide the </w:t>
      </w:r>
      <w:r>
        <w:rPr>
          <w:i/>
          <w:iCs/>
          <w:color w:val="000000"/>
          <w:sz w:val="21"/>
          <w:szCs w:val="21"/>
        </w:rPr>
        <w:t>Client</w:t>
      </w:r>
      <w:r>
        <w:rPr>
          <w:color w:val="000000"/>
          <w:sz w:val="21"/>
          <w:szCs w:val="21"/>
        </w:rPr>
        <w:t xml:space="preserve"> with all co-operation and assistance the </w:t>
      </w:r>
      <w:r>
        <w:rPr>
          <w:i/>
          <w:iCs/>
          <w:color w:val="000000"/>
          <w:sz w:val="21"/>
          <w:szCs w:val="21"/>
        </w:rPr>
        <w:t>Client</w:t>
      </w:r>
      <w:r>
        <w:rPr>
          <w:color w:val="000000"/>
          <w:sz w:val="21"/>
          <w:szCs w:val="21"/>
        </w:rPr>
        <w:t xml:space="preserve"> may reasonably require, including:</w:t>
      </w:r>
    </w:p>
    <w:p w14:paraId="283AAB7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all information requested by the </w:t>
      </w:r>
      <w:r>
        <w:rPr>
          <w:i/>
          <w:iCs/>
          <w:color w:val="000000"/>
          <w:sz w:val="21"/>
          <w:szCs w:val="21"/>
        </w:rPr>
        <w:t>Client</w:t>
      </w:r>
      <w:r>
        <w:rPr>
          <w:color w:val="000000"/>
          <w:sz w:val="21"/>
          <w:szCs w:val="21"/>
        </w:rPr>
        <w:t xml:space="preserve"> within the scope of the audit;</w:t>
      </w:r>
    </w:p>
    <w:p w14:paraId="6DD05E6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access to the Service Provider Information Management System; and</w:t>
      </w:r>
    </w:p>
    <w:p w14:paraId="6DC35AE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access to the Service Provider Staff.</w:t>
      </w:r>
    </w:p>
    <w:p w14:paraId="7A8351EA"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Response to audit findings</w:t>
      </w:r>
    </w:p>
    <w:p w14:paraId="1AEA83E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Where an aud</w:t>
      </w:r>
      <w:r>
        <w:rPr>
          <w:color w:val="000000"/>
          <w:sz w:val="21"/>
          <w:szCs w:val="21"/>
        </w:rPr>
        <w:t>it finds that:</w:t>
      </w:r>
    </w:p>
    <w:p w14:paraId="31D3258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a Sub-contractor has not complied with the Contract or the Data Protection Laws as they apply to the Government Data; or</w:t>
      </w:r>
    </w:p>
    <w:p w14:paraId="0C53D2D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there has been or is likely to be a Security Breach affecting the Government Data</w:t>
      </w:r>
    </w:p>
    <w:p w14:paraId="06CC1BF6"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the </w:t>
      </w:r>
      <w:r>
        <w:rPr>
          <w:i/>
          <w:iCs/>
          <w:color w:val="000000"/>
          <w:sz w:val="21"/>
          <w:szCs w:val="21"/>
        </w:rPr>
        <w:t>Client</w:t>
      </w:r>
      <w:r>
        <w:rPr>
          <w:color w:val="000000"/>
          <w:sz w:val="21"/>
          <w:szCs w:val="21"/>
        </w:rPr>
        <w:t xml:space="preserve"> may require the </w:t>
      </w:r>
      <w:r>
        <w:rPr>
          <w:i/>
          <w:iCs/>
          <w:color w:val="000000"/>
          <w:sz w:val="21"/>
          <w:szCs w:val="21"/>
        </w:rPr>
        <w:t>Service Provider</w:t>
      </w:r>
      <w:r>
        <w:rPr>
          <w:color w:val="000000"/>
          <w:sz w:val="21"/>
          <w:szCs w:val="21"/>
        </w:rPr>
        <w:t xml:space="preserve"> to remedy those defaults at its own cost and expense and within the time reasonably specified by the </w:t>
      </w:r>
      <w:r>
        <w:rPr>
          <w:i/>
          <w:iCs/>
          <w:color w:val="000000"/>
          <w:sz w:val="21"/>
          <w:szCs w:val="21"/>
        </w:rPr>
        <w:t>Client</w:t>
      </w:r>
      <w:r>
        <w:rPr>
          <w:color w:val="000000"/>
          <w:sz w:val="21"/>
          <w:szCs w:val="21"/>
        </w:rPr>
        <w:t>.</w:t>
      </w:r>
    </w:p>
    <w:p w14:paraId="5F59530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exercise by the </w:t>
      </w:r>
      <w:r>
        <w:rPr>
          <w:i/>
          <w:iCs/>
          <w:color w:val="000000"/>
          <w:sz w:val="21"/>
          <w:szCs w:val="21"/>
        </w:rPr>
        <w:t>Client</w:t>
      </w:r>
      <w:r>
        <w:rPr>
          <w:color w:val="000000"/>
          <w:sz w:val="21"/>
          <w:szCs w:val="21"/>
        </w:rPr>
        <w:t xml:space="preserve"> of any rights it may have under this Paragraph 15 does not affect the exercise by it of any other or equivalent rights it may have under the Contract in respect of the audit findings.</w:t>
      </w:r>
    </w:p>
    <w:p w14:paraId="00D32942"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Breach of Security</w:t>
      </w:r>
    </w:p>
    <w:p w14:paraId="3FE28A2A"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Reporting Breach of Security</w:t>
      </w:r>
    </w:p>
    <w:p w14:paraId="70DB482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If either party becomes aware of a Breach of Security it shall notify the other as soon as reasonably practicable after becoming aware of the breach, and in any event within [24] hours.</w:t>
      </w:r>
    </w:p>
    <w:p w14:paraId="276BA569"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Immediate steps</w:t>
      </w:r>
    </w:p>
    <w:p w14:paraId="67B56B4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upon becoming aware of a Br</w:t>
      </w:r>
      <w:r>
        <w:rPr>
          <w:color w:val="000000"/>
          <w:sz w:val="21"/>
          <w:szCs w:val="21"/>
        </w:rPr>
        <w:t>each of Security immediately take those steps identified in the Security Management Plan and all other steps reasonably necessary to:</w:t>
      </w:r>
    </w:p>
    <w:p w14:paraId="35E0B31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minimise the extent of actual or potential harm caused by such Breach of Security;</w:t>
      </w:r>
    </w:p>
    <w:p w14:paraId="084289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remedy such Breach of Security to the e</w:t>
      </w:r>
      <w:r>
        <w:rPr>
          <w:color w:val="000000"/>
          <w:sz w:val="21"/>
          <w:szCs w:val="21"/>
        </w:rPr>
        <w:t>xtent possible;</w:t>
      </w:r>
    </w:p>
    <w:p w14:paraId="7B95D37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apply a tested mitigation against any such Breach of Security; and</w:t>
      </w:r>
    </w:p>
    <w:p w14:paraId="3DDF9FE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prevent a further Breach of Security in the future which exploits the same root cause failure;</w:t>
      </w:r>
    </w:p>
    <w:p w14:paraId="470648FE"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Subsequent action</w:t>
      </w:r>
    </w:p>
    <w:p w14:paraId="572B1D9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As soon as reasonably practicable and, in any event, within </w:t>
      </w:r>
      <w:r>
        <w:rPr>
          <w:color w:val="000000"/>
          <w:sz w:val="21"/>
          <w:szCs w:val="21"/>
        </w:rPr>
        <w:t xml:space="preserve">five Working Days of the occurrence of the Breach of Security, or such other period specified by the </w:t>
      </w:r>
      <w:r>
        <w:rPr>
          <w:i/>
          <w:iCs/>
          <w:color w:val="000000"/>
          <w:sz w:val="21"/>
          <w:szCs w:val="21"/>
        </w:rPr>
        <w:t>Client</w:t>
      </w:r>
      <w:r>
        <w:rPr>
          <w:color w:val="000000"/>
          <w:sz w:val="21"/>
          <w:szCs w:val="21"/>
        </w:rPr>
        <w:t xml:space="preserve">, provide to the </w:t>
      </w:r>
      <w:r>
        <w:rPr>
          <w:i/>
          <w:iCs/>
          <w:color w:val="000000"/>
          <w:sz w:val="21"/>
          <w:szCs w:val="21"/>
        </w:rPr>
        <w:t>Client</w:t>
      </w:r>
      <w:r>
        <w:rPr>
          <w:color w:val="000000"/>
          <w:sz w:val="21"/>
          <w:szCs w:val="21"/>
        </w:rPr>
        <w:t>:</w:t>
      </w:r>
    </w:p>
    <w:p w14:paraId="2C1A806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full details of the Breach of Security; and</w:t>
      </w:r>
    </w:p>
    <w:p w14:paraId="0FBD77E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required by the </w:t>
      </w:r>
      <w:r>
        <w:rPr>
          <w:i/>
          <w:iCs/>
          <w:color w:val="000000"/>
          <w:sz w:val="21"/>
          <w:szCs w:val="21"/>
        </w:rPr>
        <w:t>Client</w:t>
      </w:r>
      <w:r>
        <w:rPr>
          <w:color w:val="000000"/>
          <w:sz w:val="21"/>
          <w:szCs w:val="21"/>
        </w:rPr>
        <w:t>:</w:t>
      </w:r>
    </w:p>
    <w:p w14:paraId="72AE2D3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root cause analysis; and</w:t>
      </w:r>
    </w:p>
    <w:p w14:paraId="1F087AD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 draft plan addressing the Breach of Security</w:t>
      </w:r>
    </w:p>
    <w:p w14:paraId="235D028A"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(a Breach Action Plan).</w:t>
      </w:r>
    </w:p>
    <w:p w14:paraId="423734B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draft Breach Action Plan must set out:</w:t>
      </w:r>
    </w:p>
    <w:p w14:paraId="5AEDF6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 respect of each issue identified in the root cause analysis:</w:t>
      </w:r>
    </w:p>
    <w:p w14:paraId="7603F7B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how the issue will be remedied;</w:t>
      </w:r>
    </w:p>
    <w:p w14:paraId="1143999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 date by which the issue will be remedied; and</w:t>
      </w:r>
    </w:p>
    <w:p w14:paraId="696771B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tests that the </w:t>
      </w:r>
      <w:r>
        <w:rPr>
          <w:i/>
          <w:iCs/>
          <w:color w:val="000000"/>
          <w:sz w:val="21"/>
          <w:szCs w:val="21"/>
        </w:rPr>
        <w:t>Service Provider</w:t>
      </w:r>
      <w:r>
        <w:rPr>
          <w:color w:val="000000"/>
          <w:sz w:val="21"/>
          <w:szCs w:val="21"/>
        </w:rPr>
        <w:t xml:space="preserve"> proposes to perform to confirm that the issue has been remedied or the finding addressed;</w:t>
      </w:r>
    </w:p>
    <w:p w14:paraId="408381F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assistance the </w:t>
      </w:r>
      <w:r>
        <w:rPr>
          <w:i/>
          <w:iCs/>
          <w:color w:val="000000"/>
          <w:sz w:val="21"/>
          <w:szCs w:val="21"/>
        </w:rPr>
        <w:t>Service Provider</w:t>
      </w:r>
      <w:r>
        <w:rPr>
          <w:color w:val="000000"/>
          <w:sz w:val="21"/>
          <w:szCs w:val="21"/>
        </w:rPr>
        <w:t xml:space="preserve"> will provide to the </w:t>
      </w:r>
      <w:r>
        <w:rPr>
          <w:i/>
          <w:iCs/>
          <w:color w:val="000000"/>
          <w:sz w:val="21"/>
          <w:szCs w:val="21"/>
        </w:rPr>
        <w:t>Client</w:t>
      </w:r>
      <w:r>
        <w:rPr>
          <w:color w:val="000000"/>
          <w:sz w:val="21"/>
          <w:szCs w:val="21"/>
        </w:rPr>
        <w:t xml:space="preserve"> to resolve any im</w:t>
      </w:r>
      <w:r>
        <w:rPr>
          <w:color w:val="000000"/>
          <w:sz w:val="21"/>
          <w:szCs w:val="21"/>
        </w:rPr>
        <w:t xml:space="preserve">pacts on the </w:t>
      </w:r>
      <w:r>
        <w:rPr>
          <w:i/>
          <w:iCs/>
          <w:color w:val="000000"/>
          <w:sz w:val="21"/>
          <w:szCs w:val="21"/>
        </w:rPr>
        <w:t>Client</w:t>
      </w:r>
      <w:r>
        <w:rPr>
          <w:color w:val="000000"/>
          <w:sz w:val="21"/>
          <w:szCs w:val="21"/>
        </w:rPr>
        <w:t>, the Government Data and the Code;</w:t>
      </w:r>
    </w:p>
    <w:p w14:paraId="101D58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Provider’s</w:t>
      </w:r>
      <w:r>
        <w:rPr>
          <w:color w:val="000000"/>
          <w:sz w:val="21"/>
          <w:szCs w:val="21"/>
        </w:rPr>
        <w:t xml:space="preserve"> communication and engagement activities in respect of the Breach of Security, including any communication or engagement with individuals affected by any Breach of Security that r</w:t>
      </w:r>
      <w:r>
        <w:rPr>
          <w:color w:val="000000"/>
          <w:sz w:val="21"/>
          <w:szCs w:val="21"/>
        </w:rPr>
        <w:t>esults in the accidental or unlawful destruction, loss, alteration, unauthorised disclosure of, or access to, Personal Data;</w:t>
      </w:r>
    </w:p>
    <w:p w14:paraId="50CA2EA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infrastructure, services and systems (including any contact centre facilities) the </w:t>
      </w:r>
      <w:r>
        <w:rPr>
          <w:i/>
          <w:iCs/>
          <w:color w:val="000000"/>
          <w:sz w:val="21"/>
          <w:szCs w:val="21"/>
        </w:rPr>
        <w:t>Service Provider</w:t>
      </w:r>
      <w:r>
        <w:rPr>
          <w:color w:val="000000"/>
          <w:sz w:val="21"/>
          <w:szCs w:val="21"/>
        </w:rPr>
        <w:t xml:space="preserve"> will establish to undertake</w:t>
      </w:r>
      <w:r>
        <w:rPr>
          <w:color w:val="000000"/>
          <w:sz w:val="21"/>
          <w:szCs w:val="21"/>
        </w:rPr>
        <w:t xml:space="preserve"> the remediation, communication and engagement activities.</w:t>
      </w:r>
    </w:p>
    <w:p w14:paraId="776C4F2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promptly provide the </w:t>
      </w:r>
      <w:r>
        <w:rPr>
          <w:i/>
          <w:iCs/>
          <w:color w:val="000000"/>
          <w:sz w:val="21"/>
          <w:szCs w:val="21"/>
        </w:rPr>
        <w:t>Client</w:t>
      </w:r>
      <w:r>
        <w:rPr>
          <w:color w:val="000000"/>
          <w:sz w:val="21"/>
          <w:szCs w:val="21"/>
        </w:rPr>
        <w:t xml:space="preserve"> with such technical and other information relating to the draft Breach Action Plan as the </w:t>
      </w:r>
      <w:r>
        <w:rPr>
          <w:i/>
          <w:iCs/>
          <w:color w:val="000000"/>
          <w:sz w:val="21"/>
          <w:szCs w:val="21"/>
        </w:rPr>
        <w:t>Client</w:t>
      </w:r>
      <w:r>
        <w:rPr>
          <w:color w:val="000000"/>
          <w:sz w:val="21"/>
          <w:szCs w:val="21"/>
        </w:rPr>
        <w:t xml:space="preserve"> requests.</w:t>
      </w:r>
    </w:p>
    <w:p w14:paraId="1126460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w:t>
      </w:r>
    </w:p>
    <w:p w14:paraId="0458EB3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reject the draft Breach Action Plan where it considers that the draft Breach Action Plan is inadequate, providing its reasons for doing so, in which case:</w:t>
      </w:r>
    </w:p>
    <w:p w14:paraId="62433AD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within ten Working Days of the date on which the </w:t>
      </w:r>
      <w:r>
        <w:rPr>
          <w:i/>
          <w:iCs/>
          <w:color w:val="000000"/>
          <w:sz w:val="21"/>
          <w:szCs w:val="21"/>
        </w:rPr>
        <w:t>Client</w:t>
      </w:r>
      <w:r>
        <w:rPr>
          <w:color w:val="000000"/>
          <w:sz w:val="21"/>
          <w:szCs w:val="21"/>
        </w:rPr>
        <w:t xml:space="preserve"> rejected the draft</w:t>
      </w:r>
      <w:r>
        <w:rPr>
          <w:color w:val="000000"/>
          <w:sz w:val="21"/>
          <w:szCs w:val="21"/>
        </w:rPr>
        <w:t xml:space="preserve"> Breach Action Plan, or such other period as the </w:t>
      </w:r>
      <w:r>
        <w:rPr>
          <w:i/>
          <w:iCs/>
          <w:color w:val="000000"/>
          <w:sz w:val="21"/>
          <w:szCs w:val="21"/>
        </w:rPr>
        <w:t>Client</w:t>
      </w:r>
      <w:r>
        <w:rPr>
          <w:color w:val="000000"/>
          <w:sz w:val="21"/>
          <w:szCs w:val="21"/>
        </w:rPr>
        <w:t xml:space="preserve"> requires, submit a revised draft Breach Action Plan that takes into account the </w:t>
      </w:r>
      <w:r>
        <w:rPr>
          <w:i/>
          <w:iCs/>
          <w:color w:val="000000"/>
          <w:sz w:val="21"/>
          <w:szCs w:val="21"/>
        </w:rPr>
        <w:t>Client’s</w:t>
      </w:r>
      <w:r>
        <w:rPr>
          <w:color w:val="000000"/>
          <w:sz w:val="21"/>
          <w:szCs w:val="21"/>
        </w:rPr>
        <w:t xml:space="preserve"> reasons; and</w:t>
      </w:r>
    </w:p>
    <w:p w14:paraId="483569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Paragraph 16.5 and 16.6 shall apply to the revised draft Breach Action Plan;</w:t>
      </w:r>
    </w:p>
    <w:p w14:paraId="441694D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accept the draft Brea</w:t>
      </w:r>
      <w:r>
        <w:rPr>
          <w:color w:val="000000"/>
          <w:sz w:val="21"/>
          <w:szCs w:val="21"/>
        </w:rPr>
        <w:t xml:space="preserve">ch Action Plan, in which case the </w:t>
      </w:r>
      <w:r>
        <w:rPr>
          <w:i/>
          <w:iCs/>
          <w:color w:val="000000"/>
          <w:sz w:val="21"/>
          <w:szCs w:val="21"/>
        </w:rPr>
        <w:t>Service Provider</w:t>
      </w:r>
      <w:r>
        <w:rPr>
          <w:color w:val="000000"/>
          <w:sz w:val="21"/>
          <w:szCs w:val="21"/>
        </w:rPr>
        <w:t xml:space="preserve"> must immediately start work on implementing the Breach Action Plan.</w:t>
      </w:r>
    </w:p>
    <w:p w14:paraId="315876A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When implementing the Breach Action Plan, the </w:t>
      </w:r>
      <w:r>
        <w:rPr>
          <w:i/>
          <w:iCs/>
          <w:color w:val="000000"/>
          <w:sz w:val="21"/>
          <w:szCs w:val="21"/>
        </w:rPr>
        <w:t>Service Provider</w:t>
      </w:r>
      <w:r>
        <w:rPr>
          <w:color w:val="000000"/>
          <w:sz w:val="21"/>
          <w:szCs w:val="21"/>
        </w:rPr>
        <w:t xml:space="preserve"> must:</w:t>
      </w:r>
    </w:p>
    <w:p w14:paraId="29CC1B1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establish infrastructure, services and systems referred to in the Br</w:t>
      </w:r>
      <w:r>
        <w:rPr>
          <w:color w:val="000000"/>
          <w:sz w:val="21"/>
          <w:szCs w:val="21"/>
        </w:rPr>
        <w:t>each Action Plan;</w:t>
      </w:r>
    </w:p>
    <w:p w14:paraId="16380CF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communicate and engage with affected individuals in accordance with the Breach Action Plan;</w:t>
      </w:r>
    </w:p>
    <w:p w14:paraId="7F55F76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communicate and engage with the </w:t>
      </w:r>
      <w:r>
        <w:rPr>
          <w:i/>
          <w:iCs/>
          <w:color w:val="000000"/>
          <w:sz w:val="21"/>
          <w:szCs w:val="21"/>
        </w:rPr>
        <w:t>Client</w:t>
      </w:r>
      <w:r>
        <w:rPr>
          <w:color w:val="000000"/>
          <w:sz w:val="21"/>
          <w:szCs w:val="21"/>
        </w:rPr>
        <w:t xml:space="preserve"> and stakeholders identified by the </w:t>
      </w:r>
      <w:r>
        <w:rPr>
          <w:i/>
          <w:iCs/>
          <w:color w:val="000000"/>
          <w:sz w:val="21"/>
          <w:szCs w:val="21"/>
        </w:rPr>
        <w:t>Client</w:t>
      </w:r>
      <w:r>
        <w:rPr>
          <w:color w:val="000000"/>
          <w:sz w:val="21"/>
          <w:szCs w:val="21"/>
        </w:rPr>
        <w:t xml:space="preserve"> in accordance with the Breach Plan and as otherwise required by the </w:t>
      </w:r>
      <w:r>
        <w:rPr>
          <w:i/>
          <w:iCs/>
          <w:color w:val="000000"/>
          <w:sz w:val="21"/>
          <w:szCs w:val="21"/>
        </w:rPr>
        <w:t>Client</w:t>
      </w:r>
      <w:r>
        <w:rPr>
          <w:color w:val="000000"/>
          <w:sz w:val="21"/>
          <w:szCs w:val="21"/>
        </w:rPr>
        <w:t>;</w:t>
      </w:r>
    </w:p>
    <w:p w14:paraId="200139E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engage and deploy such additional resources as may be required to perform its responsibilities under the Breach Plan and the Contract in respect of the Personal Data Breach withou</w:t>
      </w:r>
      <w:r>
        <w:rPr>
          <w:color w:val="000000"/>
          <w:sz w:val="21"/>
          <w:szCs w:val="21"/>
        </w:rPr>
        <w:t xml:space="preserve">t any impact on the provision of the </w:t>
      </w:r>
      <w:r>
        <w:rPr>
          <w:i/>
          <w:iCs/>
          <w:color w:val="000000"/>
          <w:sz w:val="21"/>
          <w:szCs w:val="21"/>
        </w:rPr>
        <w:t>services</w:t>
      </w:r>
      <w:r>
        <w:rPr>
          <w:color w:val="000000"/>
          <w:sz w:val="21"/>
          <w:szCs w:val="21"/>
        </w:rPr>
        <w:t>; and</w:t>
      </w:r>
    </w:p>
    <w:p w14:paraId="6A174D2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continue to implement the Breach Action Plan until the </w:t>
      </w:r>
      <w:r>
        <w:rPr>
          <w:i/>
          <w:iCs/>
          <w:color w:val="000000"/>
          <w:sz w:val="21"/>
          <w:szCs w:val="21"/>
        </w:rPr>
        <w:t>Client</w:t>
      </w:r>
      <w:r>
        <w:rPr>
          <w:color w:val="000000"/>
          <w:sz w:val="21"/>
          <w:szCs w:val="21"/>
        </w:rPr>
        <w:t xml:space="preserve"> indicates that the Breach of Security and the impacts on the </w:t>
      </w:r>
      <w:r>
        <w:rPr>
          <w:i/>
          <w:iCs/>
          <w:color w:val="000000"/>
          <w:sz w:val="21"/>
          <w:szCs w:val="21"/>
        </w:rPr>
        <w:t>Client</w:t>
      </w:r>
      <w:r>
        <w:rPr>
          <w:color w:val="000000"/>
          <w:sz w:val="21"/>
          <w:szCs w:val="21"/>
        </w:rPr>
        <w:t>, the Government Data, the Code and the affected individuals have been resol</w:t>
      </w:r>
      <w:r>
        <w:rPr>
          <w:color w:val="000000"/>
          <w:sz w:val="21"/>
          <w:szCs w:val="21"/>
        </w:rPr>
        <w:t xml:space="preserve">ved to the </w:t>
      </w:r>
      <w:r>
        <w:rPr>
          <w:i/>
          <w:iCs/>
          <w:color w:val="000000"/>
          <w:sz w:val="21"/>
          <w:szCs w:val="21"/>
        </w:rPr>
        <w:t>Client’s</w:t>
      </w:r>
      <w:r>
        <w:rPr>
          <w:color w:val="000000"/>
          <w:sz w:val="21"/>
          <w:szCs w:val="21"/>
        </w:rPr>
        <w:t xml:space="preserve"> satisfaction.</w:t>
      </w:r>
    </w:p>
    <w:p w14:paraId="1AF6A84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obligation to provide and implement a Breach Action Plan under Paragraphs 16.3 to 16.7 continues notwithstanding the expiry or termination of the Contract.</w:t>
      </w:r>
    </w:p>
    <w:p w14:paraId="03A29BF7"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Costs of preparing and implementing Breach Action Plan</w:t>
      </w:r>
    </w:p>
    <w:p w14:paraId="104602F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is solely responsibl</w:t>
      </w:r>
      <w:r>
        <w:rPr>
          <w:color w:val="000000"/>
          <w:sz w:val="21"/>
          <w:szCs w:val="21"/>
        </w:rPr>
        <w:t>e for its costs in preparing and implementing a Breach Action Plan</w:t>
      </w:r>
    </w:p>
    <w:p w14:paraId="68ED567C"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Reporting of Breach of Security to regulator</w:t>
      </w:r>
    </w:p>
    <w:p w14:paraId="741BC43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Law requires that the </w:t>
      </w:r>
      <w:r>
        <w:rPr>
          <w:i/>
          <w:iCs/>
          <w:color w:val="000000"/>
          <w:sz w:val="21"/>
          <w:szCs w:val="21"/>
        </w:rPr>
        <w:t>Service Provider</w:t>
      </w:r>
      <w:r>
        <w:rPr>
          <w:color w:val="000000"/>
          <w:sz w:val="21"/>
          <w:szCs w:val="21"/>
        </w:rPr>
        <w:t xml:space="preserve"> report a Breach of Security to the appropriate regulator, the </w:t>
      </w:r>
      <w:r>
        <w:rPr>
          <w:i/>
          <w:iCs/>
          <w:color w:val="000000"/>
          <w:sz w:val="21"/>
          <w:szCs w:val="21"/>
        </w:rPr>
        <w:t>Service Provider</w:t>
      </w:r>
      <w:r>
        <w:rPr>
          <w:color w:val="000000"/>
          <w:sz w:val="21"/>
          <w:szCs w:val="21"/>
        </w:rPr>
        <w:t xml:space="preserve"> must:</w:t>
      </w:r>
    </w:p>
    <w:p w14:paraId="684249E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make that </w:t>
      </w:r>
      <w:r>
        <w:rPr>
          <w:color w:val="000000"/>
          <w:sz w:val="21"/>
          <w:szCs w:val="21"/>
        </w:rPr>
        <w:t>report within the time limits:</w:t>
      </w:r>
    </w:p>
    <w:p w14:paraId="521A862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specified by the relevant regulator; or</w:t>
      </w:r>
    </w:p>
    <w:p w14:paraId="5E9A42F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otherwise required by Law; and</w:t>
      </w:r>
    </w:p>
    <w:p w14:paraId="5F07D6A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to the extent that the relevant regulator or the Law permits, provide the </w:t>
      </w:r>
      <w:r>
        <w:rPr>
          <w:i/>
          <w:iCs/>
          <w:color w:val="000000"/>
          <w:sz w:val="21"/>
          <w:szCs w:val="21"/>
        </w:rPr>
        <w:t>Client</w:t>
      </w:r>
      <w:r>
        <w:rPr>
          <w:color w:val="000000"/>
          <w:sz w:val="21"/>
          <w:szCs w:val="21"/>
        </w:rPr>
        <w:t xml:space="preserve"> with a full, unredacted and unedited copy of that report at the same time it is sent to the relevant regulator.</w:t>
      </w:r>
    </w:p>
    <w:p w14:paraId="4AC34F4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Law requires the </w:t>
      </w:r>
      <w:r>
        <w:rPr>
          <w:i/>
          <w:iCs/>
          <w:color w:val="000000"/>
          <w:sz w:val="21"/>
          <w:szCs w:val="21"/>
        </w:rPr>
        <w:t>Client</w:t>
      </w:r>
      <w:r>
        <w:rPr>
          <w:color w:val="000000"/>
          <w:sz w:val="21"/>
          <w:szCs w:val="21"/>
        </w:rPr>
        <w:t xml:space="preserve"> to report a Breach of Security to the appropriate regulator, the </w:t>
      </w:r>
      <w:r>
        <w:rPr>
          <w:i/>
          <w:iCs/>
          <w:color w:val="000000"/>
          <w:sz w:val="21"/>
          <w:szCs w:val="21"/>
        </w:rPr>
        <w:t>Service Provider</w:t>
      </w:r>
      <w:r>
        <w:rPr>
          <w:color w:val="000000"/>
          <w:sz w:val="21"/>
          <w:szCs w:val="21"/>
        </w:rPr>
        <w:t xml:space="preserve"> must:</w:t>
      </w:r>
    </w:p>
    <w:p w14:paraId="41C4A1D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such information and other input as the </w:t>
      </w:r>
      <w:r>
        <w:rPr>
          <w:i/>
          <w:iCs/>
          <w:color w:val="000000"/>
          <w:sz w:val="21"/>
          <w:szCs w:val="21"/>
        </w:rPr>
        <w:t>Client</w:t>
      </w:r>
      <w:r>
        <w:rPr>
          <w:color w:val="000000"/>
          <w:sz w:val="21"/>
          <w:szCs w:val="21"/>
        </w:rPr>
        <w:t xml:space="preserve"> requires within the timescales specified by the </w:t>
      </w:r>
      <w:r>
        <w:rPr>
          <w:i/>
          <w:iCs/>
          <w:color w:val="000000"/>
          <w:sz w:val="21"/>
          <w:szCs w:val="21"/>
        </w:rPr>
        <w:t>Client</w:t>
      </w:r>
      <w:r>
        <w:rPr>
          <w:color w:val="000000"/>
          <w:sz w:val="21"/>
          <w:szCs w:val="21"/>
        </w:rPr>
        <w:t>; and</w:t>
      </w:r>
    </w:p>
    <w:p w14:paraId="2F80BF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ensure so far as practicable the report it sends to </w:t>
      </w:r>
      <w:r>
        <w:rPr>
          <w:color w:val="000000"/>
          <w:sz w:val="21"/>
          <w:szCs w:val="21"/>
        </w:rPr>
        <w:t xml:space="preserve">the relevant regulator is consistent with the report provided by the </w:t>
      </w:r>
      <w:r>
        <w:rPr>
          <w:i/>
          <w:iCs/>
          <w:color w:val="000000"/>
          <w:sz w:val="21"/>
          <w:szCs w:val="21"/>
        </w:rPr>
        <w:t>Client</w:t>
      </w:r>
      <w:r>
        <w:rPr>
          <w:color w:val="000000"/>
          <w:sz w:val="21"/>
          <w:szCs w:val="21"/>
        </w:rPr>
        <w:t>.</w:t>
      </w:r>
    </w:p>
    <w:p w14:paraId="792CF276"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Exit management</w:t>
      </w:r>
    </w:p>
    <w:p w14:paraId="4C5E9C4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649EB3C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agree with the </w:t>
      </w:r>
      <w:r>
        <w:rPr>
          <w:i/>
          <w:iCs/>
          <w:color w:val="000000"/>
          <w:sz w:val="21"/>
          <w:szCs w:val="21"/>
        </w:rPr>
        <w:t>Client</w:t>
      </w:r>
      <w:r>
        <w:rPr>
          <w:color w:val="000000"/>
          <w:sz w:val="21"/>
          <w:szCs w:val="21"/>
        </w:rPr>
        <w:t xml:space="preserve"> and, where required by the </w:t>
      </w:r>
      <w:r>
        <w:rPr>
          <w:i/>
          <w:iCs/>
          <w:color w:val="000000"/>
          <w:sz w:val="21"/>
          <w:szCs w:val="21"/>
        </w:rPr>
        <w:t>Service Provider</w:t>
      </w:r>
      <w:r>
        <w:rPr>
          <w:color w:val="000000"/>
          <w:sz w:val="21"/>
          <w:szCs w:val="21"/>
        </w:rPr>
        <w:t>, the Replacement Service Provider; and</w:t>
      </w:r>
    </w:p>
    <w:p w14:paraId="37648F0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document as part of the end of the </w:t>
      </w:r>
      <w:r>
        <w:rPr>
          <w:i/>
          <w:iCs/>
          <w:color w:val="000000"/>
          <w:sz w:val="21"/>
          <w:szCs w:val="21"/>
        </w:rPr>
        <w:t>services</w:t>
      </w:r>
      <w:r>
        <w:rPr>
          <w:color w:val="000000"/>
          <w:sz w:val="21"/>
          <w:szCs w:val="21"/>
        </w:rPr>
        <w:t>,</w:t>
      </w:r>
    </w:p>
    <w:p w14:paraId="27D09574"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 xml:space="preserve">a plan for the migration of the Government Data to the </w:t>
      </w:r>
      <w:r>
        <w:rPr>
          <w:i/>
          <w:iCs/>
          <w:color w:val="000000"/>
          <w:sz w:val="21"/>
          <w:szCs w:val="21"/>
        </w:rPr>
        <w:t>Client</w:t>
      </w:r>
      <w:r>
        <w:rPr>
          <w:color w:val="000000"/>
          <w:sz w:val="21"/>
          <w:szCs w:val="21"/>
        </w:rPr>
        <w:t xml:space="preserve"> and/or the Replacement Service Provider (as required by the </w:t>
      </w:r>
      <w:r>
        <w:rPr>
          <w:i/>
          <w:iCs/>
          <w:color w:val="000000"/>
          <w:sz w:val="21"/>
          <w:szCs w:val="21"/>
        </w:rPr>
        <w:t>Client</w:t>
      </w:r>
      <w:r>
        <w:rPr>
          <w:color w:val="000000"/>
          <w:sz w:val="21"/>
          <w:szCs w:val="21"/>
        </w:rPr>
        <w:t>) (Data Migration Plan).</w:t>
      </w:r>
    </w:p>
    <w:p w14:paraId="080251A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Data Migration Plan must, at a minimum, include:</w:t>
      </w:r>
    </w:p>
    <w:p w14:paraId="5C03CE6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data formats of the Government Data;</w:t>
      </w:r>
    </w:p>
    <w:p w14:paraId="1911677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roles and responsibilities of the </w:t>
      </w:r>
      <w:r>
        <w:rPr>
          <w:i/>
          <w:iCs/>
          <w:color w:val="000000"/>
          <w:sz w:val="21"/>
          <w:szCs w:val="21"/>
        </w:rPr>
        <w:t>Service Provider</w:t>
      </w:r>
      <w:r>
        <w:rPr>
          <w:color w:val="000000"/>
          <w:sz w:val="21"/>
          <w:szCs w:val="21"/>
        </w:rPr>
        <w:t xml:space="preserve">, the </w:t>
      </w:r>
      <w:r>
        <w:rPr>
          <w:i/>
          <w:iCs/>
          <w:color w:val="000000"/>
          <w:sz w:val="21"/>
          <w:szCs w:val="21"/>
        </w:rPr>
        <w:t>Client</w:t>
      </w:r>
      <w:r>
        <w:rPr>
          <w:color w:val="000000"/>
          <w:sz w:val="21"/>
          <w:szCs w:val="21"/>
        </w:rPr>
        <w:t xml:space="preserve"> and (where applicable) the Replacement Service Provider;</w:t>
      </w:r>
    </w:p>
    <w:p w14:paraId="4BBAD5E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methods to be used to securely transfer the data;</w:t>
      </w:r>
    </w:p>
    <w:p w14:paraId="59AC2BE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timescales for the completion of all tasks and activities set out in the Data Migration Plan; and</w:t>
      </w:r>
    </w:p>
    <w:p w14:paraId="3D1CE68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how data migration will be managed t</w:t>
      </w:r>
      <w:r>
        <w:rPr>
          <w:color w:val="000000"/>
          <w:sz w:val="21"/>
          <w:szCs w:val="21"/>
        </w:rPr>
        <w:t>o ensure continuity of services and the integrity, confidentiality and accessibility of the Government Data during that process.</w:t>
      </w:r>
    </w:p>
    <w:p w14:paraId="18C3B57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comply with the provisions of the Data Migration Plan at the end of the </w:t>
      </w:r>
      <w:r>
        <w:rPr>
          <w:i/>
          <w:iCs/>
          <w:color w:val="000000"/>
          <w:sz w:val="21"/>
          <w:szCs w:val="21"/>
        </w:rPr>
        <w:t>service period</w:t>
      </w:r>
      <w:r>
        <w:rPr>
          <w:color w:val="000000"/>
          <w:sz w:val="21"/>
          <w:szCs w:val="21"/>
        </w:rPr>
        <w:t>.</w:t>
      </w:r>
    </w:p>
    <w:p w14:paraId="2714439C"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Return and deletion of Government Data</w:t>
      </w:r>
    </w:p>
    <w:p w14:paraId="4F727AC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create and maintain a register of:</w:t>
      </w:r>
    </w:p>
    <w:p w14:paraId="75DE277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all Government Data the </w:t>
      </w:r>
      <w:r>
        <w:rPr>
          <w:i/>
          <w:iCs/>
          <w:color w:val="000000"/>
          <w:sz w:val="21"/>
          <w:szCs w:val="21"/>
        </w:rPr>
        <w:t>Service Provider</w:t>
      </w:r>
      <w:r>
        <w:rPr>
          <w:color w:val="000000"/>
          <w:sz w:val="21"/>
          <w:szCs w:val="21"/>
        </w:rPr>
        <w:t xml:space="preserve">, or any Sub-contractor, receives from or creates for the </w:t>
      </w:r>
      <w:r>
        <w:rPr>
          <w:i/>
          <w:iCs/>
          <w:color w:val="000000"/>
          <w:sz w:val="21"/>
          <w:szCs w:val="21"/>
        </w:rPr>
        <w:t>Client</w:t>
      </w:r>
      <w:r>
        <w:rPr>
          <w:color w:val="000000"/>
          <w:sz w:val="21"/>
          <w:szCs w:val="21"/>
        </w:rPr>
        <w:t>; and</w:t>
      </w:r>
    </w:p>
    <w:p w14:paraId="669C2E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those parts of the Service Provider Informatio</w:t>
      </w:r>
      <w:r>
        <w:rPr>
          <w:color w:val="000000"/>
          <w:sz w:val="21"/>
          <w:szCs w:val="21"/>
        </w:rPr>
        <w:t>n Management System, including those parts of the Service Provider Information Management System that are operated or controlled by any Sub-contractor, on which the Government Data is stored,</w:t>
      </w:r>
    </w:p>
    <w:p w14:paraId="10BE7DE0" w14:textId="77777777" w:rsidR="007960A8" w:rsidRDefault="00A26397">
      <w:pPr>
        <w:widowControl/>
        <w:pBdr>
          <w:top w:val="nil"/>
          <w:left w:val="nil"/>
          <w:bottom w:val="nil"/>
          <w:right w:val="nil"/>
          <w:between w:val="nil"/>
        </w:pBdr>
        <w:spacing w:after="240"/>
        <w:ind w:left="720"/>
        <w:jc w:val="both"/>
        <w:rPr>
          <w:b/>
          <w:bCs/>
          <w:color w:val="000000"/>
          <w:sz w:val="21"/>
          <w:szCs w:val="21"/>
        </w:rPr>
      </w:pPr>
      <w:r>
        <w:rPr>
          <w:b/>
          <w:bCs/>
          <w:color w:val="000000"/>
          <w:sz w:val="21"/>
          <w:szCs w:val="21"/>
        </w:rPr>
        <w:t>(Government Data Register).</w:t>
      </w:r>
    </w:p>
    <w:p w14:paraId="76EFA69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62D6826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review and update the Government Data Register:</w:t>
      </w:r>
    </w:p>
    <w:p w14:paraId="5A55DFB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within ten Working Days of the </w:t>
      </w:r>
      <w:r>
        <w:rPr>
          <w:i/>
          <w:iCs/>
          <w:color w:val="000000"/>
          <w:sz w:val="21"/>
          <w:szCs w:val="21"/>
        </w:rPr>
        <w:t>Service Provider</w:t>
      </w:r>
      <w:r>
        <w:rPr>
          <w:color w:val="000000"/>
          <w:sz w:val="21"/>
          <w:szCs w:val="21"/>
        </w:rPr>
        <w:t xml:space="preserve"> or any Sub-contractor changes those parts of the Service Provider Information Management System on which the Government Data is stored;</w:t>
      </w:r>
    </w:p>
    <w:p w14:paraId="2B746D10"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within ten Working Days of a significant change in the volume, nature or overall sensitivity of the Government Data stored on the Service Provider Information Management System;</w:t>
      </w:r>
    </w:p>
    <w:p w14:paraId="2C88C2C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at least once every 12 months; and</w:t>
      </w:r>
    </w:p>
    <w:p w14:paraId="15A4F61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copy of the Gover</w:t>
      </w:r>
      <w:r>
        <w:rPr>
          <w:color w:val="000000"/>
          <w:sz w:val="21"/>
          <w:szCs w:val="21"/>
        </w:rPr>
        <w:t>nment Data Register:</w:t>
      </w:r>
    </w:p>
    <w:p w14:paraId="74822AE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whenever it updates the Government Data Register; and</w:t>
      </w:r>
    </w:p>
    <w:p w14:paraId="40B573A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otherwise when the </w:t>
      </w:r>
      <w:r>
        <w:rPr>
          <w:i/>
          <w:iCs/>
          <w:color w:val="000000"/>
          <w:sz w:val="21"/>
          <w:szCs w:val="21"/>
        </w:rPr>
        <w:t>Client</w:t>
      </w:r>
      <w:r>
        <w:rPr>
          <w:color w:val="000000"/>
          <w:sz w:val="21"/>
          <w:szCs w:val="21"/>
        </w:rPr>
        <w:t xml:space="preserve"> requests.</w:t>
      </w:r>
    </w:p>
    <w:p w14:paraId="0C22B84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Subject to Paragraph 18.4, the </w:t>
      </w:r>
      <w:r>
        <w:rPr>
          <w:i/>
          <w:iCs/>
          <w:color w:val="000000"/>
          <w:sz w:val="21"/>
          <w:szCs w:val="21"/>
        </w:rPr>
        <w:t>Service Provider</w:t>
      </w:r>
      <w:r>
        <w:rPr>
          <w:color w:val="000000"/>
          <w:sz w:val="21"/>
          <w:szCs w:val="21"/>
        </w:rPr>
        <w:t xml:space="preserve"> must, and must ensure that all Sub-contractors, securely erase any or all Government Data held by the </w:t>
      </w:r>
      <w:r>
        <w:rPr>
          <w:i/>
          <w:iCs/>
          <w:color w:val="000000"/>
          <w:sz w:val="21"/>
          <w:szCs w:val="21"/>
        </w:rPr>
        <w:t>Service Provider</w:t>
      </w:r>
      <w:r>
        <w:rPr>
          <w:color w:val="000000"/>
          <w:sz w:val="21"/>
          <w:szCs w:val="21"/>
        </w:rPr>
        <w:t xml:space="preserve"> or Sub-contractor, including any or all Code:</w:t>
      </w:r>
    </w:p>
    <w:p w14:paraId="2B04DAE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when requested to do so by the </w:t>
      </w:r>
      <w:r>
        <w:rPr>
          <w:i/>
          <w:iCs/>
          <w:color w:val="000000"/>
          <w:sz w:val="21"/>
          <w:szCs w:val="21"/>
        </w:rPr>
        <w:t>Client</w:t>
      </w:r>
      <w:r>
        <w:rPr>
          <w:color w:val="000000"/>
          <w:sz w:val="21"/>
          <w:szCs w:val="21"/>
        </w:rPr>
        <w:t>; and</w:t>
      </w:r>
    </w:p>
    <w:p w14:paraId="744FB37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using a deletion method agreed with the </w:t>
      </w:r>
      <w:r>
        <w:rPr>
          <w:i/>
          <w:iCs/>
          <w:color w:val="000000"/>
          <w:sz w:val="21"/>
          <w:szCs w:val="21"/>
        </w:rPr>
        <w:t>Client</w:t>
      </w:r>
      <w:r>
        <w:rPr>
          <w:color w:val="000000"/>
          <w:sz w:val="21"/>
          <w:szCs w:val="21"/>
        </w:rPr>
        <w:t xml:space="preserve"> </w:t>
      </w:r>
      <w:r>
        <w:rPr>
          <w:color w:val="000000"/>
          <w:sz w:val="21"/>
          <w:szCs w:val="21"/>
        </w:rPr>
        <w:t>that ensures that even a determined expert using specialist techniques can recover only a small fraction of the data deleted.</w:t>
      </w:r>
    </w:p>
    <w:p w14:paraId="30A43E8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Paragraph 18.3 does not apply to Government Data:</w:t>
      </w:r>
    </w:p>
    <w:p w14:paraId="2800D07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that is Personal Data in respect of which the </w:t>
      </w:r>
      <w:r>
        <w:rPr>
          <w:i/>
          <w:iCs/>
          <w:color w:val="000000"/>
          <w:sz w:val="21"/>
          <w:szCs w:val="21"/>
        </w:rPr>
        <w:t>Service Provider</w:t>
      </w:r>
      <w:r>
        <w:rPr>
          <w:color w:val="000000"/>
          <w:sz w:val="21"/>
          <w:szCs w:val="21"/>
        </w:rPr>
        <w:t xml:space="preserve"> is a Controller;</w:t>
      </w:r>
    </w:p>
    <w:p w14:paraId="424B0B6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to which the </w:t>
      </w:r>
      <w:r>
        <w:rPr>
          <w:i/>
          <w:iCs/>
          <w:color w:val="000000"/>
          <w:sz w:val="21"/>
          <w:szCs w:val="21"/>
        </w:rPr>
        <w:t>Service Provider</w:t>
      </w:r>
      <w:r>
        <w:rPr>
          <w:color w:val="000000"/>
          <w:sz w:val="21"/>
          <w:szCs w:val="21"/>
        </w:rPr>
        <w:t xml:space="preserve"> has rights to Handle independently from the Contract; or</w:t>
      </w:r>
    </w:p>
    <w:p w14:paraId="5401268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 respect of which, the </w:t>
      </w:r>
      <w:r>
        <w:rPr>
          <w:i/>
          <w:iCs/>
          <w:color w:val="000000"/>
          <w:sz w:val="21"/>
          <w:szCs w:val="21"/>
        </w:rPr>
        <w:t>Service Provider</w:t>
      </w:r>
      <w:r>
        <w:rPr>
          <w:color w:val="000000"/>
          <w:sz w:val="21"/>
          <w:szCs w:val="21"/>
        </w:rPr>
        <w:t xml:space="preserve"> is under an obligation imposed by Law to retain.</w:t>
      </w:r>
    </w:p>
    <w:p w14:paraId="4B3057D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 provide t</w:t>
      </w:r>
      <w:r>
        <w:rPr>
          <w:color w:val="000000"/>
          <w:sz w:val="21"/>
          <w:szCs w:val="21"/>
        </w:rPr>
        <w:t xml:space="preserve">he </w:t>
      </w:r>
      <w:r>
        <w:rPr>
          <w:i/>
          <w:iCs/>
          <w:color w:val="000000"/>
          <w:sz w:val="21"/>
          <w:szCs w:val="21"/>
        </w:rPr>
        <w:t>Client</w:t>
      </w:r>
      <w:r>
        <w:rPr>
          <w:color w:val="000000"/>
          <w:sz w:val="21"/>
          <w:szCs w:val="21"/>
        </w:rPr>
        <w:t xml:space="preserve"> with copies of any or all Government Data held by the </w:t>
      </w:r>
      <w:r>
        <w:rPr>
          <w:i/>
          <w:iCs/>
          <w:color w:val="000000"/>
          <w:sz w:val="21"/>
          <w:szCs w:val="21"/>
        </w:rPr>
        <w:t>Service Provider</w:t>
      </w:r>
      <w:r>
        <w:rPr>
          <w:color w:val="000000"/>
          <w:sz w:val="21"/>
          <w:szCs w:val="21"/>
        </w:rPr>
        <w:t xml:space="preserve"> or Sub-contractor, including any or all Code:</w:t>
      </w:r>
    </w:p>
    <w:p w14:paraId="18A6DFE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when requested to do so by the </w:t>
      </w:r>
      <w:r>
        <w:rPr>
          <w:i/>
          <w:iCs/>
          <w:color w:val="000000"/>
          <w:sz w:val="21"/>
          <w:szCs w:val="21"/>
        </w:rPr>
        <w:t>Client</w:t>
      </w:r>
      <w:r>
        <w:rPr>
          <w:color w:val="000000"/>
          <w:sz w:val="21"/>
          <w:szCs w:val="21"/>
        </w:rPr>
        <w:t>; and</w:t>
      </w:r>
    </w:p>
    <w:p w14:paraId="54E839A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using the method specified by the </w:t>
      </w:r>
      <w:r>
        <w:rPr>
          <w:i/>
          <w:iCs/>
          <w:color w:val="000000"/>
          <w:sz w:val="21"/>
          <w:szCs w:val="21"/>
        </w:rPr>
        <w:t>Client</w:t>
      </w:r>
      <w:r>
        <w:rPr>
          <w:color w:val="000000"/>
          <w:sz w:val="21"/>
          <w:szCs w:val="21"/>
        </w:rPr>
        <w:t>.</w:t>
      </w:r>
    </w:p>
    <w:p w14:paraId="6BF84688" w14:textId="77777777" w:rsidR="007960A8" w:rsidRDefault="00A26397">
      <w:pPr>
        <w:pBdr>
          <w:top w:val="nil"/>
          <w:left w:val="nil"/>
          <w:bottom w:val="nil"/>
          <w:right w:val="nil"/>
          <w:between w:val="nil"/>
        </w:pBdr>
        <w:rPr>
          <w:color w:val="000000"/>
        </w:rPr>
      </w:pPr>
      <w:r>
        <w:rPr>
          <w:color w:val="000000"/>
        </w:rPr>
        <w:t> </w:t>
      </w:r>
    </w:p>
    <w:p w14:paraId="2EB6B636" w14:textId="77777777" w:rsidR="007960A8" w:rsidRDefault="00A26397">
      <w:pPr>
        <w:keepNext/>
        <w:pageBreakBefore/>
        <w:widowControl/>
        <w:numPr>
          <w:ilvl w:val="0"/>
          <w:numId w:val="98"/>
        </w:numPr>
        <w:pBdr>
          <w:top w:val="nil"/>
          <w:left w:val="nil"/>
          <w:bottom w:val="nil"/>
          <w:right w:val="nil"/>
          <w:between w:val="nil"/>
        </w:pBdr>
        <w:tabs>
          <w:tab w:val="left" w:pos="2160"/>
        </w:tabs>
        <w:spacing w:after="240"/>
        <w:jc w:val="center"/>
      </w:pPr>
      <w:r>
        <w:rPr>
          <w:b/>
          <w:bCs/>
          <w:color w:val="000000"/>
          <w:sz w:val="28"/>
          <w:szCs w:val="28"/>
        </w:rPr>
        <w:t>Security Requirements for Development Activity</w:t>
      </w:r>
    </w:p>
    <w:p w14:paraId="3278F130" w14:textId="77777777" w:rsidR="007960A8" w:rsidRDefault="00A26397">
      <w:pPr>
        <w:widowControl/>
        <w:numPr>
          <w:ilvl w:val="1"/>
          <w:numId w:val="27"/>
        </w:numPr>
        <w:pBdr>
          <w:top w:val="nil"/>
          <w:left w:val="nil"/>
          <w:bottom w:val="nil"/>
          <w:right w:val="nil"/>
          <w:between w:val="nil"/>
        </w:pBdr>
        <w:spacing w:after="240"/>
        <w:jc w:val="both"/>
        <w:rPr>
          <w:b/>
          <w:bCs/>
          <w:color w:val="000000"/>
          <w:sz w:val="21"/>
          <w:szCs w:val="21"/>
        </w:rPr>
      </w:pPr>
      <w:r>
        <w:rPr>
          <w:b/>
          <w:bCs/>
          <w:color w:val="000000"/>
          <w:sz w:val="21"/>
          <w:szCs w:val="21"/>
        </w:rPr>
        <w:t>Secure Software Development by Design</w:t>
      </w:r>
    </w:p>
    <w:p w14:paraId="64C9816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 engaged in Development Activity, implement secure development and deployment practices to ensure that:</w:t>
      </w:r>
    </w:p>
    <w:p w14:paraId="2176F4E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no Malicious Software is introduced into the Developed System or the Service Provider Information Management System.</w:t>
      </w:r>
    </w:p>
    <w:p w14:paraId="6B9E5EF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Developed System can continue to function in accordance with the Scope:</w:t>
      </w:r>
    </w:p>
    <w:p w14:paraId="35AE1F2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in unforeseen circumstances; and</w:t>
      </w:r>
    </w:p>
    <w:p w14:paraId="73ED9A3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notwithstanding any attack on </w:t>
      </w:r>
      <w:r>
        <w:rPr>
          <w:color w:val="000000"/>
          <w:sz w:val="21"/>
          <w:szCs w:val="21"/>
        </w:rPr>
        <w:t>the Developed System using common cyber attack techniques, including attacks using those vulnerabilities identified at any time in the OWASP Top Ten.</w:t>
      </w:r>
    </w:p>
    <w:p w14:paraId="7D413C2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To those ends, the </w:t>
      </w:r>
      <w:r>
        <w:rPr>
          <w:i/>
          <w:iCs/>
          <w:color w:val="000000"/>
          <w:sz w:val="21"/>
          <w:szCs w:val="21"/>
        </w:rPr>
        <w:t>Service Provider</w:t>
      </w:r>
      <w:r>
        <w:rPr>
          <w:color w:val="000000"/>
          <w:sz w:val="21"/>
          <w:szCs w:val="21"/>
        </w:rPr>
        <w:t xml:space="preserve"> must, and ensure that all Sub-contractors engaged in Development Activity:</w:t>
      </w:r>
    </w:p>
    <w:p w14:paraId="4AAD121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comply with the Secure Development Guidance as if its requirements were terms of the Contract; and</w:t>
      </w:r>
    </w:p>
    <w:p w14:paraId="6C9C9EB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document the steps taken to comply with that guidance as part of the Security Man</w:t>
      </w:r>
      <w:r>
        <w:rPr>
          <w:color w:val="000000"/>
          <w:sz w:val="21"/>
          <w:szCs w:val="21"/>
        </w:rPr>
        <w:t>agement Plan.</w:t>
      </w:r>
    </w:p>
    <w:p w14:paraId="4F8133C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particular, the </w:t>
      </w:r>
      <w:r>
        <w:rPr>
          <w:i/>
          <w:iCs/>
          <w:color w:val="000000"/>
          <w:sz w:val="21"/>
          <w:szCs w:val="21"/>
        </w:rPr>
        <w:t>Service Provider</w:t>
      </w:r>
      <w:r>
        <w:rPr>
          <w:color w:val="000000"/>
          <w:sz w:val="21"/>
          <w:szCs w:val="21"/>
        </w:rPr>
        <w:t xml:space="preserve"> must, and ensure that all Sub-contractors engaged in Development Activity:</w:t>
      </w:r>
    </w:p>
    <w:p w14:paraId="2AAB87B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all Service Provider Staff engaged in Development Activity are:</w:t>
      </w:r>
    </w:p>
    <w:p w14:paraId="118198E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trained and experienced in secure by design code develo</w:t>
      </w:r>
      <w:r>
        <w:rPr>
          <w:color w:val="000000"/>
          <w:sz w:val="21"/>
          <w:szCs w:val="21"/>
        </w:rPr>
        <w:t>pment;</w:t>
      </w:r>
    </w:p>
    <w:p w14:paraId="33D466B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provided with regular training in secure software development and deployment;</w:t>
      </w:r>
    </w:p>
    <w:p w14:paraId="7675FB5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that all Code:</w:t>
      </w:r>
    </w:p>
    <w:p w14:paraId="2737DF3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is subject to a clear, well organised, logical and documented architecture;</w:t>
      </w:r>
    </w:p>
    <w:p w14:paraId="257A499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follows OWASP Secure Coding Practice</w:t>
      </w:r>
    </w:p>
    <w:p w14:paraId="5F67250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follows recognised secure coding standard, where one is available;</w:t>
      </w:r>
    </w:p>
    <w:p w14:paraId="1304C70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employs consistent naming conventions;</w:t>
      </w:r>
    </w:p>
    <w:p w14:paraId="39541B9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is coded in a consistent manner and s</w:t>
      </w:r>
      <w:r>
        <w:rPr>
          <w:color w:val="000000"/>
          <w:sz w:val="21"/>
          <w:szCs w:val="21"/>
        </w:rPr>
        <w:t>tyle;</w:t>
      </w:r>
    </w:p>
    <w:p w14:paraId="6AB2D3E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is clearly and adequately documented to set out the function of each section of code;</w:t>
      </w:r>
    </w:p>
    <w:p w14:paraId="69784EA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is subject to appropriate levels of review through automated and non automated methods both as part of:</w:t>
      </w:r>
    </w:p>
    <w:p w14:paraId="476D9782"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any original coding; and</w:t>
      </w:r>
    </w:p>
    <w:p w14:paraId="525A3D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at any time the Code is changed;</w:t>
      </w:r>
    </w:p>
    <w:p w14:paraId="6AEF96F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w:t>
      </w:r>
      <w:r>
        <w:rPr>
          <w:color w:val="000000"/>
          <w:sz w:val="21"/>
          <w:szCs w:val="21"/>
        </w:rPr>
        <w:t>sure that all Development Environments:</w:t>
      </w:r>
    </w:p>
    <w:p w14:paraId="047F0DDF"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protect access credentials and secret keys;</w:t>
      </w:r>
    </w:p>
    <w:p w14:paraId="1943E7F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is logically separate from all other environments, including production systems, operated by the </w:t>
      </w:r>
      <w:r>
        <w:rPr>
          <w:i/>
          <w:iCs/>
          <w:color w:val="000000"/>
          <w:sz w:val="21"/>
          <w:szCs w:val="21"/>
        </w:rPr>
        <w:t>Service Provider</w:t>
      </w:r>
      <w:r>
        <w:rPr>
          <w:color w:val="000000"/>
          <w:sz w:val="21"/>
          <w:szCs w:val="21"/>
        </w:rPr>
        <w:t xml:space="preserve"> or Sub-contractor;</w:t>
      </w:r>
    </w:p>
    <w:p w14:paraId="5D270BA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requires multi factor authentication to</w:t>
      </w:r>
      <w:r>
        <w:rPr>
          <w:color w:val="000000"/>
          <w:sz w:val="21"/>
          <w:szCs w:val="21"/>
        </w:rPr>
        <w:t xml:space="preserve"> access;</w:t>
      </w:r>
    </w:p>
    <w:p w14:paraId="3DF606F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have onward technical controls to protect the Developed System or the Service Provider Information Management System in the event a Development Environment is compromised; and</w:t>
      </w:r>
    </w:p>
    <w:p w14:paraId="227605A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use network architecture controls to constrain access from the Developm</w:t>
      </w:r>
      <w:r>
        <w:rPr>
          <w:color w:val="000000"/>
          <w:sz w:val="21"/>
          <w:szCs w:val="21"/>
        </w:rPr>
        <w:t>ent Environment to the Developed System or the Service Provider Information Management System.</w:t>
      </w:r>
    </w:p>
    <w:p w14:paraId="24C39BEE"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Secure Architecture</w:t>
      </w:r>
    </w:p>
    <w:p w14:paraId="7F41BF2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design and build the Developed System in a manner consistent with:</w:t>
      </w:r>
    </w:p>
    <w:p w14:paraId="184EC57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NCSC’s guidance on "Security Design Principles for Digital Services";</w:t>
      </w:r>
    </w:p>
    <w:p w14:paraId="20F908D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Developed System will Handle bulk data, the NCSC’s guidance on "Bulk Data Principles"; and</w:t>
      </w:r>
    </w:p>
    <w:p w14:paraId="0CD41D6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NCS</w:t>
      </w:r>
      <w:r>
        <w:rPr>
          <w:color w:val="000000"/>
          <w:sz w:val="21"/>
          <w:szCs w:val="21"/>
        </w:rPr>
        <w:t>C’s guidance on "Cloud Security Principles".</w:t>
      </w:r>
    </w:p>
    <w:p w14:paraId="4079E73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any of the documents referred to in Paragraph 2.1 provides for various options, the </w:t>
      </w:r>
      <w:r>
        <w:rPr>
          <w:i/>
          <w:iCs/>
          <w:color w:val="000000"/>
          <w:sz w:val="21"/>
          <w:szCs w:val="21"/>
        </w:rPr>
        <w:t>Service Provider</w:t>
      </w:r>
      <w:r>
        <w:rPr>
          <w:color w:val="000000"/>
          <w:sz w:val="21"/>
          <w:szCs w:val="21"/>
        </w:rPr>
        <w:t xml:space="preserve"> must document the option it has chosen to implement and its reasons for doing so.</w:t>
      </w:r>
    </w:p>
    <w:p w14:paraId="1FA721A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Notwithstanding anythi</w:t>
      </w:r>
      <w:r>
        <w:rPr>
          <w:color w:val="000000"/>
          <w:sz w:val="21"/>
          <w:szCs w:val="21"/>
        </w:rPr>
        <w:t xml:space="preserve">ng in the specification for the Developed System or the Contract, the </w:t>
      </w:r>
      <w:r>
        <w:rPr>
          <w:i/>
          <w:iCs/>
          <w:color w:val="000000"/>
          <w:sz w:val="21"/>
          <w:szCs w:val="21"/>
        </w:rPr>
        <w:t>Service Provider</w:t>
      </w:r>
      <w:r>
        <w:rPr>
          <w:color w:val="000000"/>
          <w:sz w:val="21"/>
          <w:szCs w:val="21"/>
        </w:rPr>
        <w:t xml:space="preserve"> must ensure that the Developed System encrypts Government Data:</w:t>
      </w:r>
    </w:p>
    <w:p w14:paraId="69C3289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when the Government Data is stored at any time when no operation is being performed on it; and</w:t>
      </w:r>
    </w:p>
    <w:p w14:paraId="7EF8D44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when the G</w:t>
      </w:r>
      <w:r>
        <w:rPr>
          <w:color w:val="000000"/>
          <w:sz w:val="21"/>
          <w:szCs w:val="21"/>
        </w:rPr>
        <w:t>overnment Data is transmitted.</w:t>
      </w:r>
    </w:p>
    <w:p w14:paraId="2AF5E86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ensure that the Developed System is developed and configured so as to provide for the matters set out in Paragraphs 13.1 to 13.4 of Appendix 1.</w:t>
      </w:r>
    </w:p>
    <w:p w14:paraId="36E10A63"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Code Repository and Deployment Pipeline</w:t>
      </w:r>
    </w:p>
    <w:p w14:paraId="72584B6F"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 engaged in Development Activity:</w:t>
      </w:r>
    </w:p>
    <w:p w14:paraId="4052C88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when using a cloud based code repository for the deployment pipeline, use only a cloud  based code repository that </w:t>
      </w:r>
      <w:r>
        <w:rPr>
          <w:color w:val="000000"/>
          <w:sz w:val="21"/>
          <w:szCs w:val="21"/>
        </w:rPr>
        <w:t>has been assessed against the NCSC Cloud Security Principles;</w:t>
      </w:r>
    </w:p>
    <w:p w14:paraId="42E2B4F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ensure user access to code repositories is authenticated using credentials, with passwords or private keys;</w:t>
      </w:r>
    </w:p>
    <w:p w14:paraId="0E46034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ensure secret credentials are separated from source code.</w:t>
      </w:r>
    </w:p>
    <w:p w14:paraId="2EF7E16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run automatic security testi</w:t>
      </w:r>
      <w:r>
        <w:rPr>
          <w:color w:val="000000"/>
          <w:sz w:val="21"/>
          <w:szCs w:val="21"/>
        </w:rPr>
        <w:t>ng as part of any deployment of the Developed System.</w:t>
      </w:r>
    </w:p>
    <w:p w14:paraId="768F11DE"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Development and Testing Data</w:t>
      </w:r>
    </w:p>
    <w:p w14:paraId="69AD6F9A"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must, and must ensure that all Sub-contractors engaged in Development Activity, use only anonymised, dummy or synthetic data when using data within the Development Environment for the purposes of development and testing.</w:t>
      </w:r>
    </w:p>
    <w:p w14:paraId="3D9F4DD3"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Code Reviews</w:t>
      </w:r>
    </w:p>
    <w:p w14:paraId="23795A31"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w:t>
      </w:r>
      <w:r>
        <w:rPr>
          <w:color w:val="000000"/>
          <w:sz w:val="21"/>
          <w:szCs w:val="21"/>
        </w:rPr>
        <w:t>must:</w:t>
      </w:r>
    </w:p>
    <w:p w14:paraId="0185C8A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regularly; or</w:t>
      </w:r>
    </w:p>
    <w:p w14:paraId="04700AD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as required by the </w:t>
      </w:r>
      <w:r>
        <w:rPr>
          <w:i/>
          <w:iCs/>
          <w:color w:val="000000"/>
          <w:sz w:val="21"/>
          <w:szCs w:val="21"/>
        </w:rPr>
        <w:t>Client</w:t>
      </w:r>
    </w:p>
    <w:p w14:paraId="595B7400"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review the Code in accordance with the requirements of this Paragraph 5 (Code Review).</w:t>
      </w:r>
    </w:p>
    <w:p w14:paraId="247E104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Before conducting any Code Review, the </w:t>
      </w:r>
      <w:r>
        <w:rPr>
          <w:i/>
          <w:iCs/>
          <w:color w:val="000000"/>
          <w:sz w:val="21"/>
          <w:szCs w:val="21"/>
        </w:rPr>
        <w:t>Service Provider</w:t>
      </w:r>
      <w:r>
        <w:rPr>
          <w:color w:val="000000"/>
          <w:sz w:val="21"/>
          <w:szCs w:val="21"/>
        </w:rPr>
        <w:t xml:space="preserve"> must agree with the </w:t>
      </w:r>
      <w:r>
        <w:rPr>
          <w:i/>
          <w:iCs/>
          <w:color w:val="000000"/>
          <w:sz w:val="21"/>
          <w:szCs w:val="21"/>
        </w:rPr>
        <w:t>Client</w:t>
      </w:r>
      <w:r>
        <w:rPr>
          <w:color w:val="000000"/>
          <w:sz w:val="21"/>
          <w:szCs w:val="21"/>
        </w:rPr>
        <w:t>:</w:t>
      </w:r>
    </w:p>
    <w:p w14:paraId="134454E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modules or elements of the Code subject to the Code Review;</w:t>
      </w:r>
    </w:p>
    <w:p w14:paraId="3F7B0B13"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development state at which the Code Review will take place;</w:t>
      </w:r>
    </w:p>
    <w:p w14:paraId="6E649E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specific security vulnerabilities the Code Review will assess; and</w:t>
      </w:r>
    </w:p>
    <w:p w14:paraId="252F384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frequency of any Code Reviews,</w:t>
      </w:r>
    </w:p>
    <w:p w14:paraId="1F8F24C2" w14:textId="77777777" w:rsidR="007960A8" w:rsidRDefault="00A26397">
      <w:pPr>
        <w:widowControl/>
        <w:pBdr>
          <w:top w:val="nil"/>
          <w:left w:val="nil"/>
          <w:bottom w:val="nil"/>
          <w:right w:val="nil"/>
          <w:between w:val="nil"/>
        </w:pBdr>
        <w:spacing w:after="120"/>
        <w:ind w:left="1440"/>
        <w:jc w:val="both"/>
        <w:rPr>
          <w:color w:val="000000"/>
          <w:sz w:val="21"/>
          <w:szCs w:val="21"/>
        </w:rPr>
      </w:pPr>
      <w:r>
        <w:rPr>
          <w:color w:val="000000"/>
          <w:sz w:val="21"/>
          <w:szCs w:val="21"/>
        </w:rPr>
        <w:t>(the Code Review Plan)</w:t>
      </w:r>
      <w:r>
        <w:rPr>
          <w:color w:val="000000"/>
          <w:sz w:val="21"/>
          <w:szCs w:val="21"/>
        </w:rPr>
        <w:t>.</w:t>
      </w:r>
    </w:p>
    <w:p w14:paraId="5181F0F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For the avoidance of doubt the Code Review Plan may specify different modules or elements of the Code are reviewed at a different development state, for different security vulnerabilities and at different frequencies.</w:t>
      </w:r>
    </w:p>
    <w:p w14:paraId="0105AF9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w:t>
      </w:r>
    </w:p>
    <w:p w14:paraId="522ECDE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must undertake Code Reviews in accordance with the Code Review Plan; and</w:t>
      </w:r>
    </w:p>
    <w:p w14:paraId="689D4B9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may undertake Code Reviews by automated means if this is consistent with the approach specified in the Code review Plan.</w:t>
      </w:r>
    </w:p>
    <w:p w14:paraId="756ABCA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 later than ten Working Days or each Code Review, the </w:t>
      </w:r>
      <w:r>
        <w:rPr>
          <w:i/>
          <w:iCs/>
          <w:color w:val="000000"/>
          <w:sz w:val="21"/>
          <w:szCs w:val="21"/>
        </w:rPr>
        <w:t>Servic</w:t>
      </w:r>
      <w:r>
        <w:rPr>
          <w:i/>
          <w:iCs/>
          <w:color w:val="000000"/>
          <w:sz w:val="21"/>
          <w:szCs w:val="21"/>
        </w:rPr>
        <w:t>e Provider</w:t>
      </w:r>
      <w:r>
        <w:rPr>
          <w:color w:val="000000"/>
          <w:sz w:val="21"/>
          <w:szCs w:val="21"/>
        </w:rPr>
        <w:t xml:space="preserve"> must provide the </w:t>
      </w:r>
      <w:r>
        <w:rPr>
          <w:i/>
          <w:iCs/>
          <w:color w:val="000000"/>
          <w:sz w:val="21"/>
          <w:szCs w:val="21"/>
        </w:rPr>
        <w:t>Client</w:t>
      </w:r>
      <w:r>
        <w:rPr>
          <w:color w:val="000000"/>
          <w:sz w:val="21"/>
          <w:szCs w:val="21"/>
        </w:rPr>
        <w:t xml:space="preserve"> will a full, unedited and unredacted copy of the Code Review Report.</w:t>
      </w:r>
    </w:p>
    <w:p w14:paraId="1AD3F46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Code Review identifies any security vulnerabilities, the </w:t>
      </w:r>
      <w:r>
        <w:rPr>
          <w:i/>
          <w:iCs/>
          <w:color w:val="000000"/>
          <w:sz w:val="21"/>
          <w:szCs w:val="21"/>
        </w:rPr>
        <w:t>Service Provider</w:t>
      </w:r>
      <w:r>
        <w:rPr>
          <w:color w:val="000000"/>
          <w:sz w:val="21"/>
          <w:szCs w:val="21"/>
        </w:rPr>
        <w:t xml:space="preserve"> must:</w:t>
      </w:r>
    </w:p>
    <w:p w14:paraId="505349E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remedy these at its own cost and expense;</w:t>
      </w:r>
    </w:p>
    <w:p w14:paraId="2647689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ensure, so far as reasonably practicable, that the identified security vulnerabilities are not present in any other modules or code elements; and</w:t>
      </w:r>
    </w:p>
    <w:p w14:paraId="1C83D60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modify its approach to undertaking the Development Activities to ens</w:t>
      </w:r>
      <w:r>
        <w:rPr>
          <w:color w:val="000000"/>
          <w:sz w:val="21"/>
          <w:szCs w:val="21"/>
        </w:rPr>
        <w:t>ure, so far as is practicable, the identified security vulnerabilities will not re occur; and</w:t>
      </w:r>
    </w:p>
    <w:p w14:paraId="08B773D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such information as it requests about the steps the </w:t>
      </w:r>
      <w:r>
        <w:rPr>
          <w:i/>
          <w:iCs/>
          <w:color w:val="000000"/>
          <w:sz w:val="21"/>
          <w:szCs w:val="21"/>
        </w:rPr>
        <w:t>Service Provider</w:t>
      </w:r>
      <w:r>
        <w:rPr>
          <w:color w:val="000000"/>
          <w:sz w:val="21"/>
          <w:szCs w:val="21"/>
        </w:rPr>
        <w:t xml:space="preserve"> takes under this Paragraph 5.6.</w:t>
      </w:r>
    </w:p>
    <w:p w14:paraId="00E48F2D"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Third-party Software</w:t>
      </w:r>
    </w:p>
    <w:p w14:paraId="5B555310"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must not, and must ensure that Sub-contractors do not, use any software to Handle Government Data where the licence terms of that software purport to grant the licensor rights to Handle the Government Data greater than those rights strictl</w:t>
      </w:r>
      <w:r>
        <w:rPr>
          <w:color w:val="000000"/>
          <w:sz w:val="21"/>
          <w:szCs w:val="21"/>
        </w:rPr>
        <w:t>y necessary for the use of the software.</w:t>
      </w:r>
    </w:p>
    <w:p w14:paraId="736082F9"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Third-party Software Modules</w:t>
      </w:r>
    </w:p>
    <w:p w14:paraId="588D80E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or a Sub-contractor incorporates a Third-party Software Module into the Code, the </w:t>
      </w:r>
      <w:r>
        <w:rPr>
          <w:i/>
          <w:iCs/>
          <w:color w:val="000000"/>
          <w:sz w:val="21"/>
          <w:szCs w:val="21"/>
        </w:rPr>
        <w:t>Service Provider</w:t>
      </w:r>
      <w:r>
        <w:rPr>
          <w:color w:val="000000"/>
          <w:sz w:val="21"/>
          <w:szCs w:val="21"/>
        </w:rPr>
        <w:t xml:space="preserve"> must:</w:t>
      </w:r>
    </w:p>
    <w:p w14:paraId="479797F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verify the source and integrity of the Third-party Sof</w:t>
      </w:r>
      <w:r>
        <w:rPr>
          <w:color w:val="000000"/>
          <w:sz w:val="21"/>
          <w:szCs w:val="21"/>
        </w:rPr>
        <w:t>tware Module by cryptographic signing or such other measure that provides the same level of assurance;</w:t>
      </w:r>
    </w:p>
    <w:p w14:paraId="1DAD4AA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perform adequate due diligence to determine whether there are any recognised security vulnerabilities with that Third-party Software Module;</w:t>
      </w:r>
    </w:p>
    <w:p w14:paraId="1C15A86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continue to monitor any such Third-party Software Module so as to ensure it promptly becomes aware of any newly  di</w:t>
      </w:r>
      <w:r>
        <w:rPr>
          <w:color w:val="000000"/>
          <w:sz w:val="21"/>
          <w:szCs w:val="21"/>
        </w:rPr>
        <w:t>scovered security vulnerabilities; and</w:t>
      </w:r>
    </w:p>
    <w:p w14:paraId="05EB73E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take appropriate steps to minimise the effect of any such security vulnerability on the Developed System.</w:t>
      </w:r>
    </w:p>
    <w:p w14:paraId="34CA4CF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For the purposes of Paragraph 7.1.2, the </w:t>
      </w:r>
      <w:r>
        <w:rPr>
          <w:i/>
          <w:iCs/>
          <w:color w:val="000000"/>
          <w:sz w:val="21"/>
          <w:szCs w:val="21"/>
        </w:rPr>
        <w:t>Service Provider</w:t>
      </w:r>
      <w:r>
        <w:rPr>
          <w:color w:val="000000"/>
          <w:sz w:val="21"/>
          <w:szCs w:val="21"/>
        </w:rPr>
        <w:t xml:space="preserve"> must perform due diligence that is proportionate to the significance of the Third-party Software Module within the Code.</w:t>
      </w:r>
    </w:p>
    <w:p w14:paraId="4FF8919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produce and maintain a register of all Third-party Software Modules that form part of the Code (Modules Regi</w:t>
      </w:r>
      <w:r>
        <w:rPr>
          <w:color w:val="000000"/>
          <w:sz w:val="21"/>
          <w:szCs w:val="21"/>
        </w:rPr>
        <w:t>ster).</w:t>
      </w:r>
    </w:p>
    <w:p w14:paraId="0DF5A46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Modules Register must include, in respect of each Third-party Software Module:</w:t>
      </w:r>
    </w:p>
    <w:p w14:paraId="23B18BE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full details of the developer of the module;</w:t>
      </w:r>
    </w:p>
    <w:p w14:paraId="6D51713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due diligence the </w:t>
      </w:r>
      <w:r>
        <w:rPr>
          <w:i/>
          <w:iCs/>
          <w:color w:val="000000"/>
          <w:sz w:val="21"/>
          <w:szCs w:val="21"/>
        </w:rPr>
        <w:t>Service Provider</w:t>
      </w:r>
      <w:r>
        <w:rPr>
          <w:color w:val="000000"/>
          <w:sz w:val="21"/>
          <w:szCs w:val="21"/>
        </w:rPr>
        <w:t xml:space="preserve"> undertook on the Third-party Software Module before deciding to use it;</w:t>
      </w:r>
    </w:p>
    <w:p w14:paraId="68702ED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any recogn</w:t>
      </w:r>
      <w:r>
        <w:rPr>
          <w:color w:val="000000"/>
          <w:sz w:val="21"/>
          <w:szCs w:val="21"/>
        </w:rPr>
        <w:t>ised security vulnerabilities in the Third-party Software Module; and</w:t>
      </w:r>
    </w:p>
    <w:p w14:paraId="32C1668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how the </w:t>
      </w:r>
      <w:r>
        <w:rPr>
          <w:i/>
          <w:iCs/>
          <w:color w:val="000000"/>
          <w:sz w:val="21"/>
          <w:szCs w:val="21"/>
        </w:rPr>
        <w:t>Service Provider</w:t>
      </w:r>
      <w:r>
        <w:rPr>
          <w:color w:val="000000"/>
          <w:sz w:val="21"/>
          <w:szCs w:val="21"/>
        </w:rPr>
        <w:t xml:space="preserve"> will minimise the effect of any such security vulnerability on the Developed System.</w:t>
      </w:r>
    </w:p>
    <w:p w14:paraId="408788B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w:t>
      </w:r>
    </w:p>
    <w:p w14:paraId="2A947A05"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review and update the Modules Register:</w:t>
      </w:r>
    </w:p>
    <w:p w14:paraId="1D19EBBC"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within [10] Working Days of becoming aware of a security vulnerability in any Third-party Software Module; and</w:t>
      </w:r>
    </w:p>
    <w:p w14:paraId="06753D9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at least once every six months; and</w:t>
      </w:r>
    </w:p>
    <w:p w14:paraId="5AC805A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 the </w:t>
      </w:r>
      <w:r>
        <w:rPr>
          <w:i/>
          <w:iCs/>
          <w:color w:val="000000"/>
          <w:sz w:val="21"/>
          <w:szCs w:val="21"/>
        </w:rPr>
        <w:t>Client</w:t>
      </w:r>
      <w:r>
        <w:rPr>
          <w:color w:val="000000"/>
          <w:sz w:val="21"/>
          <w:szCs w:val="21"/>
        </w:rPr>
        <w:t xml:space="preserve"> with a copy of the Modules Register:</w:t>
      </w:r>
    </w:p>
    <w:p w14:paraId="468E6616"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whenever it updates the Modules Register; and</w:t>
      </w:r>
    </w:p>
    <w:p w14:paraId="5FEF223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otherwi</w:t>
      </w:r>
      <w:r>
        <w:rPr>
          <w:color w:val="000000"/>
          <w:sz w:val="21"/>
          <w:szCs w:val="21"/>
        </w:rPr>
        <w:t xml:space="preserve">se when the </w:t>
      </w:r>
      <w:r>
        <w:rPr>
          <w:i/>
          <w:iCs/>
          <w:color w:val="000000"/>
          <w:sz w:val="21"/>
          <w:szCs w:val="21"/>
        </w:rPr>
        <w:t>Client</w:t>
      </w:r>
      <w:r>
        <w:rPr>
          <w:color w:val="000000"/>
          <w:sz w:val="21"/>
          <w:szCs w:val="21"/>
        </w:rPr>
        <w:t xml:space="preserve"> requests.</w:t>
      </w:r>
    </w:p>
    <w:p w14:paraId="7400C271" w14:textId="77777777" w:rsidR="007960A8" w:rsidRDefault="00A26397">
      <w:pPr>
        <w:keepNext/>
        <w:pageBreakBefore/>
        <w:widowControl/>
        <w:numPr>
          <w:ilvl w:val="0"/>
          <w:numId w:val="98"/>
        </w:numPr>
        <w:pBdr>
          <w:top w:val="nil"/>
          <w:left w:val="nil"/>
          <w:bottom w:val="nil"/>
          <w:right w:val="nil"/>
          <w:between w:val="nil"/>
        </w:pBdr>
        <w:tabs>
          <w:tab w:val="left" w:pos="2160"/>
        </w:tabs>
        <w:spacing w:after="240"/>
        <w:jc w:val="center"/>
      </w:pPr>
      <w:r>
        <w:rPr>
          <w:b/>
          <w:bCs/>
          <w:color w:val="000000"/>
          <w:sz w:val="28"/>
          <w:szCs w:val="28"/>
        </w:rPr>
        <w:t>Security Working Group</w:t>
      </w:r>
    </w:p>
    <w:p w14:paraId="5C304BCE" w14:textId="77777777" w:rsidR="007960A8" w:rsidRDefault="00A26397">
      <w:pPr>
        <w:widowControl/>
        <w:numPr>
          <w:ilvl w:val="1"/>
          <w:numId w:val="26"/>
        </w:numPr>
        <w:pBdr>
          <w:top w:val="nil"/>
          <w:left w:val="nil"/>
          <w:bottom w:val="nil"/>
          <w:right w:val="nil"/>
          <w:between w:val="nil"/>
        </w:pBdr>
        <w:spacing w:after="240"/>
        <w:jc w:val="both"/>
        <w:rPr>
          <w:b/>
          <w:bCs/>
          <w:color w:val="000000"/>
          <w:sz w:val="21"/>
          <w:szCs w:val="21"/>
        </w:rPr>
      </w:pPr>
      <w:r>
        <w:rPr>
          <w:b/>
          <w:bCs/>
          <w:color w:val="000000"/>
          <w:sz w:val="21"/>
          <w:szCs w:val="21"/>
        </w:rPr>
        <w:t>Role of the Security Working Group</w:t>
      </w:r>
    </w:p>
    <w:p w14:paraId="43D90743"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Security Working Group shall be responsible for the [Client Guidance: insert remit of Security Working Group].</w:t>
      </w:r>
    </w:p>
    <w:p w14:paraId="77F85E9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Security Working Group:</w:t>
      </w:r>
    </w:p>
    <w:p w14:paraId="0E52C5F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monitors and provides recommendations to the </w:t>
      </w:r>
      <w:r>
        <w:rPr>
          <w:i/>
          <w:iCs/>
          <w:color w:val="000000"/>
          <w:sz w:val="21"/>
          <w:szCs w:val="21"/>
        </w:rPr>
        <w:t>Service Provider</w:t>
      </w:r>
      <w:r>
        <w:rPr>
          <w:color w:val="000000"/>
          <w:sz w:val="21"/>
          <w:szCs w:val="21"/>
        </w:rPr>
        <w:t xml:space="preserve"> on the assurance of the Service Provider Informatio</w:t>
      </w:r>
      <w:r>
        <w:rPr>
          <w:color w:val="000000"/>
          <w:sz w:val="21"/>
          <w:szCs w:val="21"/>
        </w:rPr>
        <w:t>n Management System;</w:t>
      </w:r>
    </w:p>
    <w:p w14:paraId="1881643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provides a forum for the sharing of information concerning security risks and threats and determining the appropriate mitigations;</w:t>
      </w:r>
    </w:p>
    <w:p w14:paraId="36EEFA8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[Client Guidance: insert any other terms of reference for Security Working Group that the Client wishes </w:t>
      </w:r>
      <w:r>
        <w:rPr>
          <w:color w:val="000000"/>
          <w:sz w:val="21"/>
          <w:szCs w:val="21"/>
        </w:rPr>
        <w:t>to apply].</w:t>
      </w:r>
    </w:p>
    <w:p w14:paraId="090F1299"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Meetings of the Security Working Group</w:t>
      </w:r>
    </w:p>
    <w:p w14:paraId="22493879"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Each Party shall ensure that its members on the Security Working Group shall make all reasonable efforts to attend Security Working Groups meetings at which that member’s attendance is required. If any member is not able to attend a Security Working Group </w:t>
      </w:r>
      <w:r>
        <w:rPr>
          <w:color w:val="000000"/>
          <w:sz w:val="21"/>
          <w:szCs w:val="21"/>
        </w:rPr>
        <w:t>meeting, that person shall use all reasonable endeavours to ensure that a delegate attends the Security Working Group meeting in his/her place (wherever possible) and that the delegate is properly briefed and prepared and that he/she is debriefed by such d</w:t>
      </w:r>
      <w:r>
        <w:rPr>
          <w:color w:val="000000"/>
          <w:sz w:val="21"/>
          <w:szCs w:val="21"/>
        </w:rPr>
        <w:t>elegate after the board meeting.</w:t>
      </w:r>
    </w:p>
    <w:p w14:paraId="6E0838F8"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Reports to the Security Working Group</w:t>
      </w:r>
    </w:p>
    <w:p w14:paraId="4C7E791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must provide the following reports no late than [five] Working Days before each meeting of the Security Woking Group:</w:t>
      </w:r>
    </w:p>
    <w:p w14:paraId="2AF7DF3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[Client Guidance: insert list of required reports].</w:t>
      </w:r>
    </w:p>
    <w:p w14:paraId="023A1600"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Administration</w:t>
      </w:r>
    </w:p>
    <w:p w14:paraId="096A9E26" w14:textId="77777777" w:rsidR="007960A8" w:rsidRDefault="00A26397">
      <w:pPr>
        <w:widowControl/>
        <w:pBdr>
          <w:top w:val="nil"/>
          <w:left w:val="nil"/>
          <w:bottom w:val="nil"/>
          <w:right w:val="nil"/>
          <w:between w:val="nil"/>
        </w:pBdr>
        <w:spacing w:after="240"/>
        <w:ind w:left="720"/>
        <w:jc w:val="both"/>
        <w:rPr>
          <w:color w:val="000000"/>
          <w:sz w:val="21"/>
          <w:szCs w:val="21"/>
        </w:rPr>
      </w:pPr>
      <w:r>
        <w:rPr>
          <w:color w:val="000000"/>
          <w:sz w:val="21"/>
          <w:szCs w:val="21"/>
        </w:rPr>
        <w:t xml:space="preserve">The </w:t>
      </w:r>
      <w:r>
        <w:rPr>
          <w:i/>
          <w:iCs/>
          <w:color w:val="000000"/>
          <w:sz w:val="21"/>
          <w:szCs w:val="21"/>
        </w:rPr>
        <w:t>Service Provider</w:t>
      </w:r>
      <w:r>
        <w:rPr>
          <w:color w:val="000000"/>
          <w:sz w:val="21"/>
          <w:szCs w:val="21"/>
        </w:rPr>
        <w:t xml:space="preserve"> is responsible for the secretarial functions of the SWG.</w:t>
      </w:r>
    </w:p>
    <w:p w14:paraId="5A41C85C" w14:textId="77777777" w:rsidR="007960A8" w:rsidRDefault="00A26397">
      <w:pPr>
        <w:keepNext/>
        <w:pageBreakBefore/>
        <w:widowControl/>
        <w:numPr>
          <w:ilvl w:val="0"/>
          <w:numId w:val="98"/>
        </w:numPr>
        <w:pBdr>
          <w:top w:val="nil"/>
          <w:left w:val="nil"/>
          <w:bottom w:val="nil"/>
          <w:right w:val="nil"/>
          <w:between w:val="nil"/>
        </w:pBdr>
        <w:tabs>
          <w:tab w:val="left" w:pos="2160"/>
        </w:tabs>
        <w:spacing w:after="240"/>
        <w:jc w:val="center"/>
      </w:pPr>
      <w:r>
        <w:rPr>
          <w:b/>
          <w:bCs/>
          <w:color w:val="000000"/>
          <w:sz w:val="28"/>
          <w:szCs w:val="28"/>
        </w:rPr>
        <w:t>Sub-contractor Security Requirements and Security Requirements for Development Activity</w:t>
      </w:r>
    </w:p>
    <w:p w14:paraId="28B056DE" w14:textId="77777777" w:rsidR="007960A8" w:rsidRDefault="00A26397">
      <w:pPr>
        <w:pBdr>
          <w:top w:val="nil"/>
          <w:left w:val="nil"/>
          <w:bottom w:val="nil"/>
          <w:right w:val="nil"/>
          <w:between w:val="nil"/>
        </w:pBdr>
        <w:spacing w:after="240"/>
        <w:rPr>
          <w:color w:val="000000"/>
        </w:rPr>
      </w:pPr>
      <w:r>
        <w:rPr>
          <w:color w:val="000000"/>
        </w:rPr>
        <w:t>The table below sets out the security requirements in Appendix 1 and the security requirements for Development Activity in Appendix 2 that do not apply to particular categories of Sub-contractors.</w:t>
      </w:r>
    </w:p>
    <w:p w14:paraId="10014AF5" w14:textId="77777777" w:rsidR="007960A8" w:rsidRDefault="00A26397">
      <w:pPr>
        <w:pBdr>
          <w:top w:val="nil"/>
          <w:left w:val="nil"/>
          <w:bottom w:val="nil"/>
          <w:right w:val="nil"/>
          <w:between w:val="nil"/>
        </w:pBdr>
        <w:spacing w:after="240"/>
        <w:rPr>
          <w:b/>
          <w:bCs/>
          <w:i/>
          <w:iCs/>
          <w:color w:val="000000"/>
        </w:rPr>
      </w:pPr>
      <w:r>
        <w:rPr>
          <w:b/>
          <w:bCs/>
          <w:i/>
          <w:iCs/>
          <w:color w:val="000000"/>
          <w:highlight w:val="yellow"/>
        </w:rPr>
        <w:t>[Client Guidance: Populate this table to reflect any provis</w:t>
      </w:r>
      <w:r>
        <w:rPr>
          <w:b/>
          <w:bCs/>
          <w:i/>
          <w:iCs/>
          <w:color w:val="000000"/>
          <w:highlight w:val="yellow"/>
        </w:rPr>
        <w:t>ions of Appendix 1 or Appendix 2 that will not apply to any particular categories of Sub-contractor]</w:t>
      </w:r>
    </w:p>
    <w:tbl>
      <w:tblPr>
        <w:tblStyle w:val="af6"/>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gridCol w:w="1803"/>
        <w:gridCol w:w="1804"/>
      </w:tblGrid>
      <w:tr w:rsidR="007960A8" w14:paraId="7F13FC4E" w14:textId="77777777">
        <w:tc>
          <w:tcPr>
            <w:tcW w:w="1803" w:type="dxa"/>
          </w:tcPr>
          <w:p w14:paraId="1CA55759" w14:textId="77777777" w:rsidR="007960A8" w:rsidRDefault="007960A8">
            <w:pPr>
              <w:pBdr>
                <w:top w:val="nil"/>
                <w:left w:val="nil"/>
                <w:bottom w:val="nil"/>
                <w:right w:val="nil"/>
                <w:between w:val="nil"/>
              </w:pBdr>
              <w:spacing w:after="240"/>
              <w:rPr>
                <w:color w:val="000000"/>
              </w:rPr>
            </w:pPr>
          </w:p>
        </w:tc>
        <w:tc>
          <w:tcPr>
            <w:tcW w:w="1803" w:type="dxa"/>
          </w:tcPr>
          <w:p w14:paraId="0E14A99B" w14:textId="77777777" w:rsidR="007960A8" w:rsidRDefault="00A26397">
            <w:pPr>
              <w:pBdr>
                <w:top w:val="nil"/>
                <w:left w:val="nil"/>
                <w:bottom w:val="nil"/>
                <w:right w:val="nil"/>
                <w:between w:val="nil"/>
              </w:pBdr>
              <w:spacing w:after="240"/>
              <w:rPr>
                <w:color w:val="000000"/>
              </w:rPr>
            </w:pPr>
            <w:r>
              <w:rPr>
                <w:color w:val="000000"/>
              </w:rPr>
              <w:t>SIMS Sub-contractors</w:t>
            </w:r>
          </w:p>
        </w:tc>
        <w:tc>
          <w:tcPr>
            <w:tcW w:w="1803" w:type="dxa"/>
          </w:tcPr>
          <w:p w14:paraId="49BB6298" w14:textId="77777777" w:rsidR="007960A8" w:rsidRDefault="00A26397">
            <w:pPr>
              <w:pBdr>
                <w:top w:val="nil"/>
                <w:left w:val="nil"/>
                <w:bottom w:val="nil"/>
                <w:right w:val="nil"/>
                <w:between w:val="nil"/>
              </w:pBdr>
              <w:spacing w:after="240"/>
              <w:rPr>
                <w:color w:val="000000"/>
              </w:rPr>
            </w:pPr>
            <w:r>
              <w:rPr>
                <w:color w:val="000000"/>
              </w:rPr>
              <w:t>Higher-risk Sub-contractors</w:t>
            </w:r>
          </w:p>
        </w:tc>
        <w:tc>
          <w:tcPr>
            <w:tcW w:w="1803" w:type="dxa"/>
          </w:tcPr>
          <w:p w14:paraId="34C23F68" w14:textId="77777777" w:rsidR="007960A8" w:rsidRDefault="00A26397">
            <w:pPr>
              <w:pBdr>
                <w:top w:val="nil"/>
                <w:left w:val="nil"/>
                <w:bottom w:val="nil"/>
                <w:right w:val="nil"/>
                <w:between w:val="nil"/>
              </w:pBdr>
              <w:spacing w:after="240"/>
              <w:rPr>
                <w:color w:val="000000"/>
              </w:rPr>
            </w:pPr>
            <w:r>
              <w:rPr>
                <w:color w:val="000000"/>
              </w:rPr>
              <w:t>Medium-risk Sub-contractors</w:t>
            </w:r>
          </w:p>
        </w:tc>
        <w:tc>
          <w:tcPr>
            <w:tcW w:w="1804" w:type="dxa"/>
          </w:tcPr>
          <w:p w14:paraId="1B07389F" w14:textId="77777777" w:rsidR="007960A8" w:rsidRDefault="00A26397">
            <w:pPr>
              <w:pBdr>
                <w:top w:val="nil"/>
                <w:left w:val="nil"/>
                <w:bottom w:val="nil"/>
                <w:right w:val="nil"/>
                <w:between w:val="nil"/>
              </w:pBdr>
              <w:spacing w:after="240"/>
              <w:rPr>
                <w:color w:val="000000"/>
              </w:rPr>
            </w:pPr>
            <w:r>
              <w:rPr>
                <w:color w:val="000000"/>
              </w:rPr>
              <w:t>Sub-contractors</w:t>
            </w:r>
          </w:p>
        </w:tc>
      </w:tr>
      <w:tr w:rsidR="007960A8" w14:paraId="698B4FDE" w14:textId="77777777">
        <w:tc>
          <w:tcPr>
            <w:tcW w:w="1803" w:type="dxa"/>
          </w:tcPr>
          <w:p w14:paraId="3CC346A7" w14:textId="77777777" w:rsidR="007960A8" w:rsidRDefault="00A26397">
            <w:pPr>
              <w:pBdr>
                <w:top w:val="nil"/>
                <w:left w:val="nil"/>
                <w:bottom w:val="nil"/>
                <w:right w:val="nil"/>
                <w:between w:val="nil"/>
              </w:pBdr>
              <w:spacing w:after="240"/>
              <w:rPr>
                <w:color w:val="000000"/>
              </w:rPr>
            </w:pPr>
            <w:r>
              <w:rPr>
                <w:color w:val="000000"/>
              </w:rPr>
              <w:t>Appendix 1 security requirements that do not apply</w:t>
            </w:r>
          </w:p>
        </w:tc>
        <w:tc>
          <w:tcPr>
            <w:tcW w:w="1803" w:type="dxa"/>
          </w:tcPr>
          <w:p w14:paraId="2A7A5A7F" w14:textId="77777777" w:rsidR="007960A8" w:rsidRDefault="007960A8">
            <w:pPr>
              <w:pBdr>
                <w:top w:val="nil"/>
                <w:left w:val="nil"/>
                <w:bottom w:val="nil"/>
                <w:right w:val="nil"/>
                <w:between w:val="nil"/>
              </w:pBdr>
              <w:spacing w:after="240"/>
              <w:rPr>
                <w:color w:val="000000"/>
              </w:rPr>
            </w:pPr>
          </w:p>
        </w:tc>
        <w:tc>
          <w:tcPr>
            <w:tcW w:w="1803" w:type="dxa"/>
          </w:tcPr>
          <w:p w14:paraId="32EE8E35" w14:textId="77777777" w:rsidR="007960A8" w:rsidRDefault="007960A8">
            <w:pPr>
              <w:pBdr>
                <w:top w:val="nil"/>
                <w:left w:val="nil"/>
                <w:bottom w:val="nil"/>
                <w:right w:val="nil"/>
                <w:between w:val="nil"/>
              </w:pBdr>
              <w:spacing w:after="240"/>
              <w:rPr>
                <w:color w:val="000000"/>
              </w:rPr>
            </w:pPr>
          </w:p>
        </w:tc>
        <w:tc>
          <w:tcPr>
            <w:tcW w:w="1803" w:type="dxa"/>
          </w:tcPr>
          <w:p w14:paraId="04D25974" w14:textId="77777777" w:rsidR="007960A8" w:rsidRDefault="007960A8">
            <w:pPr>
              <w:pBdr>
                <w:top w:val="nil"/>
                <w:left w:val="nil"/>
                <w:bottom w:val="nil"/>
                <w:right w:val="nil"/>
                <w:between w:val="nil"/>
              </w:pBdr>
              <w:spacing w:after="240"/>
              <w:rPr>
                <w:color w:val="000000"/>
              </w:rPr>
            </w:pPr>
          </w:p>
        </w:tc>
        <w:tc>
          <w:tcPr>
            <w:tcW w:w="1804" w:type="dxa"/>
          </w:tcPr>
          <w:p w14:paraId="14BE7496" w14:textId="77777777" w:rsidR="007960A8" w:rsidRDefault="007960A8">
            <w:pPr>
              <w:pBdr>
                <w:top w:val="nil"/>
                <w:left w:val="nil"/>
                <w:bottom w:val="nil"/>
                <w:right w:val="nil"/>
                <w:between w:val="nil"/>
              </w:pBdr>
              <w:spacing w:after="240"/>
              <w:rPr>
                <w:color w:val="000000"/>
              </w:rPr>
            </w:pPr>
          </w:p>
        </w:tc>
      </w:tr>
      <w:tr w:rsidR="007960A8" w14:paraId="6EA66591" w14:textId="77777777">
        <w:tc>
          <w:tcPr>
            <w:tcW w:w="1803" w:type="dxa"/>
          </w:tcPr>
          <w:p w14:paraId="2083EC64" w14:textId="77777777" w:rsidR="007960A8" w:rsidRDefault="00A26397">
            <w:pPr>
              <w:pBdr>
                <w:top w:val="nil"/>
                <w:left w:val="nil"/>
                <w:bottom w:val="nil"/>
                <w:right w:val="nil"/>
                <w:between w:val="nil"/>
              </w:pBdr>
              <w:spacing w:after="240"/>
              <w:rPr>
                <w:color w:val="000000"/>
              </w:rPr>
            </w:pPr>
            <w:r>
              <w:rPr>
                <w:color w:val="000000"/>
              </w:rPr>
              <w:t>Appendix 2 security requirements for Development Activity that do not apply</w:t>
            </w:r>
          </w:p>
        </w:tc>
        <w:tc>
          <w:tcPr>
            <w:tcW w:w="1803" w:type="dxa"/>
          </w:tcPr>
          <w:p w14:paraId="00106BA9" w14:textId="77777777" w:rsidR="007960A8" w:rsidRDefault="007960A8">
            <w:pPr>
              <w:pBdr>
                <w:top w:val="nil"/>
                <w:left w:val="nil"/>
                <w:bottom w:val="nil"/>
                <w:right w:val="nil"/>
                <w:between w:val="nil"/>
              </w:pBdr>
              <w:spacing w:after="240"/>
              <w:rPr>
                <w:color w:val="000000"/>
              </w:rPr>
            </w:pPr>
          </w:p>
        </w:tc>
        <w:tc>
          <w:tcPr>
            <w:tcW w:w="1803" w:type="dxa"/>
          </w:tcPr>
          <w:p w14:paraId="10FECFC5" w14:textId="77777777" w:rsidR="007960A8" w:rsidRDefault="007960A8">
            <w:pPr>
              <w:pBdr>
                <w:top w:val="nil"/>
                <w:left w:val="nil"/>
                <w:bottom w:val="nil"/>
                <w:right w:val="nil"/>
                <w:between w:val="nil"/>
              </w:pBdr>
              <w:spacing w:after="240"/>
              <w:rPr>
                <w:color w:val="000000"/>
              </w:rPr>
            </w:pPr>
          </w:p>
        </w:tc>
        <w:tc>
          <w:tcPr>
            <w:tcW w:w="1803" w:type="dxa"/>
          </w:tcPr>
          <w:p w14:paraId="1A7573D7" w14:textId="77777777" w:rsidR="007960A8" w:rsidRDefault="007960A8">
            <w:pPr>
              <w:pBdr>
                <w:top w:val="nil"/>
                <w:left w:val="nil"/>
                <w:bottom w:val="nil"/>
                <w:right w:val="nil"/>
                <w:between w:val="nil"/>
              </w:pBdr>
              <w:spacing w:after="240"/>
              <w:rPr>
                <w:color w:val="000000"/>
              </w:rPr>
            </w:pPr>
          </w:p>
        </w:tc>
        <w:tc>
          <w:tcPr>
            <w:tcW w:w="1804" w:type="dxa"/>
          </w:tcPr>
          <w:p w14:paraId="26E9B3E0" w14:textId="77777777" w:rsidR="007960A8" w:rsidRDefault="007960A8">
            <w:pPr>
              <w:pBdr>
                <w:top w:val="nil"/>
                <w:left w:val="nil"/>
                <w:bottom w:val="nil"/>
                <w:right w:val="nil"/>
                <w:between w:val="nil"/>
              </w:pBdr>
              <w:spacing w:after="240"/>
              <w:rPr>
                <w:color w:val="000000"/>
              </w:rPr>
            </w:pPr>
          </w:p>
        </w:tc>
      </w:tr>
    </w:tbl>
    <w:p w14:paraId="00936776" w14:textId="77777777" w:rsidR="007960A8" w:rsidRDefault="00A26397">
      <w:pPr>
        <w:keepNext/>
        <w:pageBreakBefore/>
        <w:widowControl/>
        <w:numPr>
          <w:ilvl w:val="0"/>
          <w:numId w:val="98"/>
        </w:numPr>
        <w:pBdr>
          <w:top w:val="nil"/>
          <w:left w:val="nil"/>
          <w:bottom w:val="nil"/>
          <w:right w:val="nil"/>
          <w:between w:val="nil"/>
        </w:pBdr>
        <w:tabs>
          <w:tab w:val="left" w:pos="2160"/>
        </w:tabs>
        <w:spacing w:after="240"/>
        <w:jc w:val="center"/>
      </w:pPr>
      <w:r>
        <w:rPr>
          <w:b/>
          <w:bCs/>
          <w:color w:val="000000"/>
          <w:sz w:val="28"/>
          <w:szCs w:val="28"/>
        </w:rPr>
        <w:t>Security Management Plan Template</w:t>
      </w:r>
    </w:p>
    <w:p w14:paraId="31F4D00B" w14:textId="77777777" w:rsidR="007960A8" w:rsidRDefault="00A26397">
      <w:pPr>
        <w:pBdr>
          <w:top w:val="nil"/>
          <w:left w:val="nil"/>
          <w:bottom w:val="nil"/>
          <w:right w:val="nil"/>
          <w:between w:val="nil"/>
        </w:pBdr>
        <w:rPr>
          <w:b/>
          <w:bCs/>
          <w:i/>
          <w:iCs/>
          <w:color w:val="000000"/>
        </w:rPr>
      </w:pPr>
      <w:r>
        <w:rPr>
          <w:b/>
          <w:bCs/>
          <w:i/>
          <w:iCs/>
          <w:color w:val="000000"/>
          <w:highlight w:val="yellow"/>
        </w:rPr>
        <w:t>[Client Guidance: Insert EITHER Security Management Plan template OR link to Guidance including Security Management Plan template AND insert any specific requirements you may have for the Security Management Plan here]</w:t>
      </w:r>
    </w:p>
    <w:p w14:paraId="17DDF5FD" w14:textId="77777777" w:rsidR="007960A8" w:rsidRDefault="007960A8">
      <w:pPr>
        <w:pBdr>
          <w:top w:val="nil"/>
          <w:left w:val="nil"/>
          <w:bottom w:val="nil"/>
          <w:right w:val="nil"/>
          <w:between w:val="nil"/>
        </w:pBdr>
        <w:rPr>
          <w:b/>
          <w:bCs/>
          <w:i/>
          <w:iCs/>
          <w:color w:val="000000"/>
        </w:rPr>
      </w:pPr>
    </w:p>
    <w:p w14:paraId="3932AE89" w14:textId="77777777" w:rsidR="007960A8" w:rsidRDefault="007960A8">
      <w:pPr>
        <w:pBdr>
          <w:top w:val="nil"/>
          <w:left w:val="nil"/>
          <w:bottom w:val="nil"/>
          <w:right w:val="nil"/>
          <w:between w:val="nil"/>
        </w:pBdr>
        <w:rPr>
          <w:b/>
          <w:bCs/>
          <w:i/>
          <w:iCs/>
          <w:color w:val="000000"/>
        </w:rPr>
        <w:sectPr w:rsidR="007960A8">
          <w:headerReference w:type="even" r:id="rId35"/>
          <w:headerReference w:type="default" r:id="rId36"/>
          <w:footerReference w:type="even" r:id="rId37"/>
          <w:footerReference w:type="default" r:id="rId38"/>
          <w:headerReference w:type="first" r:id="rId39"/>
          <w:footerReference w:type="first" r:id="rId40"/>
          <w:pgSz w:w="11910" w:h="16840"/>
          <w:pgMar w:top="1440" w:right="1440" w:bottom="1440" w:left="1440" w:header="706" w:footer="706" w:gutter="0"/>
          <w:cols w:space="720"/>
          <w:titlePg/>
        </w:sectPr>
      </w:pPr>
    </w:p>
    <w:p w14:paraId="685E81C4" w14:textId="77777777" w:rsidR="007960A8" w:rsidRDefault="00A26397">
      <w:pPr>
        <w:keepNext/>
        <w:pageBreakBefore/>
        <w:widowControl/>
        <w:numPr>
          <w:ilvl w:val="0"/>
          <w:numId w:val="98"/>
        </w:numPr>
        <w:pBdr>
          <w:top w:val="nil"/>
          <w:left w:val="nil"/>
          <w:bottom w:val="nil"/>
          <w:right w:val="nil"/>
          <w:between w:val="nil"/>
        </w:pBdr>
        <w:tabs>
          <w:tab w:val="left" w:pos="2160"/>
        </w:tabs>
        <w:spacing w:after="240"/>
        <w:jc w:val="center"/>
      </w:pPr>
      <w:r>
        <w:rPr>
          <w:b/>
          <w:bCs/>
          <w:color w:val="000000"/>
          <w:sz w:val="28"/>
          <w:szCs w:val="28"/>
        </w:rPr>
        <w:t>Secure by Design Principles Evaluation Table</w:t>
      </w:r>
    </w:p>
    <w:p w14:paraId="0CA52302" w14:textId="77777777" w:rsidR="007960A8" w:rsidRDefault="00A26397">
      <w:pPr>
        <w:widowControl/>
        <w:numPr>
          <w:ilvl w:val="1"/>
          <w:numId w:val="28"/>
        </w:numPr>
        <w:pBdr>
          <w:top w:val="nil"/>
          <w:left w:val="nil"/>
          <w:bottom w:val="nil"/>
          <w:right w:val="nil"/>
          <w:between w:val="nil"/>
        </w:pBdr>
        <w:spacing w:after="240"/>
        <w:jc w:val="both"/>
        <w:rPr>
          <w:b/>
          <w:bCs/>
          <w:color w:val="000000"/>
          <w:sz w:val="21"/>
          <w:szCs w:val="21"/>
        </w:rPr>
      </w:pPr>
      <w:r>
        <w:rPr>
          <w:b/>
          <w:bCs/>
          <w:color w:val="000000"/>
          <w:sz w:val="21"/>
          <w:szCs w:val="21"/>
        </w:rPr>
        <w:t>Completion of Principles Evaluation Table</w:t>
      </w:r>
    </w:p>
    <w:p w14:paraId="363CBF4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As part of the Security Management Plan, the Service Provider must complete the table in this Appendix 6 (Secure by Design Principles Evaluation Table), unless that requirement is waived by the Client.</w:t>
      </w:r>
    </w:p>
    <w:p w14:paraId="5383899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In completing this table, the Service Provider must se</w:t>
      </w:r>
      <w:r>
        <w:rPr>
          <w:color w:val="000000"/>
          <w:sz w:val="21"/>
          <w:szCs w:val="21"/>
        </w:rPr>
        <w:t>t out how it and any Sub-contractors will meet the Secure by Design Principles.</w:t>
      </w:r>
    </w:p>
    <w:tbl>
      <w:tblPr>
        <w:tblStyle w:val="af7"/>
        <w:tblW w:w="12137"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3402"/>
        <w:gridCol w:w="5475"/>
      </w:tblGrid>
      <w:tr w:rsidR="007960A8" w14:paraId="6E97FA0A" w14:textId="77777777">
        <w:trPr>
          <w:tblHeader/>
        </w:trPr>
        <w:tc>
          <w:tcPr>
            <w:tcW w:w="3260" w:type="dxa"/>
          </w:tcPr>
          <w:p w14:paraId="784274E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Secure by Design Principle</w:t>
            </w:r>
          </w:p>
        </w:tc>
        <w:tc>
          <w:tcPr>
            <w:tcW w:w="3402" w:type="dxa"/>
          </w:tcPr>
          <w:p w14:paraId="288B458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 xml:space="preserve">Requirements </w:t>
            </w:r>
          </w:p>
        </w:tc>
        <w:tc>
          <w:tcPr>
            <w:tcW w:w="5475" w:type="dxa"/>
          </w:tcPr>
          <w:p w14:paraId="01F6A80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How the Service Provider will meet the requirement</w:t>
            </w:r>
          </w:p>
        </w:tc>
      </w:tr>
      <w:tr w:rsidR="007960A8" w14:paraId="46EA7E6A" w14:textId="77777777">
        <w:trPr>
          <w:trHeight w:val="1645"/>
        </w:trPr>
        <w:tc>
          <w:tcPr>
            <w:tcW w:w="3260" w:type="dxa"/>
            <w:vMerge w:val="restart"/>
          </w:tcPr>
          <w:p w14:paraId="57603D0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1</w:t>
            </w:r>
          </w:p>
          <w:p w14:paraId="22114B5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Create responsibility for cyber security risk</w:t>
            </w:r>
          </w:p>
          <w:p w14:paraId="0C85469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Assign a designated risk owner to be accountable for managing cyber security risks for the service within the contract. This must be a senior stakeholder with the experience, knowledge and Client to lead on sec</w:t>
            </w:r>
            <w:r>
              <w:rPr>
                <w:color w:val="000000"/>
                <w:sz w:val="21"/>
                <w:szCs w:val="21"/>
              </w:rPr>
              <w:t>urity activities.</w:t>
            </w:r>
          </w:p>
        </w:tc>
        <w:tc>
          <w:tcPr>
            <w:tcW w:w="3402" w:type="dxa"/>
          </w:tcPr>
          <w:p w14:paraId="6FF1E8D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Service Provider designates a senior individual within their organisation who has overall accountability for ensuring the Secure by Design are met as part of the overall security requirements stated within the contract. </w:t>
            </w:r>
          </w:p>
        </w:tc>
        <w:tc>
          <w:tcPr>
            <w:tcW w:w="5475" w:type="dxa"/>
          </w:tcPr>
          <w:p w14:paraId="2E7E8614" w14:textId="77777777" w:rsidR="007960A8" w:rsidRDefault="007960A8">
            <w:pPr>
              <w:pBdr>
                <w:top w:val="nil"/>
                <w:left w:val="nil"/>
                <w:bottom w:val="nil"/>
                <w:right w:val="nil"/>
                <w:between w:val="nil"/>
              </w:pBdr>
              <w:spacing w:after="240"/>
              <w:rPr>
                <w:color w:val="000000"/>
                <w:sz w:val="21"/>
                <w:szCs w:val="21"/>
              </w:rPr>
            </w:pPr>
          </w:p>
        </w:tc>
      </w:tr>
      <w:tr w:rsidR="007960A8" w14:paraId="5A26E1F0" w14:textId="77777777">
        <w:tc>
          <w:tcPr>
            <w:tcW w:w="3260" w:type="dxa"/>
            <w:vMerge/>
          </w:tcPr>
          <w:p w14:paraId="2D00777C"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05F494C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designates a senior individual within the service provider delivery team - who will be reporting to the SRO, service owner or equivalent - with overall responsibility for the management of cyber security risks of digital services and t</w:t>
            </w:r>
            <w:r>
              <w:rPr>
                <w:color w:val="000000"/>
                <w:sz w:val="21"/>
                <w:szCs w:val="21"/>
              </w:rPr>
              <w:t>echnical infrastructure during their delivery.</w:t>
            </w:r>
          </w:p>
        </w:tc>
        <w:tc>
          <w:tcPr>
            <w:tcW w:w="5475" w:type="dxa"/>
          </w:tcPr>
          <w:p w14:paraId="12FB9F9C" w14:textId="77777777" w:rsidR="007960A8" w:rsidRDefault="007960A8">
            <w:pPr>
              <w:pBdr>
                <w:top w:val="nil"/>
                <w:left w:val="nil"/>
                <w:bottom w:val="nil"/>
                <w:right w:val="nil"/>
                <w:between w:val="nil"/>
              </w:pBdr>
              <w:spacing w:after="240"/>
              <w:rPr>
                <w:color w:val="000000"/>
                <w:sz w:val="21"/>
                <w:szCs w:val="21"/>
              </w:rPr>
            </w:pPr>
          </w:p>
        </w:tc>
      </w:tr>
      <w:tr w:rsidR="007960A8" w14:paraId="74AAADB5" w14:textId="77777777">
        <w:tc>
          <w:tcPr>
            <w:tcW w:w="3260" w:type="dxa"/>
            <w:vMerge/>
          </w:tcPr>
          <w:p w14:paraId="20B68BDB"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162017F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provides adequate and appropriately qualified resources to support the Client with following the government Secure by Design approach as part of service delivery.</w:t>
            </w:r>
          </w:p>
          <w:p w14:paraId="68443C8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These resources must be reviewed at the beginning of each of the deliver</w:t>
            </w:r>
            <w:r>
              <w:rPr>
                <w:color w:val="000000"/>
                <w:sz w:val="21"/>
                <w:szCs w:val="21"/>
              </w:rPr>
              <w:t>y phases during the delivery lifecycle of the service as agreed with the Client.</w:t>
            </w:r>
          </w:p>
        </w:tc>
        <w:tc>
          <w:tcPr>
            <w:tcW w:w="5475" w:type="dxa"/>
          </w:tcPr>
          <w:p w14:paraId="1CD363DC" w14:textId="77777777" w:rsidR="007960A8" w:rsidRDefault="007960A8">
            <w:pPr>
              <w:pBdr>
                <w:top w:val="nil"/>
                <w:left w:val="nil"/>
                <w:bottom w:val="nil"/>
                <w:right w:val="nil"/>
                <w:between w:val="nil"/>
              </w:pBdr>
              <w:spacing w:after="240"/>
              <w:rPr>
                <w:color w:val="000000"/>
                <w:sz w:val="21"/>
                <w:szCs w:val="21"/>
              </w:rPr>
            </w:pPr>
          </w:p>
        </w:tc>
      </w:tr>
      <w:tr w:rsidR="007960A8" w14:paraId="7B4BFE6F" w14:textId="77777777">
        <w:trPr>
          <w:trHeight w:val="2413"/>
        </w:trPr>
        <w:tc>
          <w:tcPr>
            <w:tcW w:w="3260" w:type="dxa"/>
            <w:vMerge w:val="restart"/>
          </w:tcPr>
          <w:p w14:paraId="52D7013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2</w:t>
            </w:r>
          </w:p>
          <w:p w14:paraId="1D55D28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Source secure technology products</w:t>
            </w:r>
          </w:p>
          <w:p w14:paraId="007A461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Where third-party products are used, perform security due diligence by continually assessing platforms, software and code for security vulnerabilities. Mitigate risks and share findings with suppliers to help them improve product security.</w:t>
            </w:r>
          </w:p>
        </w:tc>
        <w:tc>
          <w:tcPr>
            <w:tcW w:w="3402" w:type="dxa"/>
          </w:tcPr>
          <w:p w14:paraId="6DDF609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w:t>
            </w:r>
            <w:r>
              <w:rPr>
                <w:color w:val="000000"/>
                <w:sz w:val="21"/>
                <w:szCs w:val="21"/>
              </w:rPr>
              <w:t>ider carries out proportionate (risk-driven) security reviews of third-party products before they are considered as a component of the digital service. The type and details of the review should be based on the significance associated with the product and a</w:t>
            </w:r>
            <w:r>
              <w:rPr>
                <w:color w:val="000000"/>
                <w:sz w:val="21"/>
                <w:szCs w:val="21"/>
              </w:rPr>
              <w:t>re subject to agreement with the Client.</w:t>
            </w:r>
          </w:p>
        </w:tc>
        <w:tc>
          <w:tcPr>
            <w:tcW w:w="5475" w:type="dxa"/>
          </w:tcPr>
          <w:p w14:paraId="2D88FC83" w14:textId="77777777" w:rsidR="007960A8" w:rsidRDefault="007960A8">
            <w:pPr>
              <w:pBdr>
                <w:top w:val="nil"/>
                <w:left w:val="nil"/>
                <w:bottom w:val="nil"/>
                <w:right w:val="nil"/>
                <w:between w:val="nil"/>
              </w:pBdr>
              <w:spacing w:after="240"/>
              <w:rPr>
                <w:color w:val="000000"/>
                <w:sz w:val="21"/>
                <w:szCs w:val="21"/>
              </w:rPr>
            </w:pPr>
          </w:p>
        </w:tc>
      </w:tr>
      <w:tr w:rsidR="007960A8" w14:paraId="164B8102" w14:textId="77777777">
        <w:tc>
          <w:tcPr>
            <w:tcW w:w="3260" w:type="dxa"/>
            <w:vMerge/>
          </w:tcPr>
          <w:p w14:paraId="2D6CE827"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4612F58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takes reasonable steps to reduce potential cyber security risks associated with using a third-party product as part of the service to a level that meets the Client’s security risk appetite fo</w:t>
            </w:r>
            <w:r>
              <w:rPr>
                <w:color w:val="000000"/>
                <w:sz w:val="21"/>
                <w:szCs w:val="21"/>
              </w:rPr>
              <w:t>r the service. Where the risk cannot be mitigated to such level, the Client should be informed and asked to accept the risk associated with using the product.</w:t>
            </w:r>
          </w:p>
        </w:tc>
        <w:tc>
          <w:tcPr>
            <w:tcW w:w="5475" w:type="dxa"/>
          </w:tcPr>
          <w:p w14:paraId="60617828" w14:textId="77777777" w:rsidR="007960A8" w:rsidRDefault="007960A8">
            <w:pPr>
              <w:pBdr>
                <w:top w:val="nil"/>
                <w:left w:val="nil"/>
                <w:bottom w:val="nil"/>
                <w:right w:val="nil"/>
                <w:between w:val="nil"/>
              </w:pBdr>
              <w:spacing w:after="240"/>
              <w:rPr>
                <w:color w:val="000000"/>
                <w:sz w:val="21"/>
                <w:szCs w:val="21"/>
              </w:rPr>
            </w:pPr>
          </w:p>
        </w:tc>
      </w:tr>
      <w:tr w:rsidR="007960A8" w14:paraId="10FC092D" w14:textId="77777777">
        <w:tc>
          <w:tcPr>
            <w:tcW w:w="3260" w:type="dxa"/>
            <w:vMerge/>
          </w:tcPr>
          <w:p w14:paraId="69A0E179"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5BF6BE3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takes reasonable steps to assess third-party products used as a component of the digital service against legal and regulatory obligations and industry security standards specified by the Client. Where the product doesn’t meet the requi</w:t>
            </w:r>
            <w:r>
              <w:rPr>
                <w:color w:val="000000"/>
                <w:sz w:val="21"/>
                <w:szCs w:val="21"/>
              </w:rPr>
              <w:t>red obligations, the Service Provider must discuss with the Client the residual risks associated with using the product.</w:t>
            </w:r>
          </w:p>
        </w:tc>
        <w:tc>
          <w:tcPr>
            <w:tcW w:w="5475" w:type="dxa"/>
          </w:tcPr>
          <w:p w14:paraId="23EB3279" w14:textId="77777777" w:rsidR="007960A8" w:rsidRDefault="007960A8">
            <w:pPr>
              <w:pBdr>
                <w:top w:val="nil"/>
                <w:left w:val="nil"/>
                <w:bottom w:val="nil"/>
                <w:right w:val="nil"/>
                <w:between w:val="nil"/>
              </w:pBdr>
              <w:spacing w:after="240"/>
              <w:rPr>
                <w:color w:val="000000"/>
                <w:sz w:val="21"/>
                <w:szCs w:val="21"/>
              </w:rPr>
            </w:pPr>
          </w:p>
        </w:tc>
      </w:tr>
      <w:tr w:rsidR="007960A8" w14:paraId="19BD71D2" w14:textId="77777777">
        <w:trPr>
          <w:trHeight w:val="1124"/>
        </w:trPr>
        <w:tc>
          <w:tcPr>
            <w:tcW w:w="3260" w:type="dxa"/>
            <w:vMerge w:val="restart"/>
          </w:tcPr>
          <w:p w14:paraId="2FF8C62F"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3</w:t>
            </w:r>
          </w:p>
          <w:p w14:paraId="75D7D3C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Adopt a risk-driven approach</w:t>
            </w:r>
          </w:p>
          <w:p w14:paraId="73E5AB2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Establish the project’s risk appetite and maintain an assessment of cyber security risks to </w:t>
            </w:r>
            <w:r>
              <w:rPr>
                <w:color w:val="000000"/>
                <w:sz w:val="21"/>
                <w:szCs w:val="21"/>
              </w:rPr>
              <w:t>build protections appropriate to the evolving threat landscape.</w:t>
            </w:r>
          </w:p>
        </w:tc>
        <w:tc>
          <w:tcPr>
            <w:tcW w:w="3402" w:type="dxa"/>
          </w:tcPr>
          <w:p w14:paraId="4CE2DF7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provided by the Client, the Service Provider should share the risk appetite across the service provider's delivery team from the outset.</w:t>
            </w:r>
          </w:p>
        </w:tc>
        <w:tc>
          <w:tcPr>
            <w:tcW w:w="5475" w:type="dxa"/>
          </w:tcPr>
          <w:p w14:paraId="36A2AC6C" w14:textId="77777777" w:rsidR="007960A8" w:rsidRDefault="007960A8">
            <w:pPr>
              <w:pBdr>
                <w:top w:val="nil"/>
                <w:left w:val="nil"/>
                <w:bottom w:val="nil"/>
                <w:right w:val="nil"/>
                <w:between w:val="nil"/>
              </w:pBdr>
              <w:spacing w:after="240"/>
              <w:rPr>
                <w:color w:val="000000"/>
                <w:sz w:val="21"/>
                <w:szCs w:val="21"/>
              </w:rPr>
            </w:pPr>
          </w:p>
        </w:tc>
      </w:tr>
      <w:tr w:rsidR="007960A8" w14:paraId="31006261" w14:textId="77777777">
        <w:tc>
          <w:tcPr>
            <w:tcW w:w="3260" w:type="dxa"/>
            <w:vMerge/>
          </w:tcPr>
          <w:p w14:paraId="13C43CD0"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6A5DC1E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supports the Client with identifying the cyber threats and attack paths as part of ongoing threat modelling during digital service delivery.</w:t>
            </w:r>
          </w:p>
        </w:tc>
        <w:tc>
          <w:tcPr>
            <w:tcW w:w="5475" w:type="dxa"/>
          </w:tcPr>
          <w:p w14:paraId="29E428DD" w14:textId="77777777" w:rsidR="007960A8" w:rsidRDefault="007960A8">
            <w:pPr>
              <w:pBdr>
                <w:top w:val="nil"/>
                <w:left w:val="nil"/>
                <w:bottom w:val="nil"/>
                <w:right w:val="nil"/>
                <w:between w:val="nil"/>
              </w:pBdr>
              <w:spacing w:after="240"/>
              <w:rPr>
                <w:color w:val="000000"/>
                <w:sz w:val="21"/>
                <w:szCs w:val="21"/>
              </w:rPr>
            </w:pPr>
          </w:p>
        </w:tc>
      </w:tr>
      <w:tr w:rsidR="007960A8" w14:paraId="081450C7" w14:textId="77777777">
        <w:tc>
          <w:tcPr>
            <w:tcW w:w="3260" w:type="dxa"/>
            <w:vMerge/>
          </w:tcPr>
          <w:p w14:paraId="76CAF0A3"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627E8F6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Service Provider supports the Client with assessing cyber security risks and providing risk analysis details to help risk owners make informed risk decisions. </w:t>
            </w:r>
          </w:p>
          <w:p w14:paraId="2C505BB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During the assessment, risks to the digital service are identified, analysed, prioritised, a</w:t>
            </w:r>
            <w:r>
              <w:rPr>
                <w:color w:val="000000"/>
                <w:sz w:val="21"/>
                <w:szCs w:val="21"/>
              </w:rPr>
              <w:t>nd appropriate mitigation is proposed taking into account the risk appetite during the lifecycle of the service.</w:t>
            </w:r>
          </w:p>
        </w:tc>
        <w:tc>
          <w:tcPr>
            <w:tcW w:w="5475" w:type="dxa"/>
          </w:tcPr>
          <w:p w14:paraId="21DBCB55" w14:textId="77777777" w:rsidR="007960A8" w:rsidRDefault="007960A8">
            <w:pPr>
              <w:pBdr>
                <w:top w:val="nil"/>
                <w:left w:val="nil"/>
                <w:bottom w:val="nil"/>
                <w:right w:val="nil"/>
                <w:between w:val="nil"/>
              </w:pBdr>
              <w:spacing w:after="240"/>
              <w:rPr>
                <w:color w:val="000000"/>
                <w:sz w:val="21"/>
                <w:szCs w:val="21"/>
              </w:rPr>
            </w:pPr>
          </w:p>
        </w:tc>
      </w:tr>
      <w:tr w:rsidR="007960A8" w14:paraId="04F3CB91" w14:textId="77777777">
        <w:tc>
          <w:tcPr>
            <w:tcW w:w="3260" w:type="dxa"/>
            <w:vMerge/>
          </w:tcPr>
          <w:p w14:paraId="0E6B8E0E"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4F35658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produces an output from the risk management process containing a clear set of security requirements that will reduce th</w:t>
            </w:r>
            <w:r>
              <w:rPr>
                <w:color w:val="000000"/>
                <w:sz w:val="21"/>
                <w:szCs w:val="21"/>
              </w:rPr>
              <w:t>e risks in line with the agreed risk appetite and cyber security risk management approach.</w:t>
            </w:r>
          </w:p>
        </w:tc>
        <w:tc>
          <w:tcPr>
            <w:tcW w:w="5475" w:type="dxa"/>
          </w:tcPr>
          <w:p w14:paraId="4E85FAD0" w14:textId="77777777" w:rsidR="007960A8" w:rsidRDefault="007960A8">
            <w:pPr>
              <w:pBdr>
                <w:top w:val="nil"/>
                <w:left w:val="nil"/>
                <w:bottom w:val="nil"/>
                <w:right w:val="nil"/>
                <w:between w:val="nil"/>
              </w:pBdr>
              <w:spacing w:after="240"/>
              <w:rPr>
                <w:color w:val="000000"/>
                <w:sz w:val="21"/>
                <w:szCs w:val="21"/>
              </w:rPr>
            </w:pPr>
          </w:p>
        </w:tc>
      </w:tr>
      <w:tr w:rsidR="007960A8" w14:paraId="782CAE7C" w14:textId="77777777">
        <w:tc>
          <w:tcPr>
            <w:tcW w:w="3260" w:type="dxa"/>
            <w:vMerge/>
          </w:tcPr>
          <w:p w14:paraId="17D53087"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68B35D0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factors in the legal and regulatory requirements provided by the Client in the risk management process and service design and build.</w:t>
            </w:r>
          </w:p>
        </w:tc>
        <w:tc>
          <w:tcPr>
            <w:tcW w:w="5475" w:type="dxa"/>
          </w:tcPr>
          <w:p w14:paraId="44046893" w14:textId="77777777" w:rsidR="007960A8" w:rsidRDefault="007960A8">
            <w:pPr>
              <w:pBdr>
                <w:top w:val="nil"/>
                <w:left w:val="nil"/>
                <w:bottom w:val="nil"/>
                <w:right w:val="nil"/>
                <w:between w:val="nil"/>
              </w:pBdr>
              <w:spacing w:after="240"/>
              <w:rPr>
                <w:color w:val="000000"/>
                <w:sz w:val="21"/>
                <w:szCs w:val="21"/>
              </w:rPr>
            </w:pPr>
          </w:p>
        </w:tc>
      </w:tr>
      <w:tr w:rsidR="007960A8" w14:paraId="2E947A1D" w14:textId="77777777">
        <w:trPr>
          <w:trHeight w:val="1689"/>
        </w:trPr>
        <w:tc>
          <w:tcPr>
            <w:tcW w:w="3260" w:type="dxa"/>
            <w:vMerge w:val="restart"/>
          </w:tcPr>
          <w:p w14:paraId="652EB82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4</w:t>
            </w:r>
          </w:p>
          <w:p w14:paraId="4C5B28E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Design usable security controls</w:t>
            </w:r>
          </w:p>
          <w:p w14:paraId="603CE80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Perform regular user research and implement findings into service design to make sure security processes are fit for purpose and easy to understand.</w:t>
            </w:r>
          </w:p>
        </w:tc>
        <w:tc>
          <w:tcPr>
            <w:tcW w:w="3402" w:type="dxa"/>
          </w:tcPr>
          <w:p w14:paraId="1B9D502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ensures that security requirements that are defined and documented as part of user res</w:t>
            </w:r>
            <w:r>
              <w:rPr>
                <w:color w:val="000000"/>
                <w:sz w:val="21"/>
                <w:szCs w:val="21"/>
              </w:rPr>
              <w:t>earch activities (for example user stories and user journeys) are fed into the design of the digital service.</w:t>
            </w:r>
          </w:p>
        </w:tc>
        <w:tc>
          <w:tcPr>
            <w:tcW w:w="5475" w:type="dxa"/>
          </w:tcPr>
          <w:p w14:paraId="7D1876DA" w14:textId="77777777" w:rsidR="007960A8" w:rsidRDefault="007960A8">
            <w:pPr>
              <w:pBdr>
                <w:top w:val="nil"/>
                <w:left w:val="nil"/>
                <w:bottom w:val="nil"/>
                <w:right w:val="nil"/>
                <w:between w:val="nil"/>
              </w:pBdr>
              <w:spacing w:after="240"/>
              <w:rPr>
                <w:color w:val="000000"/>
                <w:sz w:val="21"/>
                <w:szCs w:val="21"/>
              </w:rPr>
            </w:pPr>
          </w:p>
        </w:tc>
      </w:tr>
      <w:tr w:rsidR="007960A8" w14:paraId="15C135E7" w14:textId="77777777">
        <w:tc>
          <w:tcPr>
            <w:tcW w:w="3260" w:type="dxa"/>
            <w:vMerge/>
          </w:tcPr>
          <w:p w14:paraId="111D7A30"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32E53A2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ensures that business objectives informing security requirements listed in the business case for the digital service are t</w:t>
            </w:r>
            <w:r>
              <w:rPr>
                <w:color w:val="000000"/>
                <w:sz w:val="21"/>
                <w:szCs w:val="21"/>
              </w:rPr>
              <w:t>aken into consideration when designing security controls.</w:t>
            </w:r>
          </w:p>
        </w:tc>
        <w:tc>
          <w:tcPr>
            <w:tcW w:w="5475" w:type="dxa"/>
          </w:tcPr>
          <w:p w14:paraId="1EF41B1F" w14:textId="77777777" w:rsidR="007960A8" w:rsidRDefault="007960A8">
            <w:pPr>
              <w:pBdr>
                <w:top w:val="nil"/>
                <w:left w:val="nil"/>
                <w:bottom w:val="nil"/>
                <w:right w:val="nil"/>
                <w:between w:val="nil"/>
              </w:pBdr>
              <w:spacing w:after="240"/>
              <w:rPr>
                <w:color w:val="000000"/>
                <w:sz w:val="21"/>
                <w:szCs w:val="21"/>
              </w:rPr>
            </w:pPr>
          </w:p>
        </w:tc>
      </w:tr>
      <w:tr w:rsidR="007960A8" w14:paraId="5B7C56E5" w14:textId="77777777">
        <w:trPr>
          <w:trHeight w:val="1966"/>
        </w:trPr>
        <w:tc>
          <w:tcPr>
            <w:tcW w:w="3260" w:type="dxa"/>
            <w:vMerge w:val="restart"/>
          </w:tcPr>
          <w:p w14:paraId="303D96E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5</w:t>
            </w:r>
          </w:p>
          <w:p w14:paraId="45D2769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Build in detect and respond security</w:t>
            </w:r>
          </w:p>
          <w:p w14:paraId="361CE09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Design for the inevitability of security vulnerabilities and incidents. Integrate appropriate security logging, monitoring, alerting and response capabilities. These must be continually tested and iterated.</w:t>
            </w:r>
          </w:p>
        </w:tc>
        <w:tc>
          <w:tcPr>
            <w:tcW w:w="3402" w:type="dxa"/>
          </w:tcPr>
          <w:p w14:paraId="0CE1CBB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w:t>
            </w:r>
            <w:r>
              <w:rPr>
                <w:color w:val="000000"/>
                <w:sz w:val="21"/>
                <w:szCs w:val="21"/>
              </w:rPr>
              <w:t xml:space="preserve"> digital service ensures that proportionate security logging, monitoring and alerting mechanisms able to discover cyber security events and vulnerabilities documented in the threat and risk assessment are designed into the service.</w:t>
            </w:r>
          </w:p>
        </w:tc>
        <w:tc>
          <w:tcPr>
            <w:tcW w:w="5475" w:type="dxa"/>
          </w:tcPr>
          <w:p w14:paraId="4D51F04B" w14:textId="77777777" w:rsidR="007960A8" w:rsidRDefault="007960A8">
            <w:pPr>
              <w:pBdr>
                <w:top w:val="nil"/>
                <w:left w:val="nil"/>
                <w:bottom w:val="nil"/>
                <w:right w:val="nil"/>
                <w:between w:val="nil"/>
              </w:pBdr>
              <w:spacing w:after="240"/>
              <w:rPr>
                <w:color w:val="000000"/>
                <w:sz w:val="21"/>
                <w:szCs w:val="21"/>
              </w:rPr>
            </w:pPr>
          </w:p>
        </w:tc>
      </w:tr>
      <w:tr w:rsidR="007960A8" w14:paraId="45B5B484" w14:textId="77777777">
        <w:tc>
          <w:tcPr>
            <w:tcW w:w="3260" w:type="dxa"/>
            <w:vMerge/>
          </w:tcPr>
          <w:p w14:paraId="4C1E6D60"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4656E21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 digital service integrates incident response and recovery capabilities that are in line with the requirements and timescales documented in the service resilience or similar documentation.</w:t>
            </w:r>
          </w:p>
        </w:tc>
        <w:tc>
          <w:tcPr>
            <w:tcW w:w="5475" w:type="dxa"/>
          </w:tcPr>
          <w:p w14:paraId="0E2BE9D1" w14:textId="77777777" w:rsidR="007960A8" w:rsidRDefault="007960A8">
            <w:pPr>
              <w:pBdr>
                <w:top w:val="nil"/>
                <w:left w:val="nil"/>
                <w:bottom w:val="nil"/>
                <w:right w:val="nil"/>
                <w:between w:val="nil"/>
              </w:pBdr>
              <w:spacing w:after="240"/>
              <w:rPr>
                <w:color w:val="000000"/>
                <w:sz w:val="21"/>
                <w:szCs w:val="21"/>
              </w:rPr>
            </w:pPr>
          </w:p>
        </w:tc>
      </w:tr>
      <w:tr w:rsidR="007960A8" w14:paraId="486570AD" w14:textId="77777777">
        <w:tc>
          <w:tcPr>
            <w:tcW w:w="3260" w:type="dxa"/>
            <w:vMerge/>
          </w:tcPr>
          <w:p w14:paraId="66DB11A1"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7D4039F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w:t>
            </w:r>
            <w:r>
              <w:rPr>
                <w:color w:val="000000"/>
                <w:sz w:val="21"/>
                <w:szCs w:val="21"/>
              </w:rPr>
              <w:t>vider responsible for building the digital service regularly tests digital services and infrastructure to identify and fix weaknesses within systems.</w:t>
            </w:r>
          </w:p>
        </w:tc>
        <w:tc>
          <w:tcPr>
            <w:tcW w:w="5475" w:type="dxa"/>
          </w:tcPr>
          <w:p w14:paraId="23FD52FD" w14:textId="77777777" w:rsidR="007960A8" w:rsidRDefault="007960A8">
            <w:pPr>
              <w:pBdr>
                <w:top w:val="nil"/>
                <w:left w:val="nil"/>
                <w:bottom w:val="nil"/>
                <w:right w:val="nil"/>
                <w:between w:val="nil"/>
              </w:pBdr>
              <w:spacing w:after="240"/>
              <w:rPr>
                <w:color w:val="000000"/>
                <w:sz w:val="21"/>
                <w:szCs w:val="21"/>
              </w:rPr>
            </w:pPr>
          </w:p>
        </w:tc>
      </w:tr>
      <w:tr w:rsidR="007960A8" w14:paraId="5D82F444" w14:textId="77777777">
        <w:trPr>
          <w:trHeight w:val="1691"/>
        </w:trPr>
        <w:tc>
          <w:tcPr>
            <w:tcW w:w="3260" w:type="dxa"/>
            <w:vMerge w:val="restart"/>
          </w:tcPr>
          <w:p w14:paraId="76A0829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6</w:t>
            </w:r>
          </w:p>
          <w:p w14:paraId="06BF1B0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Design flexible architectures</w:t>
            </w:r>
          </w:p>
          <w:p w14:paraId="6C7D71C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Implement digital services and update legacy components to allow for easier integration of new security controls in response to changes in business requirements, cyber threats and vulnerabilities.</w:t>
            </w:r>
          </w:p>
        </w:tc>
        <w:tc>
          <w:tcPr>
            <w:tcW w:w="3402" w:type="dxa"/>
          </w:tcPr>
          <w:p w14:paraId="2381BD2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agreed with the Client, the Service Provider responsible</w:t>
            </w:r>
            <w:r>
              <w:rPr>
                <w:color w:val="000000"/>
                <w:sz w:val="21"/>
                <w:szCs w:val="21"/>
              </w:rPr>
              <w:t xml:space="preserve"> for building the digital service uses flexible architectures and components that allow integration of new security measures in response to changes in business requirements, cyber threats and vulnerabilities.</w:t>
            </w:r>
          </w:p>
        </w:tc>
        <w:tc>
          <w:tcPr>
            <w:tcW w:w="5475" w:type="dxa"/>
          </w:tcPr>
          <w:p w14:paraId="434231F2" w14:textId="77777777" w:rsidR="007960A8" w:rsidRDefault="007960A8">
            <w:pPr>
              <w:pBdr>
                <w:top w:val="nil"/>
                <w:left w:val="nil"/>
                <w:bottom w:val="nil"/>
                <w:right w:val="nil"/>
                <w:between w:val="nil"/>
              </w:pBdr>
              <w:spacing w:after="240"/>
              <w:rPr>
                <w:color w:val="000000"/>
                <w:sz w:val="21"/>
                <w:szCs w:val="21"/>
              </w:rPr>
            </w:pPr>
          </w:p>
        </w:tc>
      </w:tr>
      <w:tr w:rsidR="007960A8" w14:paraId="3F147521" w14:textId="77777777">
        <w:tc>
          <w:tcPr>
            <w:tcW w:w="3260" w:type="dxa"/>
            <w:vMerge/>
          </w:tcPr>
          <w:p w14:paraId="03E1CF5D"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08DCE38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 digital service tests security controls and verifying they are fit for purpose before deployment.</w:t>
            </w:r>
          </w:p>
        </w:tc>
        <w:tc>
          <w:tcPr>
            <w:tcW w:w="5475" w:type="dxa"/>
          </w:tcPr>
          <w:p w14:paraId="1D116320" w14:textId="77777777" w:rsidR="007960A8" w:rsidRDefault="007960A8">
            <w:pPr>
              <w:pBdr>
                <w:top w:val="nil"/>
                <w:left w:val="nil"/>
                <w:bottom w:val="nil"/>
                <w:right w:val="nil"/>
                <w:between w:val="nil"/>
              </w:pBdr>
              <w:spacing w:after="240"/>
              <w:rPr>
                <w:color w:val="000000"/>
                <w:sz w:val="21"/>
                <w:szCs w:val="21"/>
              </w:rPr>
            </w:pPr>
          </w:p>
        </w:tc>
      </w:tr>
      <w:tr w:rsidR="007960A8" w14:paraId="3685388A" w14:textId="77777777">
        <w:trPr>
          <w:trHeight w:val="1098"/>
        </w:trPr>
        <w:tc>
          <w:tcPr>
            <w:tcW w:w="3260" w:type="dxa"/>
            <w:vMerge w:val="restart"/>
          </w:tcPr>
          <w:p w14:paraId="0EDE36C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7</w:t>
            </w:r>
          </w:p>
          <w:p w14:paraId="7DE918B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Minimise the attack surface</w:t>
            </w:r>
          </w:p>
          <w:p w14:paraId="7265C77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Use only the capabilities, software, data and hardware components necessary for a service to mitigate cyber security risks while achieving its intended use.</w:t>
            </w:r>
          </w:p>
        </w:tc>
        <w:tc>
          <w:tcPr>
            <w:tcW w:w="3402" w:type="dxa"/>
            <w:tcBorders>
              <w:bottom w:val="single" w:sz="4" w:space="0" w:color="000000"/>
            </w:tcBorders>
          </w:tcPr>
          <w:p w14:paraId="45A2403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 digital service implements risk-driven security c</w:t>
            </w:r>
            <w:r>
              <w:rPr>
                <w:color w:val="000000"/>
                <w:sz w:val="21"/>
                <w:szCs w:val="21"/>
              </w:rPr>
              <w:t>ontrols which meet the risk appetite and appropriate baseline as agreed with the Client.</w:t>
            </w:r>
          </w:p>
        </w:tc>
        <w:tc>
          <w:tcPr>
            <w:tcW w:w="5475" w:type="dxa"/>
            <w:tcBorders>
              <w:bottom w:val="single" w:sz="4" w:space="0" w:color="000000"/>
            </w:tcBorders>
          </w:tcPr>
          <w:p w14:paraId="7C85DD3C" w14:textId="77777777" w:rsidR="007960A8" w:rsidRDefault="007960A8">
            <w:pPr>
              <w:pBdr>
                <w:top w:val="nil"/>
                <w:left w:val="nil"/>
                <w:bottom w:val="nil"/>
                <w:right w:val="nil"/>
                <w:between w:val="nil"/>
              </w:pBdr>
              <w:spacing w:after="240"/>
              <w:rPr>
                <w:color w:val="000000"/>
                <w:sz w:val="21"/>
                <w:szCs w:val="21"/>
              </w:rPr>
            </w:pPr>
          </w:p>
        </w:tc>
      </w:tr>
      <w:tr w:rsidR="007960A8" w14:paraId="2A0A87E4" w14:textId="77777777">
        <w:tc>
          <w:tcPr>
            <w:tcW w:w="3260" w:type="dxa"/>
            <w:vMerge/>
          </w:tcPr>
          <w:p w14:paraId="2FD6D5C8"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5FD436B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 digital service follows secure coding practices and, with consultation with the Client’s delivery team, identifies and mitigates vulnerabilities proactively reducing the number of vulnerabilities that poten</w:t>
            </w:r>
            <w:r>
              <w:rPr>
                <w:color w:val="000000"/>
                <w:sz w:val="21"/>
                <w:szCs w:val="21"/>
              </w:rPr>
              <w:t>tial attackers can exploit.</w:t>
            </w:r>
          </w:p>
        </w:tc>
        <w:tc>
          <w:tcPr>
            <w:tcW w:w="5475" w:type="dxa"/>
          </w:tcPr>
          <w:p w14:paraId="6B43FB3F" w14:textId="77777777" w:rsidR="007960A8" w:rsidRDefault="007960A8">
            <w:pPr>
              <w:pBdr>
                <w:top w:val="nil"/>
                <w:left w:val="nil"/>
                <w:bottom w:val="nil"/>
                <w:right w:val="nil"/>
                <w:between w:val="nil"/>
              </w:pBdr>
              <w:spacing w:after="240"/>
              <w:rPr>
                <w:color w:val="000000"/>
                <w:sz w:val="21"/>
                <w:szCs w:val="21"/>
              </w:rPr>
            </w:pPr>
          </w:p>
        </w:tc>
      </w:tr>
      <w:tr w:rsidR="007960A8" w14:paraId="12E0461C" w14:textId="77777777">
        <w:tc>
          <w:tcPr>
            <w:tcW w:w="3260" w:type="dxa"/>
            <w:vMerge/>
          </w:tcPr>
          <w:p w14:paraId="710BEDCC"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71AE9F3F"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retires service components (including data) securely when they are no longer needed, or at the end of their lifecycle.</w:t>
            </w:r>
          </w:p>
        </w:tc>
        <w:tc>
          <w:tcPr>
            <w:tcW w:w="5475" w:type="dxa"/>
          </w:tcPr>
          <w:p w14:paraId="532022B4" w14:textId="77777777" w:rsidR="007960A8" w:rsidRDefault="007960A8">
            <w:pPr>
              <w:pBdr>
                <w:top w:val="nil"/>
                <w:left w:val="nil"/>
                <w:bottom w:val="nil"/>
                <w:right w:val="nil"/>
                <w:between w:val="nil"/>
              </w:pBdr>
              <w:spacing w:after="240"/>
              <w:rPr>
                <w:color w:val="000000"/>
                <w:sz w:val="21"/>
                <w:szCs w:val="21"/>
              </w:rPr>
            </w:pPr>
          </w:p>
        </w:tc>
      </w:tr>
      <w:tr w:rsidR="007960A8" w14:paraId="4B079649" w14:textId="77777777">
        <w:trPr>
          <w:trHeight w:val="1125"/>
        </w:trPr>
        <w:tc>
          <w:tcPr>
            <w:tcW w:w="3260" w:type="dxa"/>
            <w:vMerge w:val="restart"/>
          </w:tcPr>
          <w:p w14:paraId="40EE572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Principle 8</w:t>
            </w:r>
          </w:p>
          <w:p w14:paraId="1292F2E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Defend in depth</w:t>
            </w:r>
          </w:p>
          <w:p w14:paraId="2A7D391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Create layered controls across a service so it’s harder for attackers to fully comprom</w:t>
            </w:r>
            <w:r>
              <w:rPr>
                <w:color w:val="000000"/>
                <w:sz w:val="21"/>
                <w:szCs w:val="21"/>
              </w:rPr>
              <w:t>ise the system if a single control fails or is overcome.</w:t>
            </w:r>
          </w:p>
        </w:tc>
        <w:tc>
          <w:tcPr>
            <w:tcW w:w="3402" w:type="dxa"/>
          </w:tcPr>
          <w:p w14:paraId="2103476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Service Provider responsible for building the digital service adopts a defence in depth approach when designing the security architecture for the digital service.</w:t>
            </w:r>
          </w:p>
        </w:tc>
        <w:tc>
          <w:tcPr>
            <w:tcW w:w="5475" w:type="dxa"/>
          </w:tcPr>
          <w:p w14:paraId="15D5ED91" w14:textId="77777777" w:rsidR="007960A8" w:rsidRDefault="007960A8">
            <w:pPr>
              <w:pBdr>
                <w:top w:val="nil"/>
                <w:left w:val="nil"/>
                <w:bottom w:val="nil"/>
                <w:right w:val="nil"/>
                <w:between w:val="nil"/>
              </w:pBdr>
              <w:spacing w:after="240"/>
              <w:rPr>
                <w:color w:val="000000"/>
                <w:sz w:val="21"/>
                <w:szCs w:val="21"/>
              </w:rPr>
            </w:pPr>
          </w:p>
        </w:tc>
      </w:tr>
      <w:tr w:rsidR="007960A8" w14:paraId="442726F2" w14:textId="77777777">
        <w:tc>
          <w:tcPr>
            <w:tcW w:w="3260" w:type="dxa"/>
            <w:vMerge/>
          </w:tcPr>
          <w:p w14:paraId="7D1D5AB6" w14:textId="77777777" w:rsidR="007960A8" w:rsidRDefault="007960A8">
            <w:pPr>
              <w:pBdr>
                <w:top w:val="nil"/>
                <w:left w:val="nil"/>
                <w:bottom w:val="nil"/>
                <w:right w:val="nil"/>
                <w:between w:val="nil"/>
              </w:pBdr>
              <w:spacing w:line="276" w:lineRule="auto"/>
              <w:rPr>
                <w:color w:val="000000"/>
                <w:sz w:val="21"/>
                <w:szCs w:val="21"/>
              </w:rPr>
            </w:pPr>
          </w:p>
        </w:tc>
        <w:tc>
          <w:tcPr>
            <w:tcW w:w="3402" w:type="dxa"/>
          </w:tcPr>
          <w:p w14:paraId="6A2E0368"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The Service Provider responsible for building the digital service implements security </w:t>
            </w:r>
            <w:r>
              <w:rPr>
                <w:color w:val="000000"/>
                <w:sz w:val="21"/>
                <w:szCs w:val="21"/>
              </w:rPr>
              <w:t xml:space="preserve">measures to incorporate segmentation.  </w:t>
            </w:r>
          </w:p>
        </w:tc>
        <w:tc>
          <w:tcPr>
            <w:tcW w:w="5475" w:type="dxa"/>
          </w:tcPr>
          <w:p w14:paraId="0245A066" w14:textId="77777777" w:rsidR="007960A8" w:rsidRDefault="007960A8">
            <w:pPr>
              <w:pBdr>
                <w:top w:val="nil"/>
                <w:left w:val="nil"/>
                <w:bottom w:val="nil"/>
                <w:right w:val="nil"/>
                <w:between w:val="nil"/>
              </w:pBdr>
              <w:spacing w:after="240"/>
              <w:rPr>
                <w:color w:val="000000"/>
                <w:sz w:val="21"/>
                <w:szCs w:val="21"/>
              </w:rPr>
            </w:pPr>
          </w:p>
        </w:tc>
      </w:tr>
    </w:tbl>
    <w:p w14:paraId="2D0DED1B" w14:textId="77777777" w:rsidR="007960A8" w:rsidRDefault="007960A8">
      <w:pPr>
        <w:pBdr>
          <w:top w:val="nil"/>
          <w:left w:val="nil"/>
          <w:bottom w:val="nil"/>
          <w:right w:val="nil"/>
          <w:between w:val="nil"/>
        </w:pBdr>
        <w:rPr>
          <w:color w:val="000000"/>
        </w:rPr>
      </w:pPr>
    </w:p>
    <w:p w14:paraId="0A4DF177" w14:textId="77777777" w:rsidR="007960A8" w:rsidRDefault="007960A8">
      <w:pPr>
        <w:widowControl/>
        <w:pBdr>
          <w:top w:val="nil"/>
          <w:left w:val="nil"/>
          <w:bottom w:val="nil"/>
          <w:right w:val="nil"/>
          <w:between w:val="nil"/>
        </w:pBdr>
        <w:spacing w:after="120" w:line="480" w:lineRule="auto"/>
        <w:jc w:val="both"/>
        <w:rPr>
          <w:color w:val="000000"/>
          <w:sz w:val="21"/>
          <w:szCs w:val="21"/>
        </w:rPr>
      </w:pPr>
    </w:p>
    <w:p w14:paraId="6B350EBC" w14:textId="77777777" w:rsidR="007960A8" w:rsidRDefault="007960A8">
      <w:pPr>
        <w:widowControl/>
        <w:spacing w:after="160" w:line="259" w:lineRule="auto"/>
        <w:rPr>
          <w:b/>
          <w:bCs/>
          <w:u w:val="single"/>
        </w:rPr>
      </w:pPr>
    </w:p>
    <w:p w14:paraId="6D833E73" w14:textId="77777777" w:rsidR="007960A8" w:rsidRDefault="007960A8">
      <w:pPr>
        <w:widowControl/>
        <w:spacing w:after="160" w:line="259" w:lineRule="auto"/>
        <w:rPr>
          <w:b/>
          <w:bCs/>
          <w:u w:val="single"/>
        </w:rPr>
      </w:pPr>
    </w:p>
    <w:p w14:paraId="5EFFC13B" w14:textId="77777777" w:rsidR="007960A8" w:rsidRDefault="007960A8">
      <w:pPr>
        <w:widowControl/>
        <w:spacing w:after="160" w:line="259" w:lineRule="auto"/>
        <w:rPr>
          <w:b/>
          <w:bCs/>
          <w:u w:val="single"/>
        </w:rPr>
      </w:pPr>
    </w:p>
    <w:p w14:paraId="14A4CD3A" w14:textId="77777777" w:rsidR="007960A8" w:rsidRDefault="007960A8">
      <w:pPr>
        <w:widowControl/>
        <w:spacing w:after="160" w:line="259" w:lineRule="auto"/>
        <w:rPr>
          <w:b/>
          <w:bCs/>
          <w:u w:val="single"/>
        </w:rPr>
      </w:pPr>
    </w:p>
    <w:p w14:paraId="1161E6EA" w14:textId="77777777" w:rsidR="007960A8" w:rsidRDefault="007960A8">
      <w:pPr>
        <w:widowControl/>
        <w:spacing w:after="160" w:line="259" w:lineRule="auto"/>
        <w:rPr>
          <w:b/>
          <w:bCs/>
          <w:u w:val="single"/>
        </w:rPr>
      </w:pPr>
    </w:p>
    <w:p w14:paraId="73E4655D" w14:textId="77777777" w:rsidR="007960A8" w:rsidRDefault="007960A8">
      <w:pPr>
        <w:widowControl/>
        <w:spacing w:after="160" w:line="259" w:lineRule="auto"/>
        <w:rPr>
          <w:b/>
          <w:bCs/>
          <w:u w:val="single"/>
        </w:rPr>
        <w:sectPr w:rsidR="007960A8">
          <w:pgSz w:w="16840" w:h="11910" w:orient="landscape"/>
          <w:pgMar w:top="1220" w:right="2080" w:bottom="1220" w:left="1200" w:header="838" w:footer="1000" w:gutter="0"/>
          <w:cols w:space="720"/>
        </w:sectPr>
      </w:pPr>
    </w:p>
    <w:p w14:paraId="1C119022" w14:textId="77777777" w:rsidR="007960A8" w:rsidRDefault="00A26397">
      <w:pPr>
        <w:widowControl/>
        <w:spacing w:after="160" w:line="259" w:lineRule="auto"/>
        <w:rPr>
          <w:b/>
          <w:bCs/>
          <w:u w:val="single"/>
        </w:rPr>
      </w:pPr>
      <w:r>
        <w:rPr>
          <w:b/>
          <w:bCs/>
        </w:rPr>
        <w:t>Schedule [</w:t>
      </w:r>
      <w:r>
        <w:t>Guidance: insert schedule ref here</w:t>
      </w:r>
      <w:r>
        <w:rPr>
          <w:b/>
          <w:bCs/>
        </w:rPr>
        <w:t xml:space="preserve">] </w:t>
      </w:r>
      <w:r>
        <w:rPr>
          <w:b/>
          <w:bCs/>
          <w:u w:val="single"/>
        </w:rPr>
        <w:t>Mandatory Wage Increases</w:t>
      </w:r>
    </w:p>
    <w:tbl>
      <w:tblPr>
        <w:tblStyle w:val="af8"/>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960A8" w14:paraId="2B4C5EB4" w14:textId="77777777">
        <w:tc>
          <w:tcPr>
            <w:tcW w:w="4508" w:type="dxa"/>
          </w:tcPr>
          <w:p w14:paraId="68D318D4" w14:textId="77777777" w:rsidR="007960A8" w:rsidRDefault="00A26397">
            <w:pPr>
              <w:pBdr>
                <w:top w:val="nil"/>
                <w:left w:val="nil"/>
                <w:bottom w:val="nil"/>
                <w:right w:val="nil"/>
                <w:between w:val="nil"/>
              </w:pBdr>
              <w:spacing w:after="240"/>
              <w:rPr>
                <w:b/>
                <w:bCs/>
                <w:color w:val="000000"/>
              </w:rPr>
            </w:pPr>
            <w:r>
              <w:rPr>
                <w:b/>
                <w:bCs/>
                <w:color w:val="000000"/>
              </w:rPr>
              <w:t>DEFINITION</w:t>
            </w:r>
          </w:p>
        </w:tc>
        <w:tc>
          <w:tcPr>
            <w:tcW w:w="4508" w:type="dxa"/>
          </w:tcPr>
          <w:p w14:paraId="056C6ADD" w14:textId="77777777" w:rsidR="007960A8" w:rsidRDefault="00A26397">
            <w:pPr>
              <w:pBdr>
                <w:top w:val="nil"/>
                <w:left w:val="nil"/>
                <w:bottom w:val="nil"/>
                <w:right w:val="nil"/>
                <w:between w:val="nil"/>
              </w:pBdr>
              <w:spacing w:after="240"/>
              <w:rPr>
                <w:b/>
                <w:bCs/>
                <w:color w:val="000000"/>
              </w:rPr>
            </w:pPr>
            <w:r>
              <w:rPr>
                <w:b/>
                <w:bCs/>
                <w:color w:val="000000"/>
              </w:rPr>
              <w:t>MEANING</w:t>
            </w:r>
          </w:p>
        </w:tc>
      </w:tr>
      <w:tr w:rsidR="007960A8" w14:paraId="18F2F9C6" w14:textId="77777777">
        <w:tc>
          <w:tcPr>
            <w:tcW w:w="4508" w:type="dxa"/>
          </w:tcPr>
          <w:p w14:paraId="2BD9DEA2" w14:textId="77777777" w:rsidR="007960A8" w:rsidRDefault="00A26397">
            <w:pPr>
              <w:pBdr>
                <w:top w:val="nil"/>
                <w:left w:val="nil"/>
                <w:bottom w:val="nil"/>
                <w:right w:val="nil"/>
                <w:between w:val="nil"/>
              </w:pBdr>
              <w:spacing w:after="240"/>
              <w:rPr>
                <w:b/>
                <w:bCs/>
                <w:color w:val="000000"/>
              </w:rPr>
            </w:pPr>
            <w:r>
              <w:rPr>
                <w:b/>
                <w:bCs/>
                <w:color w:val="000000"/>
              </w:rPr>
              <w:t>“Impact Assessment”</w:t>
            </w:r>
          </w:p>
        </w:tc>
        <w:tc>
          <w:tcPr>
            <w:tcW w:w="4508" w:type="dxa"/>
          </w:tcPr>
          <w:p w14:paraId="603EAC04" w14:textId="77777777" w:rsidR="007960A8" w:rsidRDefault="00A26397">
            <w:pPr>
              <w:pBdr>
                <w:top w:val="nil"/>
                <w:left w:val="nil"/>
                <w:bottom w:val="nil"/>
                <w:right w:val="nil"/>
                <w:between w:val="nil"/>
              </w:pBdr>
              <w:spacing w:after="240"/>
              <w:rPr>
                <w:color w:val="000000"/>
              </w:rPr>
            </w:pPr>
            <w:r>
              <w:rPr>
                <w:color w:val="000000"/>
              </w:rPr>
              <w:t xml:space="preserve">means the impact assessment to be carried out for the purposes of this Schedule [X] </w:t>
            </w:r>
          </w:p>
          <w:p w14:paraId="5F59F403" w14:textId="77777777" w:rsidR="007960A8" w:rsidRDefault="00A26397">
            <w:pPr>
              <w:pBdr>
                <w:top w:val="nil"/>
                <w:left w:val="nil"/>
                <w:bottom w:val="nil"/>
                <w:right w:val="nil"/>
                <w:between w:val="nil"/>
              </w:pBdr>
              <w:spacing w:after="240"/>
              <w:rPr>
                <w:color w:val="000000"/>
              </w:rPr>
            </w:pPr>
            <w:r>
              <w:rPr>
                <w:color w:val="000000"/>
                <w:highlight w:val="yellow"/>
              </w:rPr>
              <w:t>[CLIENT GUIDANCE; ensure the above reference to this schedule is updated]</w:t>
            </w:r>
          </w:p>
        </w:tc>
      </w:tr>
      <w:tr w:rsidR="007960A8" w14:paraId="607CD82C" w14:textId="77777777">
        <w:tc>
          <w:tcPr>
            <w:tcW w:w="4508" w:type="dxa"/>
          </w:tcPr>
          <w:p w14:paraId="3C64DCDF" w14:textId="77777777" w:rsidR="007960A8" w:rsidRDefault="00A26397">
            <w:pPr>
              <w:pBdr>
                <w:top w:val="nil"/>
                <w:left w:val="nil"/>
                <w:bottom w:val="nil"/>
                <w:right w:val="nil"/>
                <w:between w:val="nil"/>
              </w:pBdr>
              <w:spacing w:after="240"/>
              <w:rPr>
                <w:b/>
                <w:bCs/>
                <w:color w:val="000000"/>
              </w:rPr>
            </w:pPr>
            <w:r>
              <w:rPr>
                <w:b/>
                <w:bCs/>
                <w:color w:val="000000"/>
              </w:rPr>
              <w:t>“Indexation Rate”</w:t>
            </w:r>
          </w:p>
        </w:tc>
        <w:tc>
          <w:tcPr>
            <w:tcW w:w="4508" w:type="dxa"/>
          </w:tcPr>
          <w:p w14:paraId="047A3CD8" w14:textId="77777777" w:rsidR="007960A8" w:rsidRDefault="00A26397">
            <w:pPr>
              <w:pBdr>
                <w:top w:val="nil"/>
                <w:left w:val="nil"/>
                <w:bottom w:val="nil"/>
                <w:right w:val="nil"/>
                <w:between w:val="nil"/>
              </w:pBdr>
              <w:spacing w:after="240"/>
              <w:rPr>
                <w:color w:val="000000"/>
              </w:rPr>
            </w:pPr>
            <w:r>
              <w:rPr>
                <w:color w:val="000000"/>
              </w:rPr>
              <w:t>means the percentage increase in any given period to the Prices provided for b</w:t>
            </w:r>
            <w:r>
              <w:rPr>
                <w:color w:val="000000"/>
              </w:rPr>
              <w:t>y the relevant Payment Index;</w:t>
            </w:r>
          </w:p>
        </w:tc>
      </w:tr>
      <w:tr w:rsidR="007960A8" w14:paraId="69AFE61E" w14:textId="77777777">
        <w:tc>
          <w:tcPr>
            <w:tcW w:w="4508" w:type="dxa"/>
          </w:tcPr>
          <w:p w14:paraId="307E088C" w14:textId="77777777" w:rsidR="007960A8" w:rsidRDefault="00A26397">
            <w:pPr>
              <w:pBdr>
                <w:top w:val="nil"/>
                <w:left w:val="nil"/>
                <w:bottom w:val="nil"/>
                <w:right w:val="nil"/>
                <w:between w:val="nil"/>
              </w:pBdr>
              <w:spacing w:after="240"/>
              <w:rPr>
                <w:b/>
                <w:bCs/>
                <w:color w:val="000000"/>
              </w:rPr>
            </w:pPr>
            <w:r>
              <w:rPr>
                <w:b/>
                <w:bCs/>
                <w:color w:val="000000"/>
              </w:rPr>
              <w:t>"Mandatory Wage"</w:t>
            </w:r>
          </w:p>
        </w:tc>
        <w:tc>
          <w:tcPr>
            <w:tcW w:w="4508" w:type="dxa"/>
          </w:tcPr>
          <w:p w14:paraId="6E1AA04C" w14:textId="77777777" w:rsidR="007960A8" w:rsidRDefault="00A26397">
            <w:pPr>
              <w:pBdr>
                <w:top w:val="nil"/>
                <w:left w:val="nil"/>
                <w:bottom w:val="nil"/>
                <w:right w:val="nil"/>
                <w:between w:val="nil"/>
              </w:pBdr>
              <w:spacing w:after="240"/>
              <w:rPr>
                <w:color w:val="000000"/>
              </w:rPr>
            </w:pPr>
            <w:r>
              <w:rPr>
                <w:color w:val="000000"/>
              </w:rPr>
              <w:t xml:space="preserve">means the higher of either: </w:t>
            </w:r>
          </w:p>
          <w:p w14:paraId="0E8481B8" w14:textId="77777777" w:rsidR="007960A8" w:rsidRDefault="00A26397">
            <w:pPr>
              <w:pBdr>
                <w:top w:val="nil"/>
                <w:left w:val="nil"/>
                <w:bottom w:val="nil"/>
                <w:right w:val="nil"/>
                <w:between w:val="nil"/>
              </w:pBdr>
              <w:spacing w:after="240"/>
              <w:ind w:left="484" w:hanging="484"/>
              <w:rPr>
                <w:color w:val="000000"/>
              </w:rPr>
            </w:pPr>
            <w:r>
              <w:rPr>
                <w:color w:val="000000"/>
              </w:rPr>
              <w:t xml:space="preserve">a) </w:t>
            </w:r>
            <w:r>
              <w:rPr>
                <w:color w:val="000000"/>
              </w:rPr>
              <w:tab/>
            </w:r>
            <w:r>
              <w:rPr>
                <w:color w:val="000000"/>
              </w:rPr>
              <w:t xml:space="preserve">The statutory minimum hourly rate of pay including the National Living Wage and National Minimum Wage set by the Crown from time to time; or </w:t>
            </w:r>
          </w:p>
          <w:p w14:paraId="0C7117EF" w14:textId="77777777" w:rsidR="007960A8" w:rsidRDefault="00A26397">
            <w:pPr>
              <w:pBdr>
                <w:top w:val="nil"/>
                <w:left w:val="nil"/>
                <w:bottom w:val="nil"/>
                <w:right w:val="nil"/>
                <w:between w:val="nil"/>
              </w:pBdr>
              <w:spacing w:after="240"/>
              <w:ind w:left="484" w:hanging="484"/>
              <w:rPr>
                <w:color w:val="000000"/>
              </w:rPr>
            </w:pPr>
            <w:r>
              <w:rPr>
                <w:color w:val="000000"/>
              </w:rPr>
              <w:t xml:space="preserve">b) </w:t>
            </w:r>
            <w:r>
              <w:rPr>
                <w:color w:val="000000"/>
              </w:rPr>
              <w:tab/>
              <w:t xml:space="preserve">Where this Contract require that the </w:t>
            </w:r>
            <w:r>
              <w:rPr>
                <w:i/>
                <w:iCs/>
                <w:color w:val="000000"/>
              </w:rPr>
              <w:t>Service Provider</w:t>
            </w:r>
            <w:r>
              <w:rPr>
                <w:color w:val="000000"/>
              </w:rPr>
              <w:t xml:space="preserve"> pay the </w:t>
            </w:r>
            <w:r>
              <w:rPr>
                <w:i/>
                <w:iCs/>
                <w:color w:val="000000"/>
              </w:rPr>
              <w:t>Service Provider’s</w:t>
            </w:r>
            <w:r>
              <w:rPr>
                <w:color w:val="000000"/>
              </w:rPr>
              <w:t xml:space="preserve"> employees a non-statutory min</w:t>
            </w:r>
            <w:r>
              <w:rPr>
                <w:color w:val="000000"/>
              </w:rPr>
              <w:t>imum hourly rate of pay, that non-statutory minimum hourly rate of pay;</w:t>
            </w:r>
          </w:p>
        </w:tc>
      </w:tr>
      <w:tr w:rsidR="007960A8" w14:paraId="21A8428F" w14:textId="77777777">
        <w:tc>
          <w:tcPr>
            <w:tcW w:w="4508" w:type="dxa"/>
          </w:tcPr>
          <w:p w14:paraId="1C1BF2E1" w14:textId="77777777" w:rsidR="007960A8" w:rsidRDefault="00A26397">
            <w:pPr>
              <w:pBdr>
                <w:top w:val="nil"/>
                <w:left w:val="nil"/>
                <w:bottom w:val="nil"/>
                <w:right w:val="nil"/>
                <w:between w:val="nil"/>
              </w:pBdr>
              <w:spacing w:after="240"/>
              <w:rPr>
                <w:b/>
                <w:bCs/>
                <w:color w:val="000000"/>
              </w:rPr>
            </w:pPr>
            <w:r>
              <w:rPr>
                <w:b/>
                <w:bCs/>
                <w:color w:val="000000"/>
              </w:rPr>
              <w:t>“Payment Index”</w:t>
            </w:r>
          </w:p>
        </w:tc>
        <w:tc>
          <w:tcPr>
            <w:tcW w:w="4508" w:type="dxa"/>
          </w:tcPr>
          <w:p w14:paraId="77415D61" w14:textId="77777777" w:rsidR="007960A8" w:rsidRDefault="00A26397">
            <w:pPr>
              <w:pBdr>
                <w:top w:val="nil"/>
                <w:left w:val="nil"/>
                <w:bottom w:val="nil"/>
                <w:right w:val="nil"/>
                <w:between w:val="nil"/>
              </w:pBdr>
              <w:spacing w:after="240"/>
              <w:rPr>
                <w:color w:val="000000"/>
              </w:rPr>
            </w:pPr>
            <w:r>
              <w:rPr>
                <w:color w:val="000000"/>
              </w:rPr>
              <w:t>means the payment index stated in the Contract Data;</w:t>
            </w:r>
          </w:p>
        </w:tc>
      </w:tr>
    </w:tbl>
    <w:p w14:paraId="4F0E2637"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Changes to Mandatory Wage</w:t>
      </w:r>
    </w:p>
    <w:p w14:paraId="6CDCE3A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[Notwithstanding clause 6 of schedule </w:t>
      </w:r>
      <w:r>
        <w:rPr>
          <w:color w:val="000000"/>
          <w:sz w:val="21"/>
          <w:szCs w:val="21"/>
          <w:highlight w:val="yellow"/>
        </w:rPr>
        <w:t xml:space="preserve">[X]][Guidance: Insert reference to Procurement Act 2023 Schedule here and where this schedule is not used delete the words in square brackets.] </w:t>
      </w:r>
      <w:r>
        <w:rPr>
          <w:color w:val="000000"/>
          <w:sz w:val="21"/>
          <w:szCs w:val="21"/>
        </w:rPr>
        <w:t xml:space="preserve">where the </w:t>
      </w:r>
      <w:r>
        <w:rPr>
          <w:i/>
          <w:iCs/>
          <w:color w:val="000000"/>
          <w:sz w:val="21"/>
          <w:szCs w:val="21"/>
        </w:rPr>
        <w:t>Service Provider</w:t>
      </w:r>
      <w:r>
        <w:rPr>
          <w:color w:val="000000"/>
          <w:sz w:val="21"/>
          <w:szCs w:val="21"/>
        </w:rPr>
        <w:t xml:space="preserve"> provides evidence in the form of an Impact Assessment that the increase to the Mandat</w:t>
      </w:r>
      <w:r>
        <w:rPr>
          <w:color w:val="000000"/>
          <w:sz w:val="21"/>
          <w:szCs w:val="21"/>
        </w:rPr>
        <w:t xml:space="preserve">ory Wage in a given period has proportionately exceeded the increases allowed by the Payment Index, the </w:t>
      </w:r>
      <w:r>
        <w:rPr>
          <w:i/>
          <w:iCs/>
          <w:color w:val="000000"/>
          <w:sz w:val="21"/>
          <w:szCs w:val="21"/>
        </w:rPr>
        <w:t>Service Provider</w:t>
      </w:r>
      <w:r>
        <w:rPr>
          <w:color w:val="000000"/>
          <w:sz w:val="21"/>
          <w:szCs w:val="21"/>
        </w:rPr>
        <w:t xml:space="preserve"> may request an increase in the Prices stated in the </w:t>
      </w:r>
      <w:r>
        <w:rPr>
          <w:i/>
          <w:iCs/>
          <w:color w:val="000000"/>
          <w:sz w:val="21"/>
          <w:szCs w:val="21"/>
        </w:rPr>
        <w:t>Price List</w:t>
      </w:r>
      <w:r>
        <w:rPr>
          <w:color w:val="000000"/>
          <w:sz w:val="21"/>
          <w:szCs w:val="21"/>
        </w:rPr>
        <w:t xml:space="preserve"> by following the process in clause 60.2.  The </w:t>
      </w:r>
      <w:r>
        <w:rPr>
          <w:i/>
          <w:iCs/>
          <w:color w:val="000000"/>
          <w:sz w:val="21"/>
          <w:szCs w:val="21"/>
        </w:rPr>
        <w:t>Client</w:t>
      </w:r>
      <w:r>
        <w:rPr>
          <w:color w:val="000000"/>
          <w:sz w:val="21"/>
          <w:szCs w:val="21"/>
        </w:rPr>
        <w:t xml:space="preserve"> is under no obligat</w:t>
      </w:r>
      <w:r>
        <w:rPr>
          <w:color w:val="000000"/>
          <w:sz w:val="21"/>
          <w:szCs w:val="21"/>
        </w:rPr>
        <w:t xml:space="preserve">ion to accept the </w:t>
      </w:r>
      <w:r>
        <w:rPr>
          <w:i/>
          <w:iCs/>
          <w:color w:val="000000"/>
          <w:sz w:val="21"/>
          <w:szCs w:val="21"/>
        </w:rPr>
        <w:t>Service Provider’s</w:t>
      </w:r>
      <w:r>
        <w:rPr>
          <w:color w:val="000000"/>
          <w:sz w:val="21"/>
          <w:szCs w:val="21"/>
        </w:rPr>
        <w:t xml:space="preserve"> request.</w:t>
      </w:r>
    </w:p>
    <w:p w14:paraId="71161EB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The Impact Assessment includes evidence of:</w:t>
      </w:r>
    </w:p>
    <w:p w14:paraId="78A50A00" w14:textId="77777777" w:rsidR="007960A8" w:rsidRDefault="00A26397">
      <w:pPr>
        <w:widowControl/>
        <w:numPr>
          <w:ilvl w:val="3"/>
          <w:numId w:val="94"/>
        </w:numPr>
        <w:pBdr>
          <w:top w:val="nil"/>
          <w:left w:val="nil"/>
          <w:bottom w:val="nil"/>
          <w:right w:val="nil"/>
          <w:between w:val="nil"/>
        </w:pBdr>
        <w:spacing w:after="240"/>
        <w:jc w:val="both"/>
      </w:pPr>
      <w:r>
        <w:rPr>
          <w:i/>
          <w:iCs/>
          <w:color w:val="000000"/>
          <w:sz w:val="21"/>
          <w:szCs w:val="21"/>
        </w:rPr>
        <w:t>Service Provider</w:t>
      </w:r>
      <w:r>
        <w:rPr>
          <w:color w:val="000000"/>
          <w:sz w:val="21"/>
          <w:szCs w:val="21"/>
        </w:rPr>
        <w:t xml:space="preserve"> employees affected by the Mandatory Wage increase and the </w:t>
      </w:r>
      <w:r>
        <w:rPr>
          <w:i/>
          <w:iCs/>
          <w:color w:val="000000"/>
          <w:sz w:val="21"/>
          <w:szCs w:val="21"/>
        </w:rPr>
        <w:t>services</w:t>
      </w:r>
      <w:r>
        <w:rPr>
          <w:color w:val="000000"/>
          <w:sz w:val="21"/>
          <w:szCs w:val="21"/>
        </w:rPr>
        <w:t xml:space="preserve"> they provide;</w:t>
      </w:r>
    </w:p>
    <w:p w14:paraId="6E7D92C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affected </w:t>
      </w:r>
      <w:r>
        <w:rPr>
          <w:i/>
          <w:iCs/>
          <w:color w:val="000000"/>
          <w:sz w:val="21"/>
          <w:szCs w:val="21"/>
        </w:rPr>
        <w:t>Service Provider</w:t>
      </w:r>
      <w:r>
        <w:rPr>
          <w:color w:val="000000"/>
          <w:sz w:val="21"/>
          <w:szCs w:val="21"/>
        </w:rPr>
        <w:t xml:space="preserve"> employee’s current hourly rate of pay; and</w:t>
      </w:r>
    </w:p>
    <w:p w14:paraId="6274514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number of hours worked by each of the affected </w:t>
      </w:r>
      <w:r>
        <w:rPr>
          <w:i/>
          <w:iCs/>
          <w:color w:val="000000"/>
          <w:sz w:val="21"/>
          <w:szCs w:val="21"/>
        </w:rPr>
        <w:t>Service Provider</w:t>
      </w:r>
      <w:r>
        <w:rPr>
          <w:color w:val="000000"/>
          <w:sz w:val="21"/>
          <w:szCs w:val="21"/>
        </w:rPr>
        <w:t xml:space="preserve"> employees.</w:t>
      </w:r>
    </w:p>
    <w:p w14:paraId="235EF62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is under no obligation to accept an increase in the charges pursuant to this clause and must not accept any request that:</w:t>
      </w:r>
    </w:p>
    <w:p w14:paraId="0D16C69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exceeds the difference between the Indexation Rate and the current Mandatory Wage rate increase for each member of the </w:t>
      </w:r>
      <w:r>
        <w:rPr>
          <w:i/>
          <w:iCs/>
          <w:color w:val="000000"/>
          <w:sz w:val="21"/>
          <w:szCs w:val="21"/>
        </w:rPr>
        <w:t>Service Provider’s</w:t>
      </w:r>
      <w:r>
        <w:rPr>
          <w:color w:val="000000"/>
          <w:sz w:val="21"/>
          <w:szCs w:val="21"/>
        </w:rPr>
        <w:t xml:space="preserve"> employees affected by the Mandatory Wage increase;</w:t>
      </w:r>
    </w:p>
    <w:p w14:paraId="3DCE133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seeks to increase the charges when the </w:t>
      </w:r>
      <w:r>
        <w:rPr>
          <w:i/>
          <w:iCs/>
          <w:color w:val="000000"/>
          <w:sz w:val="21"/>
          <w:szCs w:val="21"/>
        </w:rPr>
        <w:t>services</w:t>
      </w:r>
      <w:r>
        <w:rPr>
          <w:color w:val="000000"/>
          <w:sz w:val="21"/>
          <w:szCs w:val="21"/>
        </w:rPr>
        <w:t xml:space="preserve"> are not affected by</w:t>
      </w:r>
      <w:r>
        <w:rPr>
          <w:color w:val="000000"/>
          <w:sz w:val="21"/>
          <w:szCs w:val="21"/>
        </w:rPr>
        <w:t xml:space="preserve"> the Mandatory Wage increase; and</w:t>
      </w:r>
    </w:p>
    <w:p w14:paraId="25C49FF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seeks to increase the charges in respect of the </w:t>
      </w:r>
      <w:r>
        <w:rPr>
          <w:i/>
          <w:iCs/>
          <w:color w:val="000000"/>
          <w:sz w:val="21"/>
          <w:szCs w:val="21"/>
        </w:rPr>
        <w:t>Service Provider’s</w:t>
      </w:r>
      <w:r>
        <w:rPr>
          <w:color w:val="000000"/>
          <w:sz w:val="21"/>
          <w:szCs w:val="21"/>
        </w:rPr>
        <w:t xml:space="preserve"> employees on an hourly rate already in excess of the Mandatory Wage (whether or not to maintain a higher level of pay between the affected </w:t>
      </w:r>
      <w:r>
        <w:rPr>
          <w:i/>
          <w:iCs/>
          <w:color w:val="000000"/>
          <w:sz w:val="21"/>
          <w:szCs w:val="21"/>
        </w:rPr>
        <w:t>Service Provider</w:t>
      </w:r>
      <w:r>
        <w:rPr>
          <w:color w:val="000000"/>
          <w:sz w:val="21"/>
          <w:szCs w:val="21"/>
        </w:rPr>
        <w:t xml:space="preserve"> employees and any higher paid employees of the </w:t>
      </w:r>
      <w:r>
        <w:rPr>
          <w:i/>
          <w:iCs/>
          <w:color w:val="000000"/>
          <w:sz w:val="21"/>
          <w:szCs w:val="21"/>
        </w:rPr>
        <w:t>Service Provider</w:t>
      </w:r>
      <w:r>
        <w:rPr>
          <w:color w:val="000000"/>
          <w:sz w:val="21"/>
          <w:szCs w:val="21"/>
        </w:rPr>
        <w:t>).</w:t>
      </w:r>
    </w:p>
    <w:p w14:paraId="033A99C9" w14:textId="77777777" w:rsidR="007960A8" w:rsidRDefault="007960A8">
      <w:pPr>
        <w:widowControl/>
        <w:spacing w:after="160" w:line="259" w:lineRule="auto"/>
        <w:rPr>
          <w:b/>
          <w:bCs/>
          <w:u w:val="single"/>
        </w:rPr>
      </w:pPr>
    </w:p>
    <w:p w14:paraId="7A2A6492" w14:textId="77777777" w:rsidR="007960A8" w:rsidRDefault="007960A8">
      <w:pPr>
        <w:widowControl/>
        <w:spacing w:after="160" w:line="259" w:lineRule="auto"/>
        <w:rPr>
          <w:b/>
          <w:bCs/>
          <w:u w:val="single"/>
        </w:rPr>
      </w:pPr>
    </w:p>
    <w:p w14:paraId="476129DB" w14:textId="77777777" w:rsidR="007960A8" w:rsidRDefault="007960A8">
      <w:pPr>
        <w:widowControl/>
        <w:spacing w:after="160" w:line="259" w:lineRule="auto"/>
        <w:rPr>
          <w:b/>
          <w:bCs/>
          <w:u w:val="single"/>
        </w:rPr>
      </w:pPr>
    </w:p>
    <w:p w14:paraId="758F87DA" w14:textId="77777777" w:rsidR="007960A8" w:rsidRDefault="007960A8">
      <w:pPr>
        <w:widowControl/>
        <w:spacing w:after="160" w:line="259" w:lineRule="auto"/>
        <w:rPr>
          <w:b/>
          <w:bCs/>
          <w:u w:val="single"/>
        </w:rPr>
      </w:pPr>
    </w:p>
    <w:p w14:paraId="1E5BB979" w14:textId="77777777" w:rsidR="007960A8" w:rsidRDefault="007960A8">
      <w:pPr>
        <w:widowControl/>
        <w:spacing w:after="160" w:line="259" w:lineRule="auto"/>
        <w:rPr>
          <w:b/>
          <w:bCs/>
          <w:u w:val="single"/>
        </w:rPr>
        <w:sectPr w:rsidR="007960A8">
          <w:pgSz w:w="11910" w:h="16840"/>
          <w:pgMar w:top="2080" w:right="1220" w:bottom="1200" w:left="1220" w:header="838" w:footer="1000" w:gutter="0"/>
          <w:cols w:space="720"/>
        </w:sectPr>
      </w:pPr>
    </w:p>
    <w:p w14:paraId="3FE7136D" w14:textId="77777777" w:rsidR="007960A8" w:rsidRDefault="00A26397">
      <w:pPr>
        <w:widowControl/>
        <w:spacing w:after="160" w:line="259" w:lineRule="auto"/>
        <w:rPr>
          <w:b/>
          <w:bCs/>
          <w:u w:val="single"/>
        </w:rPr>
      </w:pPr>
      <w:r>
        <w:rPr>
          <w:b/>
          <w:bCs/>
        </w:rPr>
        <w:t>Schedule [</w:t>
      </w:r>
      <w:r>
        <w:t>Guidance: insert schedule ref here</w:t>
      </w:r>
      <w:r>
        <w:rPr>
          <w:b/>
          <w:bCs/>
        </w:rPr>
        <w:t xml:space="preserve">] </w:t>
      </w:r>
      <w:r>
        <w:rPr>
          <w:b/>
          <w:bCs/>
          <w:u w:val="single"/>
        </w:rPr>
        <w:t>Redundancy</w:t>
      </w:r>
    </w:p>
    <w:p w14:paraId="1EE1067B" w14:textId="77777777" w:rsidR="007960A8" w:rsidRDefault="00A26397">
      <w:pPr>
        <w:widowControl/>
        <w:numPr>
          <w:ilvl w:val="1"/>
          <w:numId w:val="32"/>
        </w:numPr>
        <w:pBdr>
          <w:top w:val="nil"/>
          <w:left w:val="nil"/>
          <w:bottom w:val="nil"/>
          <w:right w:val="nil"/>
          <w:between w:val="nil"/>
        </w:pBdr>
        <w:spacing w:after="240"/>
        <w:jc w:val="both"/>
      </w:pPr>
      <w:r>
        <w:rPr>
          <w:color w:val="000000"/>
          <w:sz w:val="21"/>
          <w:szCs w:val="21"/>
        </w:rPr>
        <w:t>Definitions</w:t>
      </w:r>
    </w:p>
    <w:p w14:paraId="39C253E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For the purposes of this Schedule, the following terms shall have the following meanings:</w:t>
      </w:r>
    </w:p>
    <w:tbl>
      <w:tblPr>
        <w:tblStyle w:val="af9"/>
        <w:tblW w:w="7603" w:type="dxa"/>
        <w:tblInd w:w="1413" w:type="dxa"/>
        <w:tblBorders>
          <w:top w:val="nil"/>
          <w:left w:val="nil"/>
          <w:bottom w:val="nil"/>
          <w:right w:val="nil"/>
          <w:insideH w:val="nil"/>
          <w:insideV w:val="nil"/>
        </w:tblBorders>
        <w:tblLayout w:type="fixed"/>
        <w:tblLook w:val="0400" w:firstRow="0" w:lastRow="0" w:firstColumn="0" w:lastColumn="0" w:noHBand="0" w:noVBand="1"/>
      </w:tblPr>
      <w:tblGrid>
        <w:gridCol w:w="3095"/>
        <w:gridCol w:w="4508"/>
      </w:tblGrid>
      <w:tr w:rsidR="007960A8" w14:paraId="684B7E9D" w14:textId="77777777">
        <w:tc>
          <w:tcPr>
            <w:tcW w:w="3095" w:type="dxa"/>
          </w:tcPr>
          <w:p w14:paraId="6F19C01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“Affected Employee”</w:t>
            </w:r>
          </w:p>
        </w:tc>
        <w:tc>
          <w:tcPr>
            <w:tcW w:w="4508" w:type="dxa"/>
          </w:tcPr>
          <w:p w14:paraId="49EB709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an employee of the </w:t>
            </w:r>
            <w:r>
              <w:rPr>
                <w:i/>
                <w:iCs/>
                <w:color w:val="000000"/>
                <w:sz w:val="21"/>
                <w:szCs w:val="21"/>
              </w:rPr>
              <w:t>Service Provider</w:t>
            </w:r>
            <w:r>
              <w:rPr>
                <w:color w:val="000000"/>
                <w:sz w:val="21"/>
                <w:szCs w:val="21"/>
              </w:rPr>
              <w:t xml:space="preserve"> (or, if relevant, a notified Subcontractor) who is at risk of redundancy as a result of either of the occurrence of either of the events set out in clause 2.1 of this Schedule;</w:t>
            </w:r>
          </w:p>
        </w:tc>
      </w:tr>
      <w:tr w:rsidR="007960A8" w14:paraId="0F95042E" w14:textId="77777777">
        <w:tc>
          <w:tcPr>
            <w:tcW w:w="3095" w:type="dxa"/>
          </w:tcPr>
          <w:p w14:paraId="33452F7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"Early Retirement Right"</w:t>
            </w:r>
          </w:p>
        </w:tc>
        <w:tc>
          <w:tcPr>
            <w:tcW w:w="4508" w:type="dxa"/>
          </w:tcPr>
          <w:p w14:paraId="003BC22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any right to retirement benefit arising on terminati</w:t>
            </w:r>
            <w:r>
              <w:rPr>
                <w:color w:val="000000"/>
                <w:sz w:val="21"/>
                <w:szCs w:val="21"/>
              </w:rPr>
              <w:t>on for redundancy, whether such benefit is reduced or otherwise and whether such right arises on retirement or otherwise;</w:t>
            </w:r>
          </w:p>
        </w:tc>
      </w:tr>
      <w:tr w:rsidR="007960A8" w14:paraId="7144AFD7" w14:textId="77777777">
        <w:tc>
          <w:tcPr>
            <w:tcW w:w="3095" w:type="dxa"/>
          </w:tcPr>
          <w:p w14:paraId="62CE054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“Former Service Provider”</w:t>
            </w:r>
          </w:p>
        </w:tc>
        <w:tc>
          <w:tcPr>
            <w:tcW w:w="4508" w:type="dxa"/>
          </w:tcPr>
          <w:p w14:paraId="14ADF96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the organisation or company previously responsible for carrying out the </w:t>
            </w:r>
            <w:r>
              <w:rPr>
                <w:i/>
                <w:iCs/>
                <w:color w:val="000000"/>
                <w:sz w:val="21"/>
                <w:szCs w:val="21"/>
              </w:rPr>
              <w:t>services</w:t>
            </w:r>
            <w:r>
              <w:rPr>
                <w:color w:val="000000"/>
                <w:sz w:val="21"/>
                <w:szCs w:val="21"/>
              </w:rPr>
              <w:t xml:space="preserve"> that are to be replaced by the </w:t>
            </w:r>
            <w:r>
              <w:rPr>
                <w:i/>
                <w:iCs/>
                <w:color w:val="000000"/>
                <w:sz w:val="21"/>
                <w:szCs w:val="21"/>
              </w:rPr>
              <w:t>Service Provider</w:t>
            </w:r>
            <w:r>
              <w:rPr>
                <w:color w:val="000000"/>
                <w:sz w:val="21"/>
                <w:szCs w:val="21"/>
              </w:rPr>
              <w:t xml:space="preserve"> under this Contract.</w:t>
            </w:r>
          </w:p>
        </w:tc>
      </w:tr>
      <w:tr w:rsidR="007960A8" w14:paraId="36F83839" w14:textId="77777777">
        <w:tc>
          <w:tcPr>
            <w:tcW w:w="3095" w:type="dxa"/>
          </w:tcPr>
          <w:p w14:paraId="731AAE6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“Redundancy Payment”</w:t>
            </w:r>
          </w:p>
        </w:tc>
        <w:tc>
          <w:tcPr>
            <w:tcW w:w="4508" w:type="dxa"/>
          </w:tcPr>
          <w:p w14:paraId="61A0D95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any and all of the following payments which may be made by the </w:t>
            </w:r>
            <w:r>
              <w:rPr>
                <w:i/>
                <w:iCs/>
                <w:color w:val="000000"/>
                <w:sz w:val="21"/>
                <w:szCs w:val="21"/>
              </w:rPr>
              <w:t>Service P</w:t>
            </w:r>
            <w:r>
              <w:rPr>
                <w:i/>
                <w:iCs/>
                <w:color w:val="000000"/>
                <w:sz w:val="21"/>
                <w:szCs w:val="21"/>
              </w:rPr>
              <w:t>rovider</w:t>
            </w:r>
            <w:r>
              <w:rPr>
                <w:color w:val="000000"/>
                <w:sz w:val="21"/>
                <w:szCs w:val="21"/>
              </w:rPr>
              <w:t xml:space="preserve"> (or, if relevant, the notified Subcontractor) to any Affected Employee: </w:t>
            </w:r>
          </w:p>
          <w:p w14:paraId="72BFB70C"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 xml:space="preserve">a) </w:t>
            </w:r>
            <w:r>
              <w:rPr>
                <w:color w:val="000000"/>
                <w:sz w:val="21"/>
                <w:szCs w:val="21"/>
              </w:rPr>
              <w:tab/>
            </w:r>
            <w:r>
              <w:rPr>
                <w:color w:val="000000"/>
                <w:sz w:val="21"/>
                <w:szCs w:val="21"/>
              </w:rPr>
              <w:t>statutory redundancy payments made in accordance with section 162 of the Employment Rights Act 1996;</w:t>
            </w:r>
          </w:p>
          <w:p w14:paraId="3FDE47A3"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 xml:space="preserve">b) </w:t>
            </w:r>
            <w:r>
              <w:rPr>
                <w:color w:val="000000"/>
                <w:sz w:val="21"/>
                <w:szCs w:val="21"/>
              </w:rPr>
              <w:tab/>
              <w:t>contractual redundancy payments (which for this purpose shall mean redundancy payments made in accordance with the terms and conditions of employment t</w:t>
            </w:r>
            <w:r>
              <w:rPr>
                <w:color w:val="000000"/>
                <w:sz w:val="21"/>
                <w:szCs w:val="21"/>
              </w:rPr>
              <w:t>o which the relevant Affected Employee was entitled at the Reference Date and for the avoidance of doubt, in each Affected Employee’s case, shall not include any ex gratia payment, payment for accrued holiday or any other payment made as compensation for t</w:t>
            </w:r>
            <w:r>
              <w:rPr>
                <w:color w:val="000000"/>
                <w:sz w:val="21"/>
                <w:szCs w:val="21"/>
              </w:rPr>
              <w:t>he termination of employment);</w:t>
            </w:r>
          </w:p>
          <w:p w14:paraId="4D6F10DB"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 xml:space="preserve">c) </w:t>
            </w:r>
            <w:r>
              <w:rPr>
                <w:color w:val="000000"/>
                <w:sz w:val="21"/>
                <w:szCs w:val="21"/>
              </w:rPr>
              <w:tab/>
              <w:t xml:space="preserve">where it is not reasonably practicable to require the Affected Employee to work their notice period, in respect of each Affected Employee, either: </w:t>
            </w:r>
          </w:p>
          <w:p w14:paraId="38E676D4" w14:textId="77777777" w:rsidR="007960A8" w:rsidRDefault="00A26397">
            <w:pPr>
              <w:pBdr>
                <w:top w:val="nil"/>
                <w:left w:val="nil"/>
                <w:bottom w:val="nil"/>
                <w:right w:val="nil"/>
                <w:between w:val="nil"/>
              </w:pBdr>
              <w:spacing w:after="240"/>
              <w:ind w:left="940" w:hanging="470"/>
              <w:rPr>
                <w:color w:val="000000"/>
                <w:sz w:val="21"/>
                <w:szCs w:val="21"/>
              </w:rPr>
            </w:pPr>
            <w:r>
              <w:rPr>
                <w:color w:val="000000"/>
                <w:sz w:val="21"/>
                <w:szCs w:val="21"/>
              </w:rPr>
              <w:t xml:space="preserve">i) </w:t>
            </w:r>
            <w:r>
              <w:rPr>
                <w:color w:val="000000"/>
                <w:sz w:val="21"/>
                <w:szCs w:val="21"/>
              </w:rPr>
              <w:tab/>
              <w:t>payment of damages for breach of the applicable statutory notice enti</w:t>
            </w:r>
            <w:r>
              <w:rPr>
                <w:color w:val="000000"/>
                <w:sz w:val="21"/>
                <w:szCs w:val="21"/>
              </w:rPr>
              <w:t>tlement or, if higher, the notice entitlement under the terms and conditions of employment to which the relevant employee was entitled at the Reference Date; or</w:t>
            </w:r>
          </w:p>
          <w:p w14:paraId="7C69719D" w14:textId="77777777" w:rsidR="007960A8" w:rsidRDefault="00A26397">
            <w:pPr>
              <w:pBdr>
                <w:top w:val="nil"/>
                <w:left w:val="nil"/>
                <w:bottom w:val="nil"/>
                <w:right w:val="nil"/>
                <w:between w:val="nil"/>
              </w:pBdr>
              <w:spacing w:after="240"/>
              <w:ind w:left="940" w:hanging="470"/>
              <w:rPr>
                <w:color w:val="000000"/>
                <w:sz w:val="21"/>
                <w:szCs w:val="21"/>
              </w:rPr>
            </w:pPr>
            <w:r>
              <w:rPr>
                <w:color w:val="000000"/>
                <w:sz w:val="21"/>
                <w:szCs w:val="21"/>
              </w:rPr>
              <w:t xml:space="preserve">ii) </w:t>
            </w:r>
            <w:r>
              <w:rPr>
                <w:color w:val="000000"/>
                <w:sz w:val="21"/>
                <w:szCs w:val="21"/>
              </w:rPr>
              <w:tab/>
              <w:t>payment in lieu of any such notice entitlement, made pursuant to such terms and conditions</w:t>
            </w:r>
            <w:r>
              <w:rPr>
                <w:color w:val="000000"/>
                <w:sz w:val="21"/>
                <w:szCs w:val="21"/>
              </w:rPr>
              <w:t xml:space="preserve"> of employment, but for the avoidance of doubt, shall not include any payment of salary or wages or of any benefit in respect of any period of continuing employment (whether during a notice period or otherwise);</w:t>
            </w:r>
          </w:p>
          <w:p w14:paraId="743882A0"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d)</w:t>
            </w:r>
            <w:r>
              <w:rPr>
                <w:color w:val="000000"/>
                <w:sz w:val="21"/>
                <w:szCs w:val="21"/>
              </w:rPr>
              <w:tab/>
              <w:t>any payment made in satisfaction of any E</w:t>
            </w:r>
            <w:r>
              <w:rPr>
                <w:color w:val="000000"/>
                <w:sz w:val="21"/>
                <w:szCs w:val="21"/>
              </w:rPr>
              <w:t>arly Retirement Right to which the relevant employee was entitled under his or her terms and conditions of employment on the Reference Date;</w:t>
            </w:r>
          </w:p>
        </w:tc>
      </w:tr>
      <w:tr w:rsidR="007960A8" w14:paraId="23740F89" w14:textId="77777777">
        <w:tc>
          <w:tcPr>
            <w:tcW w:w="3095" w:type="dxa"/>
          </w:tcPr>
          <w:p w14:paraId="6B91C58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“Reference Date”</w:t>
            </w:r>
          </w:p>
        </w:tc>
        <w:tc>
          <w:tcPr>
            <w:tcW w:w="4508" w:type="dxa"/>
          </w:tcPr>
          <w:p w14:paraId="5254090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either:</w:t>
            </w:r>
          </w:p>
          <w:p w14:paraId="7CEA95D2"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 xml:space="preserve">a) </w:t>
            </w:r>
            <w:r>
              <w:rPr>
                <w:color w:val="000000"/>
                <w:sz w:val="21"/>
                <w:szCs w:val="21"/>
              </w:rPr>
              <w:tab/>
            </w:r>
            <w:r>
              <w:rPr>
                <w:color w:val="000000"/>
                <w:sz w:val="21"/>
                <w:szCs w:val="21"/>
              </w:rPr>
              <w:t xml:space="preserve">the date of commencement of employment, if the Affected Employee became employed by the </w:t>
            </w:r>
            <w:r>
              <w:rPr>
                <w:i/>
                <w:iCs/>
                <w:color w:val="000000"/>
                <w:sz w:val="21"/>
                <w:szCs w:val="21"/>
              </w:rPr>
              <w:t>Service Provider</w:t>
            </w:r>
            <w:r>
              <w:rPr>
                <w:color w:val="000000"/>
                <w:sz w:val="21"/>
                <w:szCs w:val="21"/>
              </w:rPr>
              <w:t xml:space="preserve"> (or, if relevant, notified Subcontractor) after the Relevant Transfer Date; or</w:t>
            </w:r>
          </w:p>
          <w:p w14:paraId="4E82A268" w14:textId="77777777" w:rsidR="007960A8" w:rsidRDefault="00A26397">
            <w:pPr>
              <w:pBdr>
                <w:top w:val="nil"/>
                <w:left w:val="nil"/>
                <w:bottom w:val="nil"/>
                <w:right w:val="nil"/>
                <w:between w:val="nil"/>
              </w:pBdr>
              <w:spacing w:after="240"/>
              <w:ind w:left="470" w:hanging="470"/>
              <w:rPr>
                <w:color w:val="000000"/>
                <w:sz w:val="21"/>
                <w:szCs w:val="21"/>
              </w:rPr>
            </w:pPr>
            <w:r>
              <w:rPr>
                <w:color w:val="000000"/>
                <w:sz w:val="21"/>
                <w:szCs w:val="21"/>
              </w:rPr>
              <w:t xml:space="preserve">b) </w:t>
            </w:r>
            <w:r>
              <w:rPr>
                <w:color w:val="000000"/>
                <w:sz w:val="21"/>
                <w:szCs w:val="21"/>
              </w:rPr>
              <w:tab/>
              <w:t>the Relevant Transfer Date,</w:t>
            </w:r>
          </w:p>
          <w:p w14:paraId="049D593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save that where the </w:t>
            </w:r>
            <w:r>
              <w:rPr>
                <w:i/>
                <w:iCs/>
                <w:color w:val="000000"/>
                <w:sz w:val="21"/>
                <w:szCs w:val="21"/>
              </w:rPr>
              <w:t>Service Provider</w:t>
            </w:r>
            <w:r>
              <w:rPr>
                <w:color w:val="000000"/>
                <w:sz w:val="21"/>
                <w:szCs w:val="21"/>
              </w:rPr>
              <w:t xml:space="preserve"> (or</w:t>
            </w:r>
            <w:r>
              <w:rPr>
                <w:color w:val="000000"/>
                <w:sz w:val="21"/>
                <w:szCs w:val="21"/>
              </w:rPr>
              <w:t xml:space="preserve">, if relevant, notified Subcontractor) and Former Service Provider are the same entity such that the Employment Regulations do not apply to transfer staff, the relevant date shall be either the Contract Date or, if the Affected Employee became employed by </w:t>
            </w:r>
            <w:r>
              <w:rPr>
                <w:color w:val="000000"/>
                <w:sz w:val="21"/>
                <w:szCs w:val="21"/>
              </w:rPr>
              <w:t xml:space="preserve">the </w:t>
            </w:r>
            <w:r>
              <w:rPr>
                <w:i/>
                <w:iCs/>
                <w:color w:val="000000"/>
                <w:sz w:val="21"/>
                <w:szCs w:val="21"/>
              </w:rPr>
              <w:t>Service Provider</w:t>
            </w:r>
            <w:r>
              <w:rPr>
                <w:color w:val="000000"/>
                <w:sz w:val="21"/>
                <w:szCs w:val="21"/>
              </w:rPr>
              <w:t xml:space="preserve"> (or, if relevant, notified Subcontractor) after such date, the date of commencement of employment;</w:t>
            </w:r>
          </w:p>
        </w:tc>
      </w:tr>
      <w:tr w:rsidR="007960A8" w14:paraId="7B6B5F41" w14:textId="77777777">
        <w:tc>
          <w:tcPr>
            <w:tcW w:w="3095" w:type="dxa"/>
          </w:tcPr>
          <w:p w14:paraId="3684C6F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“Redundancy Surcharge”</w:t>
            </w:r>
          </w:p>
        </w:tc>
        <w:tc>
          <w:tcPr>
            <w:tcW w:w="4508" w:type="dxa"/>
          </w:tcPr>
          <w:p w14:paraId="1ED20DE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the amount calculated by the </w:t>
            </w:r>
            <w:r>
              <w:rPr>
                <w:i/>
                <w:iCs/>
                <w:color w:val="000000"/>
                <w:sz w:val="21"/>
                <w:szCs w:val="21"/>
              </w:rPr>
              <w:t>Service Provider</w:t>
            </w:r>
            <w:r>
              <w:rPr>
                <w:color w:val="000000"/>
                <w:sz w:val="21"/>
                <w:szCs w:val="21"/>
              </w:rPr>
              <w:t xml:space="preserve"> and charged to the </w:t>
            </w:r>
            <w:r>
              <w:rPr>
                <w:i/>
                <w:iCs/>
                <w:color w:val="000000"/>
                <w:sz w:val="21"/>
                <w:szCs w:val="21"/>
              </w:rPr>
              <w:t>Client</w:t>
            </w:r>
            <w:r>
              <w:rPr>
                <w:color w:val="000000"/>
                <w:sz w:val="21"/>
                <w:szCs w:val="21"/>
              </w:rPr>
              <w:t xml:space="preserve"> relating to either a Relevant Transfer Redundancy Surcharge or a Service Change Redundancy Surcharge;</w:t>
            </w:r>
          </w:p>
        </w:tc>
      </w:tr>
      <w:tr w:rsidR="007960A8" w14:paraId="07D18833" w14:textId="77777777">
        <w:tc>
          <w:tcPr>
            <w:tcW w:w="3095" w:type="dxa"/>
          </w:tcPr>
          <w:p w14:paraId="61323DB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Transfer Redundancy Surcharge”</w:t>
            </w:r>
          </w:p>
        </w:tc>
        <w:tc>
          <w:tcPr>
            <w:tcW w:w="4508" w:type="dxa"/>
          </w:tcPr>
          <w:p w14:paraId="5F77890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in relation to a redundancy as described in clause 3, an addition to the Prices equal in amount to the Redundancy Payment.</w:t>
            </w:r>
          </w:p>
        </w:tc>
      </w:tr>
      <w:tr w:rsidR="007960A8" w14:paraId="546A6A11" w14:textId="77777777">
        <w:tc>
          <w:tcPr>
            <w:tcW w:w="3095" w:type="dxa"/>
          </w:tcPr>
          <w:p w14:paraId="0C62C32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Transfer”</w:t>
            </w:r>
          </w:p>
        </w:tc>
        <w:tc>
          <w:tcPr>
            <w:tcW w:w="4508" w:type="dxa"/>
          </w:tcPr>
          <w:p w14:paraId="43E5729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transfer of employment to which the Employment Regulations applies, and for this Schedule paragraph 2.1.</w:t>
            </w:r>
            <w:r>
              <w:rPr>
                <w:color w:val="000000"/>
                <w:sz w:val="21"/>
                <w:szCs w:val="21"/>
              </w:rPr>
              <w:t xml:space="preserve">1, and paragraph 3 only, shall include the situation where the Former Service Provider becomes the </w:t>
            </w:r>
            <w:r>
              <w:rPr>
                <w:i/>
                <w:iCs/>
                <w:color w:val="000000"/>
                <w:sz w:val="21"/>
                <w:szCs w:val="21"/>
              </w:rPr>
              <w:t>Service Provider</w:t>
            </w:r>
            <w:r>
              <w:rPr>
                <w:color w:val="000000"/>
                <w:sz w:val="21"/>
                <w:szCs w:val="21"/>
              </w:rPr>
              <w:t xml:space="preserve"> on the Start Date;   </w:t>
            </w:r>
          </w:p>
        </w:tc>
      </w:tr>
      <w:tr w:rsidR="007960A8" w14:paraId="7C3D6BFF" w14:textId="77777777">
        <w:tc>
          <w:tcPr>
            <w:tcW w:w="3095" w:type="dxa"/>
          </w:tcPr>
          <w:p w14:paraId="1173EC2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Change Redundancy Surcharge”</w:t>
            </w:r>
          </w:p>
        </w:tc>
        <w:tc>
          <w:tcPr>
            <w:tcW w:w="4508" w:type="dxa"/>
          </w:tcPr>
          <w:p w14:paraId="2736CC0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in relation to a redundancy as described in clause 4, an addition to the </w:t>
            </w:r>
            <w:r>
              <w:rPr>
                <w:color w:val="000000"/>
                <w:sz w:val="21"/>
                <w:szCs w:val="21"/>
              </w:rPr>
              <w:t>prices equal in amount to the Redundancy Payment.</w:t>
            </w:r>
          </w:p>
        </w:tc>
      </w:tr>
      <w:tr w:rsidR="007960A8" w14:paraId="68BFF06E" w14:textId="77777777">
        <w:tc>
          <w:tcPr>
            <w:tcW w:w="3095" w:type="dxa"/>
          </w:tcPr>
          <w:p w14:paraId="5B651ED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“Service Transfer Date”</w:t>
            </w:r>
          </w:p>
        </w:tc>
        <w:tc>
          <w:tcPr>
            <w:tcW w:w="4508" w:type="dxa"/>
          </w:tcPr>
          <w:p w14:paraId="515C9B5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any transfer of the </w:t>
            </w:r>
            <w:r>
              <w:rPr>
                <w:i/>
                <w:iCs/>
                <w:color w:val="000000"/>
                <w:sz w:val="21"/>
                <w:szCs w:val="21"/>
              </w:rPr>
              <w:t>services</w:t>
            </w:r>
            <w:r>
              <w:rPr>
                <w:color w:val="000000"/>
                <w:sz w:val="21"/>
                <w:szCs w:val="21"/>
              </w:rPr>
              <w:t xml:space="preserve"> (or any part of the </w:t>
            </w:r>
            <w:r>
              <w:rPr>
                <w:i/>
                <w:iCs/>
                <w:color w:val="000000"/>
                <w:sz w:val="21"/>
                <w:szCs w:val="21"/>
              </w:rPr>
              <w:t>services</w:t>
            </w:r>
            <w:r>
              <w:rPr>
                <w:color w:val="000000"/>
                <w:sz w:val="21"/>
                <w:szCs w:val="21"/>
              </w:rPr>
              <w:t xml:space="preserve">), for whatever reason, from the </w:t>
            </w:r>
            <w:r>
              <w:rPr>
                <w:i/>
                <w:iCs/>
                <w:color w:val="000000"/>
                <w:sz w:val="21"/>
                <w:szCs w:val="21"/>
              </w:rPr>
              <w:t>Service Provider</w:t>
            </w:r>
            <w:r>
              <w:rPr>
                <w:color w:val="000000"/>
                <w:sz w:val="21"/>
                <w:szCs w:val="21"/>
              </w:rPr>
              <w:t xml:space="preserve"> or any Subcontractor to a replacement Service Provider or a replacement Su</w:t>
            </w:r>
            <w:r>
              <w:rPr>
                <w:color w:val="000000"/>
                <w:sz w:val="21"/>
                <w:szCs w:val="21"/>
              </w:rPr>
              <w:t>bcontractor;</w:t>
            </w:r>
          </w:p>
        </w:tc>
      </w:tr>
      <w:tr w:rsidR="007960A8" w14:paraId="1BAD4531" w14:textId="77777777">
        <w:tc>
          <w:tcPr>
            <w:tcW w:w="3095" w:type="dxa"/>
          </w:tcPr>
          <w:p w14:paraId="2677A306"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“Transferring Client Employee”</w:t>
            </w:r>
          </w:p>
        </w:tc>
        <w:tc>
          <w:tcPr>
            <w:tcW w:w="4508" w:type="dxa"/>
          </w:tcPr>
          <w:p w14:paraId="56B5E8B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those employees of the </w:t>
            </w:r>
            <w:r>
              <w:rPr>
                <w:i/>
                <w:iCs/>
                <w:color w:val="000000"/>
                <w:sz w:val="21"/>
                <w:szCs w:val="21"/>
              </w:rPr>
              <w:t>Client</w:t>
            </w:r>
            <w:r>
              <w:rPr>
                <w:color w:val="000000"/>
                <w:sz w:val="21"/>
                <w:szCs w:val="21"/>
              </w:rPr>
              <w:t xml:space="preserve"> to whom the Employment Regulations will apply on the Relevant Transfer Date;</w:t>
            </w:r>
          </w:p>
        </w:tc>
      </w:tr>
      <w:tr w:rsidR="007960A8" w14:paraId="0A654D4E" w14:textId="77777777">
        <w:tc>
          <w:tcPr>
            <w:tcW w:w="3095" w:type="dxa"/>
          </w:tcPr>
          <w:p w14:paraId="61442FA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“Transferring Service Provider Employees”</w:t>
            </w:r>
          </w:p>
        </w:tc>
        <w:tc>
          <w:tcPr>
            <w:tcW w:w="4508" w:type="dxa"/>
          </w:tcPr>
          <w:p w14:paraId="0FE61FF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those employees of the </w:t>
            </w:r>
            <w:r>
              <w:rPr>
                <w:i/>
                <w:iCs/>
                <w:color w:val="000000"/>
                <w:sz w:val="21"/>
                <w:szCs w:val="21"/>
              </w:rPr>
              <w:t>Service Provider</w:t>
            </w:r>
            <w:r>
              <w:rPr>
                <w:color w:val="000000"/>
                <w:sz w:val="21"/>
                <w:szCs w:val="21"/>
              </w:rPr>
              <w:t xml:space="preserve"> and/or the Service Providers Subcontractors to whom the Employment Regulations will apply on the Service Transfer Date;</w:t>
            </w:r>
          </w:p>
        </w:tc>
      </w:tr>
      <w:tr w:rsidR="007960A8" w14:paraId="6CE5F7A7" w14:textId="77777777">
        <w:tc>
          <w:tcPr>
            <w:tcW w:w="3095" w:type="dxa"/>
          </w:tcPr>
          <w:p w14:paraId="6B53658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“Transferring Service Provider Employee(s)”</w:t>
            </w:r>
          </w:p>
        </w:tc>
        <w:tc>
          <w:tcPr>
            <w:tcW w:w="4508" w:type="dxa"/>
          </w:tcPr>
          <w:p w14:paraId="7969DA3B"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In relation to a Former Service Provider, those employees of the Former Service Provider t</w:t>
            </w:r>
            <w:r>
              <w:rPr>
                <w:color w:val="000000"/>
                <w:sz w:val="21"/>
                <w:szCs w:val="21"/>
              </w:rPr>
              <w:t>o whom the Employment Regulations will apply on the Relevant Transfer Date;</w:t>
            </w:r>
          </w:p>
        </w:tc>
      </w:tr>
    </w:tbl>
    <w:p w14:paraId="4D5AA300"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Introduction</w:t>
      </w:r>
    </w:p>
    <w:p w14:paraId="292C0F0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This Schedule sets out the process for determining the Redundancy Surcharge in the event that:</w:t>
      </w:r>
    </w:p>
    <w:p w14:paraId="1A49DCE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following a Relevant Transfer, a Transferring Former Service Provider Employee and/or a Transferring Client Employee is made redundant by the </w:t>
      </w:r>
      <w:r>
        <w:rPr>
          <w:i/>
          <w:iCs/>
          <w:color w:val="000000"/>
          <w:sz w:val="21"/>
          <w:szCs w:val="21"/>
        </w:rPr>
        <w:t>Service Provider</w:t>
      </w:r>
      <w:r>
        <w:rPr>
          <w:color w:val="000000"/>
          <w:sz w:val="21"/>
          <w:szCs w:val="21"/>
        </w:rPr>
        <w:t xml:space="preserve"> as</w:t>
      </w:r>
      <w:r>
        <w:rPr>
          <w:color w:val="000000"/>
          <w:sz w:val="21"/>
          <w:szCs w:val="21"/>
        </w:rPr>
        <w:t xml:space="preserve"> a result of an economic technical organisational reason entailing changes to the workforce as per clause 3; and</w:t>
      </w:r>
    </w:p>
    <w:p w14:paraId="1EAB934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makes a change to the </w:t>
      </w:r>
      <w:r>
        <w:rPr>
          <w:i/>
          <w:iCs/>
          <w:color w:val="000000"/>
          <w:sz w:val="21"/>
          <w:szCs w:val="21"/>
        </w:rPr>
        <w:t>services</w:t>
      </w:r>
      <w:r>
        <w:rPr>
          <w:color w:val="000000"/>
          <w:sz w:val="21"/>
          <w:szCs w:val="21"/>
        </w:rPr>
        <w:t xml:space="preserve"> which results in the removal of any </w:t>
      </w:r>
      <w:r>
        <w:rPr>
          <w:i/>
          <w:iCs/>
          <w:color w:val="000000"/>
          <w:sz w:val="21"/>
          <w:szCs w:val="21"/>
        </w:rPr>
        <w:t>services</w:t>
      </w:r>
      <w:r>
        <w:rPr>
          <w:color w:val="000000"/>
          <w:sz w:val="21"/>
          <w:szCs w:val="21"/>
        </w:rPr>
        <w:t xml:space="preserve"> or closure of any of the Client Premises, as per clause </w:t>
      </w:r>
      <w:r>
        <w:rPr>
          <w:color w:val="000000"/>
          <w:sz w:val="21"/>
          <w:szCs w:val="21"/>
        </w:rPr>
        <w:t>4.</w:t>
      </w:r>
    </w:p>
    <w:p w14:paraId="373F02EF"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 xml:space="preserve">Relevant Transfer Redundancy Surcharge </w:t>
      </w:r>
    </w:p>
    <w:p w14:paraId="07605E5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An Interim Relevant Transfer Redundancy Surcharge shall be agreed between the parties and included in the </w:t>
      </w:r>
      <w:r>
        <w:rPr>
          <w:i/>
          <w:iCs/>
          <w:color w:val="000000"/>
          <w:sz w:val="21"/>
          <w:szCs w:val="21"/>
        </w:rPr>
        <w:t>Price List</w:t>
      </w:r>
      <w:r>
        <w:rPr>
          <w:color w:val="000000"/>
          <w:sz w:val="21"/>
          <w:szCs w:val="21"/>
        </w:rPr>
        <w:t>.</w:t>
      </w:r>
    </w:p>
    <w:p w14:paraId="17112A4C"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Following Contract award, where a Relevant Transfer takes place, or will take place, the </w:t>
      </w:r>
      <w:r>
        <w:rPr>
          <w:i/>
          <w:iCs/>
          <w:color w:val="000000"/>
          <w:sz w:val="21"/>
          <w:szCs w:val="21"/>
        </w:rPr>
        <w:t>Servic</w:t>
      </w:r>
      <w:r>
        <w:rPr>
          <w:i/>
          <w:iCs/>
          <w:color w:val="000000"/>
          <w:sz w:val="21"/>
          <w:szCs w:val="21"/>
        </w:rPr>
        <w:t>e Provider</w:t>
      </w:r>
      <w:r>
        <w:rPr>
          <w:color w:val="000000"/>
          <w:sz w:val="21"/>
          <w:szCs w:val="21"/>
        </w:rPr>
        <w:t xml:space="preserve"> shall not make any Transferring Former Service Provider Employee(s) and/or Transferring Client Employee(s) redundant without consulting the </w:t>
      </w:r>
      <w:r>
        <w:rPr>
          <w:i/>
          <w:iCs/>
          <w:color w:val="000000"/>
          <w:sz w:val="21"/>
          <w:szCs w:val="21"/>
        </w:rPr>
        <w:t>Client</w:t>
      </w:r>
      <w:r>
        <w:rPr>
          <w:color w:val="000000"/>
          <w:sz w:val="21"/>
          <w:szCs w:val="21"/>
        </w:rPr>
        <w:t>.</w:t>
      </w:r>
    </w:p>
    <w:p w14:paraId="0890598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Relevant Transfer Redundancy Surcharge shall be zero unless the </w:t>
      </w:r>
      <w:r>
        <w:rPr>
          <w:i/>
          <w:iCs/>
          <w:color w:val="000000"/>
          <w:sz w:val="21"/>
          <w:szCs w:val="21"/>
        </w:rPr>
        <w:t>Service Provider</w:t>
      </w:r>
      <w:r>
        <w:rPr>
          <w:color w:val="000000"/>
          <w:sz w:val="21"/>
          <w:szCs w:val="21"/>
        </w:rPr>
        <w:t xml:space="preserve"> has consulte</w:t>
      </w:r>
      <w:r>
        <w:rPr>
          <w:color w:val="000000"/>
          <w:sz w:val="21"/>
          <w:szCs w:val="21"/>
        </w:rPr>
        <w:t xml:space="preserve">d with the </w:t>
      </w:r>
      <w:r>
        <w:rPr>
          <w:i/>
          <w:iCs/>
          <w:color w:val="000000"/>
          <w:sz w:val="21"/>
          <w:szCs w:val="21"/>
        </w:rPr>
        <w:t>Client</w:t>
      </w:r>
      <w:r>
        <w:rPr>
          <w:color w:val="000000"/>
          <w:sz w:val="21"/>
          <w:szCs w:val="21"/>
        </w:rPr>
        <w:t xml:space="preserve">, pursuant to clause 3.2, about the particular Transferring Former Service Provider Employee(s) and/or Transferring Client Employee(s) within 12 months of the </w:t>
      </w:r>
      <w:r>
        <w:rPr>
          <w:i/>
          <w:iCs/>
          <w:color w:val="000000"/>
          <w:sz w:val="21"/>
          <w:szCs w:val="21"/>
        </w:rPr>
        <w:t>Starting Date</w:t>
      </w:r>
      <w:r>
        <w:rPr>
          <w:color w:val="000000"/>
          <w:sz w:val="21"/>
          <w:szCs w:val="21"/>
        </w:rPr>
        <w:t>.</w:t>
      </w:r>
    </w:p>
    <w:p w14:paraId="24C7B1E4"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mitigate the effects of any Relevant Transfer Redundanc</w:t>
      </w:r>
      <w:r>
        <w:rPr>
          <w:color w:val="000000"/>
          <w:sz w:val="21"/>
          <w:szCs w:val="21"/>
        </w:rPr>
        <w:t>y Surcharge by:</w:t>
      </w:r>
    </w:p>
    <w:p w14:paraId="1C00387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redeploying such people where it is practicable for the </w:t>
      </w:r>
      <w:r>
        <w:rPr>
          <w:i/>
          <w:iCs/>
          <w:color w:val="000000"/>
          <w:sz w:val="21"/>
          <w:szCs w:val="21"/>
        </w:rPr>
        <w:t>Service Provider</w:t>
      </w:r>
      <w:r>
        <w:rPr>
          <w:color w:val="000000"/>
          <w:sz w:val="21"/>
          <w:szCs w:val="21"/>
        </w:rPr>
        <w:t xml:space="preserve"> to do so; or</w:t>
      </w:r>
    </w:p>
    <w:p w14:paraId="4F840A3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redeployment is not practicable, taking such reasonable mitigation steps to minimise the costs of redundancy where practicable; and</w:t>
      </w:r>
    </w:p>
    <w:p w14:paraId="1789EFE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complying with the Law and any reasonable instructions from the </w:t>
      </w:r>
      <w:r>
        <w:rPr>
          <w:i/>
          <w:iCs/>
          <w:color w:val="000000"/>
          <w:sz w:val="21"/>
          <w:szCs w:val="21"/>
        </w:rPr>
        <w:t>Client</w:t>
      </w:r>
      <w:r>
        <w:rPr>
          <w:color w:val="000000"/>
          <w:sz w:val="21"/>
          <w:szCs w:val="21"/>
        </w:rPr>
        <w:t>.</w:t>
      </w:r>
    </w:p>
    <w:p w14:paraId="21C427D0"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 later than twenty (20) Working Days after the Relevant Transfer, submit to the </w:t>
      </w:r>
      <w:r>
        <w:rPr>
          <w:i/>
          <w:iCs/>
          <w:color w:val="000000"/>
          <w:sz w:val="21"/>
          <w:szCs w:val="21"/>
        </w:rPr>
        <w:t>Client</w:t>
      </w:r>
      <w:r>
        <w:rPr>
          <w:color w:val="000000"/>
          <w:sz w:val="21"/>
          <w:szCs w:val="21"/>
        </w:rPr>
        <w:t>:</w:t>
      </w:r>
    </w:p>
    <w:p w14:paraId="7D381C5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notice that no adjustment is required (with supporting evidence as</w:t>
      </w:r>
      <w:r>
        <w:rPr>
          <w:color w:val="000000"/>
          <w:sz w:val="21"/>
          <w:szCs w:val="21"/>
        </w:rPr>
        <w:t xml:space="preserve"> may reasonably be required by the </w:t>
      </w:r>
      <w:r>
        <w:rPr>
          <w:i/>
          <w:iCs/>
          <w:color w:val="000000"/>
          <w:sz w:val="21"/>
          <w:szCs w:val="21"/>
        </w:rPr>
        <w:t>Client</w:t>
      </w:r>
      <w:r>
        <w:rPr>
          <w:color w:val="000000"/>
          <w:sz w:val="21"/>
          <w:szCs w:val="21"/>
        </w:rPr>
        <w:t xml:space="preserve">) and the Relevant Transfer Redundancy Surcharge included in the </w:t>
      </w:r>
      <w:r>
        <w:rPr>
          <w:i/>
          <w:iCs/>
          <w:color w:val="000000"/>
          <w:sz w:val="21"/>
          <w:szCs w:val="21"/>
        </w:rPr>
        <w:t>Price List</w:t>
      </w:r>
      <w:r>
        <w:rPr>
          <w:color w:val="000000"/>
          <w:sz w:val="21"/>
          <w:szCs w:val="21"/>
        </w:rPr>
        <w:t xml:space="preserve"> shall be the Relevant Transfer Redundancy Surcharge; or</w:t>
      </w:r>
    </w:p>
    <w:p w14:paraId="6CA353BF"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its updated calculation of the Relevant Transfer Redundancy Surcharge together with</w:t>
      </w:r>
      <w:r>
        <w:rPr>
          <w:color w:val="000000"/>
          <w:sz w:val="21"/>
          <w:szCs w:val="21"/>
        </w:rPr>
        <w:t xml:space="preserve"> a breakdown and supporting evidence as may be reasonably required for the </w:t>
      </w:r>
      <w:r>
        <w:rPr>
          <w:i/>
          <w:iCs/>
          <w:color w:val="000000"/>
          <w:sz w:val="21"/>
          <w:szCs w:val="21"/>
        </w:rPr>
        <w:t>Client</w:t>
      </w:r>
      <w:r>
        <w:rPr>
          <w:color w:val="000000"/>
          <w:sz w:val="21"/>
          <w:szCs w:val="21"/>
        </w:rPr>
        <w:t xml:space="preserve"> to corroborate and assess the calculation of the Relevant Transfer Redundancy Surcharge.  The </w:t>
      </w:r>
      <w:r>
        <w:rPr>
          <w:i/>
          <w:iCs/>
          <w:color w:val="000000"/>
          <w:sz w:val="21"/>
          <w:szCs w:val="21"/>
        </w:rPr>
        <w:t>Service Provider</w:t>
      </w:r>
      <w:r>
        <w:rPr>
          <w:color w:val="000000"/>
          <w:sz w:val="21"/>
          <w:szCs w:val="21"/>
        </w:rPr>
        <w:t xml:space="preserve"> shall submit its updated calculation regardless of whether it i</w:t>
      </w:r>
      <w:r>
        <w:rPr>
          <w:color w:val="000000"/>
          <w:sz w:val="21"/>
          <w:szCs w:val="21"/>
        </w:rPr>
        <w:t xml:space="preserve">s lower than the Interim Relevant Transfer Redundancy Surcharge included in the </w:t>
      </w:r>
      <w:r>
        <w:rPr>
          <w:i/>
          <w:iCs/>
          <w:color w:val="000000"/>
          <w:sz w:val="21"/>
          <w:szCs w:val="21"/>
        </w:rPr>
        <w:t>Price List</w:t>
      </w:r>
      <w:r>
        <w:rPr>
          <w:color w:val="000000"/>
          <w:sz w:val="21"/>
          <w:szCs w:val="21"/>
        </w:rPr>
        <w:t>.</w:t>
      </w:r>
    </w:p>
    <w:p w14:paraId="50D0BE3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be entitled to request payment of either an Interim Relevant Transfer Redundancy Surcharge or a Relevant Transfer Redundancy Surcharg</w:t>
      </w:r>
      <w:r>
        <w:rPr>
          <w:color w:val="000000"/>
          <w:sz w:val="21"/>
          <w:szCs w:val="21"/>
        </w:rPr>
        <w:t>e unless it, or the notified Subcontractor (as applicable), has followed a fair dismissal procedure and complied with all contractual and legislative requirements (save for a breach of notice entitlement where payment is made on termination in satisfaction</w:t>
      </w:r>
      <w:r>
        <w:rPr>
          <w:color w:val="000000"/>
          <w:sz w:val="21"/>
          <w:szCs w:val="21"/>
        </w:rPr>
        <w:t xml:space="preserve"> of the employee's claim for damages) in respect of each termination for redundancy to which the Relevant Transfer Redundancy Surcharge relates.</w:t>
      </w:r>
    </w:p>
    <w:p w14:paraId="731D6F1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On receipt of the </w:t>
      </w:r>
      <w:r>
        <w:rPr>
          <w:i/>
          <w:iCs/>
          <w:color w:val="000000"/>
          <w:sz w:val="21"/>
          <w:szCs w:val="21"/>
        </w:rPr>
        <w:t>Service Provider’s</w:t>
      </w:r>
      <w:r>
        <w:rPr>
          <w:color w:val="000000"/>
          <w:sz w:val="21"/>
          <w:szCs w:val="21"/>
        </w:rPr>
        <w:t xml:space="preserve"> notice in accordance with clause 3.5 the </w:t>
      </w:r>
      <w:r>
        <w:rPr>
          <w:i/>
          <w:iCs/>
          <w:color w:val="000000"/>
          <w:sz w:val="21"/>
          <w:szCs w:val="21"/>
        </w:rPr>
        <w:t>Client</w:t>
      </w:r>
      <w:r>
        <w:rPr>
          <w:color w:val="000000"/>
          <w:sz w:val="21"/>
          <w:szCs w:val="21"/>
        </w:rPr>
        <w:t xml:space="preserve"> shall:</w:t>
      </w:r>
    </w:p>
    <w:p w14:paraId="4B3B808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 xml:space="preserve">Service </w:t>
      </w:r>
      <w:r>
        <w:rPr>
          <w:i/>
          <w:iCs/>
          <w:color w:val="000000"/>
          <w:sz w:val="21"/>
          <w:szCs w:val="21"/>
        </w:rPr>
        <w:t>Provider</w:t>
      </w:r>
      <w:r>
        <w:rPr>
          <w:color w:val="000000"/>
          <w:sz w:val="21"/>
          <w:szCs w:val="21"/>
        </w:rPr>
        <w:t xml:space="preserve"> in writing of acceptance of the Relevant Transfer Redundancy Surcharge (as updated as may be applicable) relating to the Relevant Transfer; and/or </w:t>
      </w:r>
    </w:p>
    <w:p w14:paraId="44BF67E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request further information/evidence; and/or</w:t>
      </w:r>
    </w:p>
    <w:p w14:paraId="7E01079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request a meeting to discuss/clarify the evidence prov</w:t>
      </w:r>
      <w:r>
        <w:rPr>
          <w:color w:val="000000"/>
          <w:sz w:val="21"/>
          <w:szCs w:val="21"/>
        </w:rPr>
        <w:t>ided.</w:t>
      </w:r>
    </w:p>
    <w:p w14:paraId="088D186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Where the Relevant Transfer Redundancy Surcharge (as updated as may be applicable) is accepted following the receipt of further information/evidence or following a meeting, the </w:t>
      </w:r>
      <w:r>
        <w:rPr>
          <w:i/>
          <w:iCs/>
          <w:color w:val="000000"/>
          <w:sz w:val="21"/>
          <w:szCs w:val="21"/>
        </w:rPr>
        <w:t>Client</w:t>
      </w:r>
      <w:r>
        <w:rPr>
          <w:color w:val="000000"/>
          <w:sz w:val="21"/>
          <w:szCs w:val="21"/>
        </w:rPr>
        <w:t xml:space="preserve"> shall notify the </w:t>
      </w:r>
      <w:r>
        <w:rPr>
          <w:i/>
          <w:iCs/>
          <w:color w:val="000000"/>
          <w:sz w:val="21"/>
          <w:szCs w:val="21"/>
        </w:rPr>
        <w:t>Service Provider</w:t>
      </w:r>
      <w:r>
        <w:rPr>
          <w:color w:val="000000"/>
          <w:sz w:val="21"/>
          <w:szCs w:val="21"/>
        </w:rPr>
        <w:t xml:space="preserve"> in writing of their acceptance a</w:t>
      </w:r>
      <w:r>
        <w:rPr>
          <w:color w:val="000000"/>
          <w:sz w:val="21"/>
          <w:szCs w:val="21"/>
        </w:rPr>
        <w:t xml:space="preserve">nd the </w:t>
      </w:r>
      <w:r>
        <w:rPr>
          <w:i/>
          <w:iCs/>
          <w:color w:val="000000"/>
          <w:sz w:val="21"/>
          <w:szCs w:val="21"/>
        </w:rPr>
        <w:t>Service Manager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w:t>
      </w:r>
    </w:p>
    <w:p w14:paraId="27EEEF1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In the event that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are unable to agree the Relevant Transfer Redundancy Surcharge (as updated as may be applicable), they shall follow W1 or W2 as allocated in this contract. </w:t>
      </w:r>
    </w:p>
    <w:p w14:paraId="1456B82C"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 xml:space="preserve">  Service Change Redundancy Surcharge</w:t>
      </w:r>
    </w:p>
    <w:p w14:paraId="5DE424A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Subject to clause 4.2, clause 4.3 and clause 4.4 where the </w:t>
      </w:r>
      <w:r>
        <w:rPr>
          <w:i/>
          <w:iCs/>
          <w:color w:val="000000"/>
          <w:sz w:val="21"/>
          <w:szCs w:val="21"/>
        </w:rPr>
        <w:t>Service Provider</w:t>
      </w:r>
      <w:r>
        <w:rPr>
          <w:color w:val="000000"/>
          <w:sz w:val="21"/>
          <w:szCs w:val="21"/>
        </w:rPr>
        <w:t xml:space="preserve"> or any notified Subcontractor makes or intends to make a Redundancy Payment in relation to any termination for redundancy made as a direct result of a </w:t>
      </w:r>
      <w:r>
        <w:rPr>
          <w:i/>
          <w:iCs/>
          <w:color w:val="000000"/>
          <w:sz w:val="21"/>
          <w:szCs w:val="21"/>
        </w:rPr>
        <w:t>Client</w:t>
      </w:r>
      <w:r>
        <w:rPr>
          <w:color w:val="000000"/>
          <w:sz w:val="21"/>
          <w:szCs w:val="21"/>
        </w:rPr>
        <w:t xml:space="preserve"> instigated building cl</w:t>
      </w:r>
      <w:r>
        <w:rPr>
          <w:color w:val="000000"/>
          <w:sz w:val="21"/>
          <w:szCs w:val="21"/>
        </w:rPr>
        <w:t xml:space="preserve">osure or removal of </w:t>
      </w:r>
      <w:r>
        <w:rPr>
          <w:i/>
          <w:iCs/>
          <w:color w:val="000000"/>
          <w:sz w:val="21"/>
          <w:szCs w:val="21"/>
        </w:rPr>
        <w:t>service(s)</w:t>
      </w:r>
      <w:r>
        <w:rPr>
          <w:color w:val="000000"/>
          <w:sz w:val="21"/>
          <w:szCs w:val="21"/>
        </w:rPr>
        <w:t xml:space="preserve">, the </w:t>
      </w:r>
      <w:r>
        <w:rPr>
          <w:i/>
          <w:iCs/>
          <w:color w:val="000000"/>
          <w:sz w:val="21"/>
          <w:szCs w:val="21"/>
        </w:rPr>
        <w:t>Service Provider</w:t>
      </w:r>
      <w:r>
        <w:rPr>
          <w:color w:val="000000"/>
          <w:sz w:val="21"/>
          <w:szCs w:val="21"/>
        </w:rPr>
        <w:t xml:space="preserve"> may be entitled to request a Service Change Redundancy Surcharge.</w:t>
      </w:r>
    </w:p>
    <w:p w14:paraId="145F357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be entitled to request a Service Change Redundancy Surcharge under clause 4.1 unless it has, before any re</w:t>
      </w:r>
      <w:r>
        <w:rPr>
          <w:color w:val="000000"/>
          <w:sz w:val="21"/>
          <w:szCs w:val="21"/>
        </w:rPr>
        <w:t>levant termination for redundancy is made:</w:t>
      </w:r>
    </w:p>
    <w:p w14:paraId="239320C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consulted the </w:t>
      </w:r>
      <w:r>
        <w:rPr>
          <w:i/>
          <w:iCs/>
          <w:color w:val="000000"/>
          <w:sz w:val="21"/>
          <w:szCs w:val="21"/>
        </w:rPr>
        <w:t>Client</w:t>
      </w:r>
      <w:r>
        <w:rPr>
          <w:color w:val="000000"/>
          <w:sz w:val="21"/>
          <w:szCs w:val="21"/>
        </w:rPr>
        <w:t xml:space="preserve"> about the proposal to make any such termination for redundancy;</w:t>
      </w:r>
    </w:p>
    <w:p w14:paraId="5E5D202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provided the </w:t>
      </w:r>
      <w:r>
        <w:rPr>
          <w:i/>
          <w:iCs/>
          <w:color w:val="000000"/>
          <w:sz w:val="21"/>
          <w:szCs w:val="21"/>
        </w:rPr>
        <w:t>Client</w:t>
      </w:r>
      <w:r>
        <w:rPr>
          <w:color w:val="000000"/>
          <w:sz w:val="21"/>
          <w:szCs w:val="21"/>
        </w:rPr>
        <w:t xml:space="preserve"> with written estimates of any relevant Redundancy Payment together with a breakdown of such estimates and su</w:t>
      </w:r>
      <w:r>
        <w:rPr>
          <w:color w:val="000000"/>
          <w:sz w:val="21"/>
          <w:szCs w:val="21"/>
        </w:rPr>
        <w:t xml:space="preserve">ch supporting evidence as the </w:t>
      </w:r>
      <w:r>
        <w:rPr>
          <w:i/>
          <w:iCs/>
          <w:color w:val="000000"/>
          <w:sz w:val="21"/>
          <w:szCs w:val="21"/>
        </w:rPr>
        <w:t>Client</w:t>
      </w:r>
      <w:r>
        <w:rPr>
          <w:color w:val="000000"/>
          <w:sz w:val="21"/>
          <w:szCs w:val="21"/>
        </w:rPr>
        <w:t xml:space="preserve"> may reasonably request to corroborate and assess the calculations; and </w:t>
      </w:r>
    </w:p>
    <w:p w14:paraId="35A731F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Provided the </w:t>
      </w:r>
      <w:r>
        <w:rPr>
          <w:i/>
          <w:iCs/>
          <w:color w:val="000000"/>
          <w:sz w:val="21"/>
          <w:szCs w:val="21"/>
        </w:rPr>
        <w:t>Client</w:t>
      </w:r>
      <w:r>
        <w:rPr>
          <w:color w:val="000000"/>
          <w:sz w:val="21"/>
          <w:szCs w:val="21"/>
        </w:rPr>
        <w:t xml:space="preserve"> with details of the steps the </w:t>
      </w:r>
      <w:r>
        <w:rPr>
          <w:i/>
          <w:iCs/>
          <w:color w:val="000000"/>
          <w:sz w:val="21"/>
          <w:szCs w:val="21"/>
        </w:rPr>
        <w:t>Service Provider</w:t>
      </w:r>
      <w:r>
        <w:rPr>
          <w:color w:val="000000"/>
          <w:sz w:val="21"/>
          <w:szCs w:val="21"/>
        </w:rPr>
        <w:t xml:space="preserve">, or the notified Subcontractor (as applicable), has taken (or proposes to take) </w:t>
      </w:r>
      <w:r>
        <w:rPr>
          <w:color w:val="000000"/>
          <w:sz w:val="21"/>
          <w:szCs w:val="21"/>
        </w:rPr>
        <w:t>to mitigate such costs in accordance with clause 4.4.</w:t>
      </w:r>
    </w:p>
    <w:p w14:paraId="6A339FBF"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be entitled to request a Service Change Redundancy Surcharge under clause 4.1 unless it, or the notified Subcontractor (as applicable), has followed a fair dismissal proce</w:t>
      </w:r>
      <w:r>
        <w:rPr>
          <w:color w:val="000000"/>
          <w:sz w:val="21"/>
          <w:szCs w:val="21"/>
        </w:rPr>
        <w:t>dure and complied with all contractual and legislative requirements (save for a breach of notice entitlement where payment is made on termination in satisfaction of the employee's claim for damages) in respect of each termination for redundancy to which th</w:t>
      </w:r>
      <w:r>
        <w:rPr>
          <w:color w:val="000000"/>
          <w:sz w:val="21"/>
          <w:szCs w:val="21"/>
        </w:rPr>
        <w:t>e Service Change Redundancy Surcharge relates.</w:t>
      </w:r>
    </w:p>
    <w:p w14:paraId="5984613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(or, where relevant, shall procure that the notified Subcontractor shall) avoid having to make, or mitigate the extent of, any Redundancy Payment by:</w:t>
      </w:r>
    </w:p>
    <w:p w14:paraId="46934E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redeploying any relevant person </w:t>
      </w:r>
      <w:r>
        <w:rPr>
          <w:color w:val="000000"/>
          <w:sz w:val="21"/>
          <w:szCs w:val="21"/>
        </w:rPr>
        <w:t>where it is practicable to do so;</w:t>
      </w:r>
    </w:p>
    <w:p w14:paraId="1C44FE6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redeployment is not practicable, taking reasonable steps to minimise the amount of Redundancy Payment, including requiring employees to work their notice where this is practicable; and</w:t>
      </w:r>
    </w:p>
    <w:p w14:paraId="1DE07CE7"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complying with the Law and any reasonable instructions.</w:t>
      </w:r>
    </w:p>
    <w:p w14:paraId="4824685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not be entitled to request a Service Change Redundancy Surcharge under clause 4.1 unless:</w:t>
      </w:r>
    </w:p>
    <w:p w14:paraId="37C36A7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(or, where relevant, notified Subcontractor) has consulted wit</w:t>
      </w:r>
      <w:r>
        <w:rPr>
          <w:color w:val="000000"/>
          <w:sz w:val="21"/>
          <w:szCs w:val="21"/>
        </w:rPr>
        <w:t xml:space="preserve">h the </w:t>
      </w:r>
      <w:r>
        <w:rPr>
          <w:i/>
          <w:iCs/>
          <w:color w:val="000000"/>
          <w:sz w:val="21"/>
          <w:szCs w:val="21"/>
        </w:rPr>
        <w:t>Client</w:t>
      </w:r>
      <w:r>
        <w:rPr>
          <w:color w:val="000000"/>
          <w:sz w:val="21"/>
          <w:szCs w:val="21"/>
        </w:rPr>
        <w:t xml:space="preserve">, pursuant to clause 4.2.1, within one month of receiving notice by the </w:t>
      </w:r>
      <w:r>
        <w:rPr>
          <w:i/>
          <w:iCs/>
          <w:color w:val="000000"/>
          <w:sz w:val="21"/>
          <w:szCs w:val="21"/>
        </w:rPr>
        <w:t>Service Provider</w:t>
      </w:r>
      <w:r>
        <w:rPr>
          <w:color w:val="000000"/>
          <w:sz w:val="21"/>
          <w:szCs w:val="21"/>
        </w:rPr>
        <w:t xml:space="preserve"> of the building closure or removal of </w:t>
      </w:r>
      <w:r>
        <w:rPr>
          <w:i/>
          <w:iCs/>
          <w:color w:val="000000"/>
          <w:sz w:val="21"/>
          <w:szCs w:val="21"/>
        </w:rPr>
        <w:t>service(s)</w:t>
      </w:r>
      <w:r>
        <w:rPr>
          <w:color w:val="000000"/>
          <w:sz w:val="21"/>
          <w:szCs w:val="21"/>
        </w:rPr>
        <w:t>; and</w:t>
      </w:r>
    </w:p>
    <w:p w14:paraId="5ED8D63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employment of any employee to whom the Redundancy Payment relates is terminated for redundancy no</w:t>
      </w:r>
      <w:r>
        <w:rPr>
          <w:color w:val="000000"/>
          <w:sz w:val="21"/>
          <w:szCs w:val="21"/>
        </w:rPr>
        <w:t xml:space="preserve"> later than one month after the relevant building closure or removal of </w:t>
      </w:r>
      <w:r>
        <w:rPr>
          <w:i/>
          <w:iCs/>
          <w:color w:val="000000"/>
          <w:sz w:val="21"/>
          <w:szCs w:val="21"/>
        </w:rPr>
        <w:t>service(s)</w:t>
      </w:r>
      <w:r>
        <w:rPr>
          <w:color w:val="000000"/>
          <w:sz w:val="21"/>
          <w:szCs w:val="21"/>
        </w:rPr>
        <w:t>.</w:t>
      </w:r>
    </w:p>
    <w:p w14:paraId="3F9EB42D"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 xml:space="preserve">On receipt of the </w:t>
      </w:r>
      <w:r>
        <w:rPr>
          <w:i/>
          <w:iCs/>
          <w:color w:val="000000"/>
          <w:sz w:val="21"/>
          <w:szCs w:val="21"/>
        </w:rPr>
        <w:t>Service Provider’s</w:t>
      </w:r>
      <w:r>
        <w:rPr>
          <w:color w:val="000000"/>
          <w:sz w:val="21"/>
          <w:szCs w:val="21"/>
        </w:rPr>
        <w:t xml:space="preserve"> calculation of the Redundancy Payments in accordance with clause 4 the </w:t>
      </w:r>
      <w:r>
        <w:rPr>
          <w:i/>
          <w:iCs/>
          <w:color w:val="000000"/>
          <w:sz w:val="21"/>
          <w:szCs w:val="21"/>
        </w:rPr>
        <w:t>Client</w:t>
      </w:r>
      <w:r>
        <w:rPr>
          <w:color w:val="000000"/>
          <w:sz w:val="21"/>
          <w:szCs w:val="21"/>
        </w:rPr>
        <w:t xml:space="preserve"> shall either:</w:t>
      </w:r>
    </w:p>
    <w:p w14:paraId="46730507"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Service Provider</w:t>
      </w:r>
      <w:r>
        <w:rPr>
          <w:color w:val="000000"/>
          <w:sz w:val="21"/>
          <w:szCs w:val="21"/>
        </w:rPr>
        <w:t xml:space="preserve"> in writing of acceptance of the Service Change Redundancy Surcharge relating to the relevant building closure or removal of </w:t>
      </w:r>
      <w:r>
        <w:rPr>
          <w:i/>
          <w:iCs/>
          <w:color w:val="000000"/>
          <w:sz w:val="21"/>
          <w:szCs w:val="21"/>
        </w:rPr>
        <w:t>service(s)</w:t>
      </w:r>
      <w:r>
        <w:rPr>
          <w:color w:val="000000"/>
          <w:sz w:val="21"/>
          <w:szCs w:val="21"/>
        </w:rPr>
        <w:t xml:space="preserve">; and/or </w:t>
      </w:r>
    </w:p>
    <w:p w14:paraId="4594BFD9"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request further information/evidence; and/ or</w:t>
      </w:r>
    </w:p>
    <w:p w14:paraId="7690CDA8"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request a meeting to discuss/clarify the evidence provided.</w:t>
      </w:r>
    </w:p>
    <w:p w14:paraId="2C2EA077"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Where</w:t>
      </w:r>
      <w:r>
        <w:rPr>
          <w:color w:val="000000"/>
          <w:sz w:val="21"/>
          <w:szCs w:val="21"/>
        </w:rPr>
        <w:t xml:space="preserve"> the Service Change Redundancy Surcharge is agreed following the receipt of further information/evidence or following a meeting, the </w:t>
      </w:r>
      <w:r>
        <w:rPr>
          <w:i/>
          <w:iCs/>
          <w:color w:val="000000"/>
          <w:sz w:val="21"/>
          <w:szCs w:val="21"/>
        </w:rPr>
        <w:t>Client</w:t>
      </w:r>
      <w:r>
        <w:rPr>
          <w:color w:val="000000"/>
          <w:sz w:val="21"/>
          <w:szCs w:val="21"/>
        </w:rPr>
        <w:t xml:space="preserve"> shall notify the </w:t>
      </w:r>
      <w:r>
        <w:rPr>
          <w:i/>
          <w:iCs/>
          <w:color w:val="000000"/>
          <w:sz w:val="21"/>
          <w:szCs w:val="21"/>
        </w:rPr>
        <w:t>Service Provider</w:t>
      </w:r>
      <w:r>
        <w:rPr>
          <w:color w:val="000000"/>
          <w:sz w:val="21"/>
          <w:szCs w:val="21"/>
        </w:rPr>
        <w:t xml:space="preserve"> in writing and the </w:t>
      </w:r>
      <w:r>
        <w:rPr>
          <w:i/>
          <w:iCs/>
          <w:color w:val="000000"/>
          <w:sz w:val="21"/>
          <w:szCs w:val="21"/>
        </w:rPr>
        <w:t>Service Manager</w:t>
      </w:r>
      <w:r>
        <w:rPr>
          <w:color w:val="000000"/>
          <w:sz w:val="21"/>
          <w:szCs w:val="21"/>
        </w:rPr>
        <w:t xml:space="preserve"> shall give an instruction to correct a mistake </w:t>
      </w:r>
      <w:r>
        <w:rPr>
          <w:color w:val="000000"/>
          <w:sz w:val="21"/>
          <w:szCs w:val="21"/>
        </w:rPr>
        <w:t xml:space="preserve">in the </w:t>
      </w:r>
      <w:r>
        <w:rPr>
          <w:i/>
          <w:iCs/>
          <w:color w:val="000000"/>
          <w:sz w:val="21"/>
          <w:szCs w:val="21"/>
        </w:rPr>
        <w:t>Price List</w:t>
      </w:r>
      <w:r>
        <w:rPr>
          <w:color w:val="000000"/>
          <w:sz w:val="21"/>
          <w:szCs w:val="21"/>
        </w:rPr>
        <w:t xml:space="preserve"> pursuant to 60.1(15). </w:t>
      </w:r>
    </w:p>
    <w:p w14:paraId="13CEC794" w14:textId="77777777" w:rsidR="007960A8" w:rsidRDefault="00A26397">
      <w:pPr>
        <w:widowControl/>
        <w:numPr>
          <w:ilvl w:val="1"/>
          <w:numId w:val="94"/>
        </w:numPr>
        <w:pBdr>
          <w:top w:val="nil"/>
          <w:left w:val="nil"/>
          <w:bottom w:val="nil"/>
          <w:right w:val="nil"/>
          <w:between w:val="nil"/>
        </w:pBdr>
        <w:spacing w:after="240"/>
        <w:jc w:val="both"/>
      </w:pPr>
      <w:r>
        <w:rPr>
          <w:color w:val="000000"/>
          <w:sz w:val="21"/>
          <w:szCs w:val="21"/>
        </w:rPr>
        <w:t xml:space="preserve">In the event that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are unable to agree the Service Change Redundancy Surcharge, they shall follow W1 or W2 as allocated in this contract.</w:t>
      </w:r>
    </w:p>
    <w:p w14:paraId="7ECB4424" w14:textId="77777777" w:rsidR="007960A8" w:rsidRDefault="007960A8">
      <w:pPr>
        <w:widowControl/>
        <w:spacing w:after="160" w:line="259" w:lineRule="auto"/>
        <w:rPr>
          <w:b/>
          <w:bCs/>
          <w:u w:val="single"/>
        </w:rPr>
      </w:pPr>
    </w:p>
    <w:p w14:paraId="57020EF0" w14:textId="77777777" w:rsidR="007960A8" w:rsidRDefault="007960A8">
      <w:pPr>
        <w:widowControl/>
        <w:spacing w:after="160" w:line="259" w:lineRule="auto"/>
        <w:rPr>
          <w:b/>
          <w:bCs/>
          <w:u w:val="single"/>
        </w:rPr>
      </w:pPr>
    </w:p>
    <w:p w14:paraId="050402C1" w14:textId="77777777" w:rsidR="007960A8" w:rsidRDefault="007960A8">
      <w:pPr>
        <w:widowControl/>
        <w:spacing w:after="160" w:line="259" w:lineRule="auto"/>
        <w:rPr>
          <w:b/>
          <w:bCs/>
          <w:u w:val="single"/>
        </w:rPr>
      </w:pPr>
    </w:p>
    <w:p w14:paraId="05EA595E" w14:textId="77777777" w:rsidR="007960A8" w:rsidRDefault="007960A8">
      <w:pPr>
        <w:widowControl/>
        <w:spacing w:after="160" w:line="259" w:lineRule="auto"/>
        <w:rPr>
          <w:b/>
          <w:bCs/>
          <w:u w:val="single"/>
        </w:rPr>
      </w:pPr>
    </w:p>
    <w:p w14:paraId="0A7327EB" w14:textId="77777777" w:rsidR="007960A8" w:rsidRDefault="007960A8">
      <w:pPr>
        <w:widowControl/>
        <w:spacing w:after="160" w:line="259" w:lineRule="auto"/>
        <w:rPr>
          <w:b/>
          <w:bCs/>
          <w:u w:val="single"/>
        </w:rPr>
      </w:pPr>
    </w:p>
    <w:p w14:paraId="7ECF21C2" w14:textId="77777777" w:rsidR="007960A8" w:rsidRDefault="007960A8">
      <w:pPr>
        <w:widowControl/>
        <w:spacing w:after="160" w:line="259" w:lineRule="auto"/>
        <w:rPr>
          <w:b/>
          <w:bCs/>
          <w:u w:val="single"/>
        </w:rPr>
        <w:sectPr w:rsidR="007960A8">
          <w:pgSz w:w="11910" w:h="16840"/>
          <w:pgMar w:top="2080" w:right="1220" w:bottom="1200" w:left="1220" w:header="838" w:footer="1000" w:gutter="0"/>
          <w:cols w:space="720"/>
        </w:sectPr>
      </w:pPr>
    </w:p>
    <w:p w14:paraId="6B4F02F0" w14:textId="77777777" w:rsidR="007960A8" w:rsidRDefault="00A26397">
      <w:pPr>
        <w:widowControl/>
        <w:spacing w:after="160" w:line="259" w:lineRule="auto"/>
        <w:rPr>
          <w:b/>
          <w:bCs/>
        </w:rPr>
      </w:pPr>
      <w:r>
        <w:rPr>
          <w:b/>
          <w:bCs/>
        </w:rPr>
        <w:t>Schedule [</w:t>
      </w:r>
      <w:r>
        <w:t>Guidance: insert schedule ref here</w:t>
      </w:r>
      <w:r>
        <w:rPr>
          <w:b/>
          <w:bCs/>
        </w:rPr>
        <w:t xml:space="preserve">] </w:t>
      </w:r>
      <w:r>
        <w:rPr>
          <w:b/>
          <w:bCs/>
          <w:u w:val="single"/>
        </w:rPr>
        <w:t>TUPE Premium</w:t>
      </w:r>
    </w:p>
    <w:p w14:paraId="5130ADF1" w14:textId="77777777" w:rsidR="007960A8" w:rsidRDefault="00A26397">
      <w:pPr>
        <w:widowControl/>
        <w:numPr>
          <w:ilvl w:val="1"/>
          <w:numId w:val="37"/>
        </w:numPr>
        <w:pBdr>
          <w:top w:val="nil"/>
          <w:left w:val="nil"/>
          <w:bottom w:val="nil"/>
          <w:right w:val="nil"/>
          <w:between w:val="nil"/>
        </w:pBdr>
        <w:spacing w:after="240"/>
        <w:jc w:val="both"/>
      </w:pPr>
      <w:r>
        <w:rPr>
          <w:color w:val="000000"/>
          <w:sz w:val="21"/>
          <w:szCs w:val="21"/>
        </w:rPr>
        <w:t>Definitions</w:t>
      </w:r>
    </w:p>
    <w:p w14:paraId="538DE106"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For the purposes of this Schedule, the following terms shall have the following meanings:</w:t>
      </w:r>
    </w:p>
    <w:tbl>
      <w:tblPr>
        <w:tblStyle w:val="af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760"/>
      </w:tblGrid>
      <w:tr w:rsidR="007960A8" w14:paraId="1159FA92" w14:textId="77777777">
        <w:tc>
          <w:tcPr>
            <w:tcW w:w="3256" w:type="dxa"/>
          </w:tcPr>
          <w:p w14:paraId="04FE814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DEFINITION</w:t>
            </w:r>
          </w:p>
        </w:tc>
        <w:tc>
          <w:tcPr>
            <w:tcW w:w="5760" w:type="dxa"/>
          </w:tcPr>
          <w:p w14:paraId="32B2D31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MEANING</w:t>
            </w:r>
          </w:p>
        </w:tc>
      </w:tr>
      <w:tr w:rsidR="007960A8" w14:paraId="0B504A1C" w14:textId="77777777">
        <w:tc>
          <w:tcPr>
            <w:tcW w:w="3256" w:type="dxa"/>
          </w:tcPr>
          <w:p w14:paraId="43EE7041"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"Adjustable TUPE Premium"</w:t>
            </w:r>
          </w:p>
        </w:tc>
        <w:tc>
          <w:tcPr>
            <w:tcW w:w="5760" w:type="dxa"/>
          </w:tcPr>
          <w:p w14:paraId="2D5556D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adjustable amount payable on an annual basis based on the difference between:</w:t>
            </w:r>
          </w:p>
          <w:p w14:paraId="3DF0444D"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a) </w:t>
            </w:r>
            <w:r>
              <w:rPr>
                <w:color w:val="000000"/>
                <w:sz w:val="21"/>
                <w:szCs w:val="21"/>
              </w:rPr>
              <w:tab/>
              <w:t xml:space="preserve">the costs to employ Transferring Former Service Provider Employees or where the Former Service Provider becomes the </w:t>
            </w:r>
            <w:r>
              <w:rPr>
                <w:i/>
                <w:iCs/>
                <w:color w:val="000000"/>
                <w:sz w:val="21"/>
                <w:szCs w:val="21"/>
              </w:rPr>
              <w:t>Service Provider</w:t>
            </w:r>
            <w:r>
              <w:rPr>
                <w:color w:val="000000"/>
                <w:sz w:val="21"/>
                <w:szCs w:val="21"/>
              </w:rPr>
              <w:t xml:space="preserve"> those Former Service Provider e</w:t>
            </w:r>
            <w:r>
              <w:rPr>
                <w:color w:val="000000"/>
                <w:sz w:val="21"/>
                <w:szCs w:val="21"/>
              </w:rPr>
              <w:t xml:space="preserve">mployees providing the </w:t>
            </w:r>
            <w:r>
              <w:rPr>
                <w:i/>
                <w:iCs/>
                <w:color w:val="000000"/>
                <w:sz w:val="21"/>
                <w:szCs w:val="21"/>
              </w:rPr>
              <w:t>services</w:t>
            </w:r>
            <w:r>
              <w:rPr>
                <w:color w:val="000000"/>
                <w:sz w:val="21"/>
                <w:szCs w:val="21"/>
              </w:rPr>
              <w:t xml:space="preserve"> at the </w:t>
            </w:r>
            <w:r>
              <w:rPr>
                <w:i/>
                <w:iCs/>
                <w:color w:val="000000"/>
                <w:sz w:val="21"/>
                <w:szCs w:val="21"/>
              </w:rPr>
              <w:t>Starting Date</w:t>
            </w:r>
            <w:r>
              <w:rPr>
                <w:color w:val="000000"/>
                <w:sz w:val="21"/>
                <w:szCs w:val="21"/>
              </w:rPr>
              <w:t xml:space="preserve"> and/or Transferring Client Employees (as the case may be); and</w:t>
            </w:r>
          </w:p>
          <w:p w14:paraId="4579168A"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b) </w:t>
            </w:r>
            <w:r>
              <w:rPr>
                <w:color w:val="000000"/>
                <w:sz w:val="21"/>
                <w:szCs w:val="21"/>
              </w:rPr>
              <w:tab/>
              <w:t xml:space="preserve">the equivalent costs to employ staff used by the </w:t>
            </w:r>
            <w:r>
              <w:rPr>
                <w:i/>
                <w:iCs/>
                <w:color w:val="000000"/>
                <w:sz w:val="21"/>
                <w:szCs w:val="21"/>
              </w:rPr>
              <w:t>Service Provider</w:t>
            </w:r>
            <w:r>
              <w:rPr>
                <w:color w:val="000000"/>
                <w:sz w:val="21"/>
                <w:szCs w:val="21"/>
              </w:rPr>
              <w:t xml:space="preserve"> as part of the call-off procedure,</w:t>
            </w:r>
          </w:p>
          <w:p w14:paraId="51627A6F"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in respect of payments due under co</w:t>
            </w:r>
            <w:r>
              <w:rPr>
                <w:color w:val="000000"/>
                <w:sz w:val="21"/>
                <w:szCs w:val="21"/>
              </w:rPr>
              <w:t>ntracts of employment in respect of the following:</w:t>
            </w:r>
          </w:p>
          <w:p w14:paraId="49FFC70B"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i) </w:t>
            </w:r>
            <w:r>
              <w:rPr>
                <w:color w:val="000000"/>
                <w:sz w:val="21"/>
                <w:szCs w:val="21"/>
              </w:rPr>
              <w:tab/>
              <w:t>annual salary;</w:t>
            </w:r>
          </w:p>
          <w:p w14:paraId="7483DF36"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ii) </w:t>
            </w:r>
            <w:r>
              <w:rPr>
                <w:color w:val="000000"/>
                <w:sz w:val="21"/>
                <w:szCs w:val="21"/>
              </w:rPr>
              <w:tab/>
              <w:t>annual national insurance cost;</w:t>
            </w:r>
          </w:p>
          <w:p w14:paraId="0217223E"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iii) </w:t>
            </w:r>
            <w:r>
              <w:rPr>
                <w:color w:val="000000"/>
                <w:sz w:val="21"/>
                <w:szCs w:val="21"/>
              </w:rPr>
              <w:tab/>
              <w:t>Annual Pension Cost;</w:t>
            </w:r>
          </w:p>
          <w:p w14:paraId="4C894F4F"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iv) </w:t>
            </w:r>
            <w:r>
              <w:rPr>
                <w:color w:val="000000"/>
                <w:sz w:val="21"/>
                <w:szCs w:val="21"/>
              </w:rPr>
              <w:tab/>
              <w:t>annual life insurance cost;</w:t>
            </w:r>
          </w:p>
          <w:p w14:paraId="4AB458AD"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v) </w:t>
            </w:r>
            <w:r>
              <w:rPr>
                <w:color w:val="000000"/>
                <w:sz w:val="21"/>
                <w:szCs w:val="21"/>
              </w:rPr>
              <w:tab/>
              <w:t>annual sick pay entitlement;</w:t>
            </w:r>
          </w:p>
          <w:p w14:paraId="03BAC090"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vi) </w:t>
            </w:r>
            <w:r>
              <w:rPr>
                <w:color w:val="000000"/>
                <w:sz w:val="21"/>
                <w:szCs w:val="21"/>
              </w:rPr>
              <w:tab/>
            </w:r>
            <w:r>
              <w:rPr>
                <w:color w:val="000000"/>
                <w:sz w:val="21"/>
                <w:szCs w:val="21"/>
              </w:rPr>
              <w:t>maternity/paternity costs; and</w:t>
            </w:r>
          </w:p>
          <w:p w14:paraId="2E7A1461"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vii) </w:t>
            </w:r>
            <w:r>
              <w:rPr>
                <w:color w:val="000000"/>
                <w:sz w:val="21"/>
                <w:szCs w:val="21"/>
              </w:rPr>
              <w:tab/>
              <w:t>any other cost arising directly from the contract of employment of the Transferring Former Service Provider Employee and or Transferring Client Employee,</w:t>
            </w:r>
          </w:p>
          <w:p w14:paraId="1C6C8C5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set out in paragraph 2 of this Schedule;</w:t>
            </w:r>
          </w:p>
        </w:tc>
      </w:tr>
      <w:tr w:rsidR="007960A8" w14:paraId="1A756B4C" w14:textId="77777777">
        <w:tc>
          <w:tcPr>
            <w:tcW w:w="3256" w:type="dxa"/>
          </w:tcPr>
          <w:p w14:paraId="2237D49D"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“Annual Pension Cost”</w:t>
            </w:r>
          </w:p>
        </w:tc>
        <w:tc>
          <w:tcPr>
            <w:tcW w:w="5760" w:type="dxa"/>
          </w:tcPr>
          <w:p w14:paraId="52E4469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Employer Pension Contributions, subject to the Employer Pension Contribution Cap;</w:t>
            </w:r>
          </w:p>
        </w:tc>
      </w:tr>
      <w:tr w:rsidR="007960A8" w14:paraId="45ED8B5B" w14:textId="77777777">
        <w:tc>
          <w:tcPr>
            <w:tcW w:w="3256" w:type="dxa"/>
          </w:tcPr>
          <w:p w14:paraId="25A204EC"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“Award Without Competition TUPE Premium”</w:t>
            </w:r>
          </w:p>
        </w:tc>
        <w:tc>
          <w:tcPr>
            <w:tcW w:w="5760" w:type="dxa"/>
          </w:tcPr>
          <w:p w14:paraId="53A3A20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adjustable amount payable on an annual basis based on the difference between:</w:t>
            </w:r>
          </w:p>
          <w:p w14:paraId="478CE880"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a) </w:t>
            </w:r>
            <w:r>
              <w:rPr>
                <w:color w:val="000000"/>
                <w:sz w:val="21"/>
                <w:szCs w:val="21"/>
              </w:rPr>
              <w:tab/>
              <w:t xml:space="preserve">the costs to employ Transferring Former Service Provider Employees or where the Former Service Provider becomes the </w:t>
            </w:r>
            <w:r>
              <w:rPr>
                <w:i/>
                <w:iCs/>
                <w:color w:val="000000"/>
                <w:sz w:val="21"/>
                <w:szCs w:val="21"/>
              </w:rPr>
              <w:t>Service Provider</w:t>
            </w:r>
            <w:r>
              <w:rPr>
                <w:color w:val="000000"/>
                <w:sz w:val="21"/>
                <w:szCs w:val="21"/>
              </w:rPr>
              <w:t xml:space="preserve"> those Former Service Provider e</w:t>
            </w:r>
            <w:r>
              <w:rPr>
                <w:color w:val="000000"/>
                <w:sz w:val="21"/>
                <w:szCs w:val="21"/>
              </w:rPr>
              <w:t xml:space="preserve">mployees providing the </w:t>
            </w:r>
            <w:r>
              <w:rPr>
                <w:i/>
                <w:iCs/>
                <w:color w:val="000000"/>
                <w:sz w:val="21"/>
                <w:szCs w:val="21"/>
              </w:rPr>
              <w:t>services</w:t>
            </w:r>
            <w:r>
              <w:rPr>
                <w:color w:val="000000"/>
                <w:sz w:val="21"/>
                <w:szCs w:val="21"/>
              </w:rPr>
              <w:t xml:space="preserve"> at the </w:t>
            </w:r>
            <w:r>
              <w:rPr>
                <w:i/>
                <w:iCs/>
                <w:color w:val="000000"/>
                <w:sz w:val="21"/>
                <w:szCs w:val="21"/>
              </w:rPr>
              <w:t>Starting Date</w:t>
            </w:r>
            <w:r>
              <w:rPr>
                <w:color w:val="000000"/>
                <w:sz w:val="21"/>
                <w:szCs w:val="21"/>
              </w:rPr>
              <w:t xml:space="preserve"> and/or Transferring Client Employees (as the case may be); and</w:t>
            </w:r>
          </w:p>
          <w:p w14:paraId="03C0422E"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b) </w:t>
            </w:r>
            <w:r>
              <w:rPr>
                <w:color w:val="000000"/>
                <w:sz w:val="21"/>
                <w:szCs w:val="21"/>
              </w:rPr>
              <w:tab/>
              <w:t xml:space="preserve">the equivalent costs to employ staff used by the </w:t>
            </w:r>
            <w:r>
              <w:rPr>
                <w:i/>
                <w:iCs/>
                <w:color w:val="000000"/>
                <w:sz w:val="21"/>
                <w:szCs w:val="21"/>
              </w:rPr>
              <w:t>Service Provider</w:t>
            </w:r>
            <w:r>
              <w:rPr>
                <w:color w:val="000000"/>
                <w:sz w:val="21"/>
                <w:szCs w:val="21"/>
              </w:rPr>
              <w:t xml:space="preserve"> at as part of a call-off procedure,</w:t>
            </w:r>
          </w:p>
          <w:p w14:paraId="01B7A3B9" w14:textId="77777777" w:rsidR="007960A8" w:rsidRDefault="00A26397">
            <w:pPr>
              <w:pBdr>
                <w:top w:val="nil"/>
                <w:left w:val="nil"/>
                <w:bottom w:val="nil"/>
                <w:right w:val="nil"/>
                <w:between w:val="nil"/>
              </w:pBdr>
              <w:spacing w:after="240"/>
              <w:ind w:left="447" w:firstLine="7"/>
              <w:rPr>
                <w:color w:val="000000"/>
                <w:sz w:val="21"/>
                <w:szCs w:val="21"/>
              </w:rPr>
            </w:pPr>
            <w:r>
              <w:rPr>
                <w:color w:val="000000"/>
                <w:sz w:val="21"/>
                <w:szCs w:val="21"/>
              </w:rPr>
              <w:t>in respect of payments due under contracts of employment in respect of the following:</w:t>
            </w:r>
          </w:p>
          <w:p w14:paraId="7D10AED8"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i) </w:t>
            </w:r>
            <w:r>
              <w:rPr>
                <w:color w:val="000000"/>
                <w:sz w:val="21"/>
                <w:szCs w:val="21"/>
              </w:rPr>
              <w:tab/>
              <w:t>annual salary;</w:t>
            </w:r>
          </w:p>
          <w:p w14:paraId="04108EFC"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ii) </w:t>
            </w:r>
            <w:r>
              <w:rPr>
                <w:color w:val="000000"/>
                <w:sz w:val="21"/>
                <w:szCs w:val="21"/>
              </w:rPr>
              <w:tab/>
              <w:t>annual national insurance cost;</w:t>
            </w:r>
          </w:p>
          <w:p w14:paraId="0A49FCFE"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iii) </w:t>
            </w:r>
            <w:r>
              <w:rPr>
                <w:color w:val="000000"/>
                <w:sz w:val="21"/>
                <w:szCs w:val="21"/>
              </w:rPr>
              <w:tab/>
              <w:t>Annual Pension Cost;</w:t>
            </w:r>
          </w:p>
          <w:p w14:paraId="537B4C87"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iv) </w:t>
            </w:r>
            <w:r>
              <w:rPr>
                <w:color w:val="000000"/>
                <w:sz w:val="21"/>
                <w:szCs w:val="21"/>
              </w:rPr>
              <w:tab/>
              <w:t>annual life insurance cost;</w:t>
            </w:r>
          </w:p>
          <w:p w14:paraId="3C33AFFC"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v) </w:t>
            </w:r>
            <w:r>
              <w:rPr>
                <w:color w:val="000000"/>
                <w:sz w:val="21"/>
                <w:szCs w:val="21"/>
              </w:rPr>
              <w:tab/>
              <w:t>annual sick pay entitlement;</w:t>
            </w:r>
          </w:p>
          <w:p w14:paraId="25F32154"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vi) </w:t>
            </w:r>
            <w:r>
              <w:rPr>
                <w:color w:val="000000"/>
                <w:sz w:val="21"/>
                <w:szCs w:val="21"/>
              </w:rPr>
              <w:tab/>
              <w:t>maternity/patern</w:t>
            </w:r>
            <w:r>
              <w:rPr>
                <w:color w:val="000000"/>
                <w:sz w:val="21"/>
                <w:szCs w:val="21"/>
              </w:rPr>
              <w:t>ity costs; and</w:t>
            </w:r>
          </w:p>
          <w:p w14:paraId="7B5251A1" w14:textId="77777777" w:rsidR="007960A8" w:rsidRDefault="00A26397">
            <w:pPr>
              <w:pBdr>
                <w:top w:val="nil"/>
                <w:left w:val="nil"/>
                <w:bottom w:val="nil"/>
                <w:right w:val="nil"/>
                <w:between w:val="nil"/>
              </w:pBdr>
              <w:spacing w:after="240"/>
              <w:ind w:left="879" w:hanging="425"/>
              <w:rPr>
                <w:color w:val="000000"/>
                <w:sz w:val="21"/>
                <w:szCs w:val="21"/>
              </w:rPr>
            </w:pPr>
            <w:r>
              <w:rPr>
                <w:color w:val="000000"/>
                <w:sz w:val="21"/>
                <w:szCs w:val="21"/>
              </w:rPr>
              <w:t xml:space="preserve">vii) </w:t>
            </w:r>
            <w:r>
              <w:rPr>
                <w:color w:val="000000"/>
                <w:sz w:val="21"/>
                <w:szCs w:val="21"/>
              </w:rPr>
              <w:tab/>
              <w:t>any other cost arising directly from the contract of employment of the Transferring Former Service Provider Employee and or Transferring Client Employee,</w:t>
            </w:r>
          </w:p>
          <w:p w14:paraId="20127D95"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set out in paragraph 1 of this Schedule;</w:t>
            </w:r>
          </w:p>
          <w:p w14:paraId="00688CC8" w14:textId="77777777" w:rsidR="007960A8" w:rsidRDefault="00A26397">
            <w:pPr>
              <w:pBdr>
                <w:top w:val="nil"/>
                <w:left w:val="nil"/>
                <w:bottom w:val="nil"/>
                <w:right w:val="nil"/>
                <w:between w:val="nil"/>
              </w:pBdr>
              <w:spacing w:after="240"/>
              <w:rPr>
                <w:color w:val="000000"/>
                <w:sz w:val="21"/>
                <w:szCs w:val="21"/>
              </w:rPr>
            </w:pPr>
            <w:r>
              <w:rPr>
                <w:color w:val="000000"/>
                <w:sz w:val="21"/>
                <w:szCs w:val="21"/>
                <w:highlight w:val="yellow"/>
              </w:rPr>
              <w:t>[CLENT GUIDANCE; ensure the above reference to this Schedule is updated]</w:t>
            </w:r>
          </w:p>
        </w:tc>
      </w:tr>
      <w:tr w:rsidR="007960A8" w14:paraId="222AD428" w14:textId="77777777">
        <w:tc>
          <w:tcPr>
            <w:tcW w:w="3256" w:type="dxa"/>
          </w:tcPr>
          <w:p w14:paraId="4507EC7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“Contract Year”</w:t>
            </w:r>
          </w:p>
        </w:tc>
        <w:tc>
          <w:tcPr>
            <w:tcW w:w="5760" w:type="dxa"/>
          </w:tcPr>
          <w:p w14:paraId="5C076141"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consecutive period of twelve (12) months commencing on the </w:t>
            </w:r>
            <w:r>
              <w:rPr>
                <w:i/>
                <w:iCs/>
                <w:color w:val="000000"/>
                <w:sz w:val="21"/>
                <w:szCs w:val="21"/>
              </w:rPr>
              <w:t>Starting Date</w:t>
            </w:r>
            <w:r>
              <w:rPr>
                <w:color w:val="000000"/>
                <w:sz w:val="21"/>
                <w:szCs w:val="21"/>
              </w:rPr>
              <w:t xml:space="preserve"> or each anniversary thereof.</w:t>
            </w:r>
          </w:p>
        </w:tc>
      </w:tr>
      <w:tr w:rsidR="007960A8" w14:paraId="4EC30FED" w14:textId="77777777">
        <w:tc>
          <w:tcPr>
            <w:tcW w:w="3256" w:type="dxa"/>
          </w:tcPr>
          <w:p w14:paraId="6019B85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"Employer Pension Contribution"</w:t>
            </w:r>
          </w:p>
        </w:tc>
        <w:tc>
          <w:tcPr>
            <w:tcW w:w="5760" w:type="dxa"/>
          </w:tcPr>
          <w:p w14:paraId="55C1586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standard employer pension contributions paid in accordance with the relevant pension scheme rules and used in the calculation of the TUPE Premium less any costs recoverable under [Annex D</w:t>
            </w:r>
            <w:r>
              <w:rPr>
                <w:color w:val="000000"/>
                <w:sz w:val="21"/>
                <w:szCs w:val="21"/>
              </w:rPr>
              <w:t>3: LGPS of Part D Pensions of (Staff Transfer)];</w:t>
            </w:r>
          </w:p>
          <w:p w14:paraId="7568C10D" w14:textId="77777777" w:rsidR="007960A8" w:rsidRDefault="00A26397">
            <w:pPr>
              <w:pBdr>
                <w:top w:val="nil"/>
                <w:left w:val="nil"/>
                <w:bottom w:val="nil"/>
                <w:right w:val="nil"/>
                <w:between w:val="nil"/>
              </w:pBdr>
              <w:spacing w:after="240"/>
              <w:rPr>
                <w:color w:val="000000"/>
                <w:sz w:val="21"/>
                <w:szCs w:val="21"/>
              </w:rPr>
            </w:pPr>
            <w:r>
              <w:rPr>
                <w:color w:val="000000"/>
                <w:sz w:val="21"/>
                <w:szCs w:val="21"/>
                <w:highlight w:val="yellow"/>
              </w:rPr>
              <w:t>[CLIENT GUIDANCE; ensure the above reference in regards to Local Government Pension Schemes is updated to align with the TUPE Schedule used for your contract]</w:t>
            </w:r>
          </w:p>
        </w:tc>
      </w:tr>
      <w:tr w:rsidR="007960A8" w14:paraId="6F0B1D1E" w14:textId="77777777">
        <w:tc>
          <w:tcPr>
            <w:tcW w:w="3256" w:type="dxa"/>
          </w:tcPr>
          <w:p w14:paraId="2C46C8D9"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"Employer Pension Contribution Cap"</w:t>
            </w:r>
          </w:p>
        </w:tc>
        <w:tc>
          <w:tcPr>
            <w:tcW w:w="5760" w:type="dxa"/>
          </w:tcPr>
          <w:p w14:paraId="3293E6D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6</w:t>
            </w:r>
            <w:r>
              <w:rPr>
                <w:color w:val="000000"/>
                <w:sz w:val="21"/>
                <w:szCs w:val="21"/>
              </w:rPr>
              <w:t>% maximum rate of Employer Pension Contribution used in the calculation of the TUPE Premium;</w:t>
            </w:r>
          </w:p>
        </w:tc>
      </w:tr>
      <w:tr w:rsidR="007960A8" w14:paraId="4457694C" w14:textId="77777777">
        <w:tc>
          <w:tcPr>
            <w:tcW w:w="3256" w:type="dxa"/>
          </w:tcPr>
          <w:p w14:paraId="1868FA6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“Employment Regulations”</w:t>
            </w:r>
          </w:p>
        </w:tc>
        <w:tc>
          <w:tcPr>
            <w:tcW w:w="5760" w:type="dxa"/>
          </w:tcPr>
          <w:p w14:paraId="0E5A96C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Transfer of Undertakings (protection of Employment) Regulations 2006 (SI 2006/246) as amended or replaced;</w:t>
            </w:r>
          </w:p>
        </w:tc>
      </w:tr>
      <w:tr w:rsidR="007960A8" w14:paraId="12D89423" w14:textId="77777777">
        <w:tc>
          <w:tcPr>
            <w:tcW w:w="3256" w:type="dxa"/>
          </w:tcPr>
          <w:p w14:paraId="686F5F0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“Fixed TUPE Premium”</w:t>
            </w:r>
          </w:p>
        </w:tc>
        <w:tc>
          <w:tcPr>
            <w:tcW w:w="5760" w:type="dxa"/>
          </w:tcPr>
          <w:p w14:paraId="139C6D6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fixed amount payable on an annual basis based on the difference between:</w:t>
            </w:r>
          </w:p>
          <w:p w14:paraId="731DB932"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a) </w:t>
            </w:r>
            <w:r>
              <w:rPr>
                <w:color w:val="000000"/>
                <w:sz w:val="21"/>
                <w:szCs w:val="21"/>
              </w:rPr>
              <w:tab/>
              <w:t xml:space="preserve">the costs to employ Transferring Former Supplier Employees or where the Former Service Provider becomes the </w:t>
            </w:r>
            <w:r>
              <w:rPr>
                <w:i/>
                <w:iCs/>
                <w:color w:val="000000"/>
                <w:sz w:val="21"/>
                <w:szCs w:val="21"/>
              </w:rPr>
              <w:t>Service Provider</w:t>
            </w:r>
            <w:r>
              <w:rPr>
                <w:color w:val="000000"/>
                <w:sz w:val="21"/>
                <w:szCs w:val="21"/>
              </w:rPr>
              <w:t xml:space="preserve"> those Former Service Provider employees providing the </w:t>
            </w:r>
            <w:r>
              <w:rPr>
                <w:i/>
                <w:iCs/>
                <w:color w:val="000000"/>
                <w:sz w:val="21"/>
                <w:szCs w:val="21"/>
              </w:rPr>
              <w:t>services</w:t>
            </w:r>
            <w:r>
              <w:rPr>
                <w:color w:val="000000"/>
                <w:sz w:val="21"/>
                <w:szCs w:val="21"/>
              </w:rPr>
              <w:t xml:space="preserve"> at the </w:t>
            </w:r>
            <w:r>
              <w:rPr>
                <w:i/>
                <w:iCs/>
                <w:color w:val="000000"/>
                <w:sz w:val="21"/>
                <w:szCs w:val="21"/>
              </w:rPr>
              <w:t>Starting Date</w:t>
            </w:r>
            <w:r>
              <w:rPr>
                <w:color w:val="000000"/>
                <w:sz w:val="21"/>
                <w:szCs w:val="21"/>
              </w:rPr>
              <w:t xml:space="preserve"> and/or Transferring Client Employees (as the case may be); and</w:t>
            </w:r>
          </w:p>
          <w:p w14:paraId="56569685"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 xml:space="preserve">b) </w:t>
            </w:r>
            <w:r>
              <w:rPr>
                <w:color w:val="000000"/>
                <w:sz w:val="21"/>
                <w:szCs w:val="21"/>
              </w:rPr>
              <w:tab/>
              <w:t xml:space="preserve">the equivalent costs to employ staff used by the </w:t>
            </w:r>
            <w:r>
              <w:rPr>
                <w:i/>
                <w:iCs/>
                <w:color w:val="000000"/>
                <w:sz w:val="21"/>
                <w:szCs w:val="21"/>
              </w:rPr>
              <w:t>Service Provider</w:t>
            </w:r>
            <w:r>
              <w:rPr>
                <w:color w:val="000000"/>
                <w:sz w:val="21"/>
                <w:szCs w:val="21"/>
              </w:rPr>
              <w:t xml:space="preserve"> as part of a call-off procedure</w:t>
            </w:r>
          </w:p>
          <w:p w14:paraId="52D940C3" w14:textId="77777777" w:rsidR="007960A8" w:rsidRDefault="00A26397">
            <w:pPr>
              <w:pBdr>
                <w:top w:val="nil"/>
                <w:left w:val="nil"/>
                <w:bottom w:val="nil"/>
                <w:right w:val="nil"/>
                <w:between w:val="nil"/>
              </w:pBdr>
              <w:spacing w:after="240"/>
              <w:ind w:left="447" w:firstLine="7"/>
              <w:rPr>
                <w:color w:val="000000"/>
                <w:sz w:val="21"/>
                <w:szCs w:val="21"/>
              </w:rPr>
            </w:pPr>
            <w:r>
              <w:rPr>
                <w:color w:val="000000"/>
                <w:sz w:val="21"/>
                <w:szCs w:val="21"/>
              </w:rPr>
              <w:t>in res</w:t>
            </w:r>
            <w:r>
              <w:rPr>
                <w:color w:val="000000"/>
                <w:sz w:val="21"/>
                <w:szCs w:val="21"/>
              </w:rPr>
              <w:t>pect of payments due under contracts of employment in respect of the following:</w:t>
            </w:r>
          </w:p>
          <w:p w14:paraId="73964783"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 xml:space="preserve">i) </w:t>
            </w:r>
            <w:r>
              <w:rPr>
                <w:color w:val="000000"/>
                <w:sz w:val="21"/>
                <w:szCs w:val="21"/>
              </w:rPr>
              <w:tab/>
              <w:t>annual salary;</w:t>
            </w:r>
          </w:p>
          <w:p w14:paraId="67426226"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 xml:space="preserve">ii) </w:t>
            </w:r>
            <w:r>
              <w:rPr>
                <w:color w:val="000000"/>
                <w:sz w:val="21"/>
                <w:szCs w:val="21"/>
              </w:rPr>
              <w:tab/>
              <w:t>annual national insurance cost;</w:t>
            </w:r>
          </w:p>
          <w:p w14:paraId="78BC4BDB"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iii)</w:t>
            </w:r>
            <w:r>
              <w:rPr>
                <w:color w:val="000000"/>
                <w:sz w:val="21"/>
                <w:szCs w:val="21"/>
              </w:rPr>
              <w:tab/>
              <w:t>Annual Pension Cost;</w:t>
            </w:r>
          </w:p>
          <w:p w14:paraId="6AB6FAA8"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iv) annual life insurance cost;</w:t>
            </w:r>
          </w:p>
          <w:p w14:paraId="08BAE0AB"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 xml:space="preserve">v) </w:t>
            </w:r>
            <w:r>
              <w:rPr>
                <w:color w:val="000000"/>
                <w:sz w:val="21"/>
                <w:szCs w:val="21"/>
              </w:rPr>
              <w:tab/>
              <w:t>annual sick pay entitlement;</w:t>
            </w:r>
          </w:p>
          <w:p w14:paraId="0449A73D"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vi)</w:t>
            </w:r>
            <w:r>
              <w:rPr>
                <w:color w:val="000000"/>
                <w:sz w:val="21"/>
                <w:szCs w:val="21"/>
              </w:rPr>
              <w:tab/>
            </w:r>
            <w:r>
              <w:rPr>
                <w:color w:val="000000"/>
                <w:sz w:val="21"/>
                <w:szCs w:val="21"/>
              </w:rPr>
              <w:t>maternity/paternity costs; and</w:t>
            </w:r>
          </w:p>
          <w:p w14:paraId="18A17B98" w14:textId="77777777" w:rsidR="007960A8" w:rsidRDefault="00A26397">
            <w:pPr>
              <w:pBdr>
                <w:top w:val="nil"/>
                <w:left w:val="nil"/>
                <w:bottom w:val="nil"/>
                <w:right w:val="nil"/>
                <w:between w:val="nil"/>
              </w:pBdr>
              <w:spacing w:after="240"/>
              <w:ind w:left="454"/>
              <w:rPr>
                <w:color w:val="000000"/>
                <w:sz w:val="21"/>
                <w:szCs w:val="21"/>
              </w:rPr>
            </w:pPr>
            <w:r>
              <w:rPr>
                <w:color w:val="000000"/>
                <w:sz w:val="21"/>
                <w:szCs w:val="21"/>
              </w:rPr>
              <w:t>vii) any other cost arising directly from the contract of employment of the Transferring Former Service Provider Employee and or Transferring Client Employee,</w:t>
            </w:r>
          </w:p>
          <w:p w14:paraId="060F450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set out in paragraph 3 of this Schedule;</w:t>
            </w:r>
          </w:p>
        </w:tc>
      </w:tr>
      <w:tr w:rsidR="007960A8" w14:paraId="5F0F08B3" w14:textId="77777777">
        <w:tc>
          <w:tcPr>
            <w:tcW w:w="3256" w:type="dxa"/>
          </w:tcPr>
          <w:p w14:paraId="19B7ADB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“Former Service Provider”</w:t>
            </w:r>
          </w:p>
        </w:tc>
        <w:tc>
          <w:tcPr>
            <w:tcW w:w="5760" w:type="dxa"/>
          </w:tcPr>
          <w:p w14:paraId="3690761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the organisation or company previously responsible for carrying out the </w:t>
            </w:r>
            <w:r>
              <w:rPr>
                <w:i/>
                <w:iCs/>
                <w:color w:val="000000"/>
                <w:sz w:val="21"/>
                <w:szCs w:val="21"/>
              </w:rPr>
              <w:t>services</w:t>
            </w:r>
            <w:r>
              <w:rPr>
                <w:color w:val="000000"/>
                <w:sz w:val="21"/>
                <w:szCs w:val="21"/>
              </w:rPr>
              <w:t xml:space="preserve"> that are to be replaced by the </w:t>
            </w:r>
            <w:r>
              <w:rPr>
                <w:i/>
                <w:iCs/>
                <w:color w:val="000000"/>
                <w:sz w:val="21"/>
                <w:szCs w:val="21"/>
              </w:rPr>
              <w:t>Service Provider</w:t>
            </w:r>
            <w:r>
              <w:rPr>
                <w:color w:val="000000"/>
                <w:sz w:val="21"/>
                <w:szCs w:val="21"/>
              </w:rPr>
              <w:t xml:space="preserve"> under this Contract.</w:t>
            </w:r>
          </w:p>
        </w:tc>
      </w:tr>
      <w:tr w:rsidR="007960A8" w14:paraId="676613F0" w14:textId="77777777">
        <w:tc>
          <w:tcPr>
            <w:tcW w:w="3256" w:type="dxa"/>
          </w:tcPr>
          <w:p w14:paraId="5ECDABA5"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“Interim Adjustable TUPE Premium”</w:t>
            </w:r>
          </w:p>
        </w:tc>
        <w:tc>
          <w:tcPr>
            <w:tcW w:w="5760" w:type="dxa"/>
          </w:tcPr>
          <w:p w14:paraId="133EB30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amount agreed between the par</w:t>
            </w:r>
            <w:r>
              <w:rPr>
                <w:color w:val="000000"/>
                <w:sz w:val="21"/>
                <w:szCs w:val="21"/>
              </w:rPr>
              <w:t xml:space="preserve">ties to be inserted in the </w:t>
            </w:r>
            <w:r>
              <w:rPr>
                <w:i/>
                <w:iCs/>
                <w:color w:val="000000"/>
                <w:sz w:val="21"/>
                <w:szCs w:val="21"/>
              </w:rPr>
              <w:t>Price List</w:t>
            </w:r>
            <w:r>
              <w:rPr>
                <w:color w:val="000000"/>
                <w:sz w:val="21"/>
                <w:szCs w:val="21"/>
              </w:rPr>
              <w:t xml:space="preserve"> as the anticipated Adjustable TUPE Premium pending the Relevant Transfer.</w:t>
            </w:r>
          </w:p>
        </w:tc>
      </w:tr>
      <w:tr w:rsidR="007960A8" w14:paraId="21554217" w14:textId="77777777">
        <w:tc>
          <w:tcPr>
            <w:tcW w:w="3256" w:type="dxa"/>
          </w:tcPr>
          <w:p w14:paraId="5217D194"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”Labour Count”</w:t>
            </w:r>
          </w:p>
        </w:tc>
        <w:tc>
          <w:tcPr>
            <w:tcW w:w="5760" w:type="dxa"/>
          </w:tcPr>
          <w:p w14:paraId="76CFEA1D"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means the total number of Transferring Former Service Provider Employees and/or Transferring Client Employees identified in the </w:t>
            </w:r>
            <w:r>
              <w:rPr>
                <w:i/>
                <w:iCs/>
                <w:color w:val="000000"/>
                <w:sz w:val="21"/>
                <w:szCs w:val="21"/>
              </w:rPr>
              <w:t>Service Provider’s</w:t>
            </w:r>
            <w:r>
              <w:rPr>
                <w:color w:val="000000"/>
                <w:sz w:val="21"/>
                <w:szCs w:val="21"/>
              </w:rPr>
              <w:t xml:space="preserve"> solution;</w:t>
            </w:r>
          </w:p>
        </w:tc>
      </w:tr>
      <w:tr w:rsidR="007960A8" w14:paraId="70FC6A5C" w14:textId="77777777">
        <w:tc>
          <w:tcPr>
            <w:tcW w:w="3256" w:type="dxa"/>
          </w:tcPr>
          <w:p w14:paraId="5ED5210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“Mobilisation Period”</w:t>
            </w:r>
          </w:p>
        </w:tc>
        <w:tc>
          <w:tcPr>
            <w:tcW w:w="5760" w:type="dxa"/>
          </w:tcPr>
          <w:p w14:paraId="3160FDFC"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the date stated within the Contract Data;</w:t>
            </w:r>
          </w:p>
        </w:tc>
      </w:tr>
      <w:tr w:rsidR="007960A8" w14:paraId="2BF2184D" w14:textId="77777777">
        <w:tc>
          <w:tcPr>
            <w:tcW w:w="3256" w:type="dxa"/>
          </w:tcPr>
          <w:p w14:paraId="1E894602"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"Other Pension Cost"</w:t>
            </w:r>
          </w:p>
        </w:tc>
        <w:tc>
          <w:tcPr>
            <w:tcW w:w="5760" w:type="dxa"/>
          </w:tcPr>
          <w:p w14:paraId="134F748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w:t>
            </w:r>
          </w:p>
          <w:p w14:paraId="6A3507B2"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a)</w:t>
            </w:r>
            <w:r>
              <w:rPr>
                <w:color w:val="000000"/>
                <w:sz w:val="21"/>
                <w:szCs w:val="21"/>
              </w:rPr>
              <w:tab/>
            </w:r>
            <w:r>
              <w:rPr>
                <w:color w:val="000000"/>
                <w:sz w:val="21"/>
                <w:szCs w:val="21"/>
              </w:rPr>
              <w:t>in respect of CSPS Eligible Employees those sums set out at Clauses 7.1.1 (annual administration charges covering core services), 7.1.5 (employer contributions), 7.1.7 (the ASLC) and 7.1.8 (flat charges applicable to the Partnership Pension Account) of the</w:t>
            </w:r>
            <w:r>
              <w:rPr>
                <w:color w:val="000000"/>
                <w:sz w:val="21"/>
                <w:szCs w:val="21"/>
              </w:rPr>
              <w:t xml:space="preserve"> CSPS Admission Agreement;</w:t>
            </w:r>
          </w:p>
          <w:p w14:paraId="0F753685"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b)</w:t>
            </w:r>
            <w:r>
              <w:rPr>
                <w:color w:val="000000"/>
                <w:sz w:val="21"/>
                <w:szCs w:val="21"/>
              </w:rPr>
              <w:tab/>
              <w:t xml:space="preserve">in respect of NHSPS Eligible Employees, the standard employer contribution rate applicable to NHS Pensions employers during the </w:t>
            </w:r>
            <w:r>
              <w:rPr>
                <w:i/>
                <w:iCs/>
                <w:color w:val="000000"/>
                <w:sz w:val="21"/>
                <w:szCs w:val="21"/>
              </w:rPr>
              <w:t>service period</w:t>
            </w:r>
            <w:r>
              <w:rPr>
                <w:color w:val="000000"/>
                <w:sz w:val="21"/>
                <w:szCs w:val="21"/>
              </w:rPr>
              <w:t xml:space="preserve"> and payable by the </w:t>
            </w:r>
            <w:r>
              <w:rPr>
                <w:i/>
                <w:iCs/>
                <w:color w:val="000000"/>
                <w:sz w:val="21"/>
                <w:szCs w:val="21"/>
              </w:rPr>
              <w:t>Service Provider</w:t>
            </w:r>
            <w:r>
              <w:rPr>
                <w:color w:val="000000"/>
                <w:sz w:val="21"/>
                <w:szCs w:val="21"/>
              </w:rPr>
              <w:t xml:space="preserve"> (but no other costs, contributions, charges or </w:t>
            </w:r>
            <w:r>
              <w:rPr>
                <w:color w:val="000000"/>
                <w:sz w:val="21"/>
                <w:szCs w:val="21"/>
              </w:rPr>
              <w:t xml:space="preserve">surcharges payable by the </w:t>
            </w:r>
            <w:r>
              <w:rPr>
                <w:i/>
                <w:iCs/>
                <w:color w:val="000000"/>
                <w:sz w:val="21"/>
                <w:szCs w:val="21"/>
              </w:rPr>
              <w:t>Service Provider</w:t>
            </w:r>
            <w:r>
              <w:rPr>
                <w:color w:val="000000"/>
                <w:sz w:val="21"/>
                <w:szCs w:val="21"/>
              </w:rPr>
              <w:t xml:space="preserve"> to or in respect of NHS Pensions or in respect of any NHS Premature Retirement Rights, unless otherwise agreed in writing by the </w:t>
            </w:r>
            <w:r>
              <w:rPr>
                <w:i/>
                <w:iCs/>
                <w:color w:val="000000"/>
                <w:sz w:val="21"/>
                <w:szCs w:val="21"/>
              </w:rPr>
              <w:t>Client</w:t>
            </w:r>
            <w:r>
              <w:rPr>
                <w:color w:val="000000"/>
                <w:sz w:val="21"/>
                <w:szCs w:val="21"/>
              </w:rPr>
              <w:t>);</w:t>
            </w:r>
          </w:p>
          <w:p w14:paraId="1EB953A7"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c)</w:t>
            </w:r>
            <w:r>
              <w:rPr>
                <w:color w:val="000000"/>
                <w:sz w:val="21"/>
                <w:szCs w:val="21"/>
              </w:rPr>
              <w:tab/>
              <w:t>in respect of LGPS Eligible Employees, the standard employer contributio</w:t>
            </w:r>
            <w:r>
              <w:rPr>
                <w:color w:val="000000"/>
                <w:sz w:val="21"/>
                <w:szCs w:val="21"/>
              </w:rPr>
              <w:t xml:space="preserve">n rate applicable to LGPS Eligible Employees during the </w:t>
            </w:r>
            <w:r>
              <w:rPr>
                <w:i/>
                <w:iCs/>
                <w:color w:val="000000"/>
                <w:sz w:val="21"/>
                <w:szCs w:val="21"/>
              </w:rPr>
              <w:t>service period</w:t>
            </w:r>
            <w:r>
              <w:rPr>
                <w:color w:val="000000"/>
                <w:sz w:val="21"/>
                <w:szCs w:val="21"/>
              </w:rPr>
              <w:t xml:space="preserve"> and payable by the </w:t>
            </w:r>
            <w:r>
              <w:rPr>
                <w:i/>
                <w:iCs/>
                <w:color w:val="000000"/>
                <w:sz w:val="21"/>
                <w:szCs w:val="21"/>
              </w:rPr>
              <w:t>Service Provider</w:t>
            </w:r>
            <w:r>
              <w:rPr>
                <w:color w:val="000000"/>
                <w:sz w:val="21"/>
                <w:szCs w:val="21"/>
              </w:rPr>
              <w:t xml:space="preserve"> such sums expressed and set out in the rates and adjustments certificate under regulation 62 of the LGPS Regulations (but no other costs, contributio</w:t>
            </w:r>
            <w:r>
              <w:rPr>
                <w:color w:val="000000"/>
                <w:sz w:val="21"/>
                <w:szCs w:val="21"/>
              </w:rPr>
              <w:t xml:space="preserve">ns, charges or surcharges payable by the </w:t>
            </w:r>
            <w:r>
              <w:rPr>
                <w:i/>
                <w:iCs/>
                <w:color w:val="000000"/>
                <w:sz w:val="21"/>
                <w:szCs w:val="21"/>
              </w:rPr>
              <w:t>Service Provider</w:t>
            </w:r>
            <w:r>
              <w:rPr>
                <w:color w:val="000000"/>
                <w:sz w:val="21"/>
                <w:szCs w:val="21"/>
              </w:rPr>
              <w:t xml:space="preserve"> to or in respect of the LGPS unless otherwise agreed in writing by the Authority) less any costs recoverable under [Annex D3: LGPS of Part D Pensions]; and</w:t>
            </w:r>
          </w:p>
          <w:p w14:paraId="46CADE26" w14:textId="77777777" w:rsidR="007960A8" w:rsidRDefault="00A26397">
            <w:pPr>
              <w:pBdr>
                <w:top w:val="nil"/>
                <w:left w:val="nil"/>
                <w:bottom w:val="nil"/>
                <w:right w:val="nil"/>
                <w:between w:val="nil"/>
              </w:pBdr>
              <w:spacing w:after="240"/>
              <w:ind w:left="447" w:hanging="447"/>
              <w:rPr>
                <w:color w:val="000000"/>
                <w:sz w:val="21"/>
                <w:szCs w:val="21"/>
              </w:rPr>
            </w:pPr>
            <w:r>
              <w:rPr>
                <w:color w:val="000000"/>
                <w:sz w:val="21"/>
                <w:szCs w:val="21"/>
              </w:rPr>
              <w:t>d)</w:t>
            </w:r>
            <w:r>
              <w:rPr>
                <w:color w:val="000000"/>
                <w:sz w:val="21"/>
                <w:szCs w:val="21"/>
              </w:rPr>
              <w:tab/>
              <w:t>such other pension contributions, charg</w:t>
            </w:r>
            <w:r>
              <w:rPr>
                <w:color w:val="000000"/>
                <w:sz w:val="21"/>
                <w:szCs w:val="21"/>
              </w:rPr>
              <w:t xml:space="preserve">es or costs incurred by the </w:t>
            </w:r>
            <w:r>
              <w:rPr>
                <w:i/>
                <w:iCs/>
                <w:color w:val="000000"/>
                <w:sz w:val="21"/>
                <w:szCs w:val="21"/>
              </w:rPr>
              <w:t>Service Provider</w:t>
            </w:r>
            <w:r>
              <w:rPr>
                <w:color w:val="000000"/>
                <w:sz w:val="21"/>
                <w:szCs w:val="21"/>
              </w:rPr>
              <w:t xml:space="preserve"> which have been expressly agreed by the </w:t>
            </w:r>
            <w:r>
              <w:rPr>
                <w:i/>
                <w:iCs/>
                <w:color w:val="000000"/>
                <w:sz w:val="21"/>
                <w:szCs w:val="21"/>
              </w:rPr>
              <w:t>Client</w:t>
            </w:r>
            <w:r>
              <w:rPr>
                <w:color w:val="000000"/>
                <w:sz w:val="21"/>
                <w:szCs w:val="21"/>
              </w:rPr>
              <w:t xml:space="preserve"> in writing to constitute “Other Pension Costs”</w:t>
            </w:r>
          </w:p>
          <w:p w14:paraId="6FB91F49" w14:textId="77777777" w:rsidR="007960A8" w:rsidRDefault="00A26397">
            <w:pPr>
              <w:pBdr>
                <w:top w:val="nil"/>
                <w:left w:val="nil"/>
                <w:bottom w:val="nil"/>
                <w:right w:val="nil"/>
                <w:between w:val="nil"/>
              </w:pBdr>
              <w:spacing w:after="240"/>
              <w:rPr>
                <w:color w:val="000000"/>
                <w:sz w:val="21"/>
                <w:szCs w:val="21"/>
              </w:rPr>
            </w:pPr>
            <w:r>
              <w:rPr>
                <w:color w:val="000000"/>
                <w:sz w:val="21"/>
                <w:szCs w:val="21"/>
                <w:highlight w:val="yellow"/>
              </w:rPr>
              <w:t>[CLIENT GUIDANCE; ensure the above reference in regards to Local Government Pension Schemes is updated to align with the TUPE Schedule used for your contract]</w:t>
            </w:r>
          </w:p>
        </w:tc>
      </w:tr>
      <w:tr w:rsidR="007960A8" w14:paraId="6EF785E4" w14:textId="77777777">
        <w:tc>
          <w:tcPr>
            <w:tcW w:w="3256" w:type="dxa"/>
          </w:tcPr>
          <w:p w14:paraId="019B014B"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Transfer”</w:t>
            </w:r>
          </w:p>
        </w:tc>
        <w:tc>
          <w:tcPr>
            <w:tcW w:w="5760" w:type="dxa"/>
          </w:tcPr>
          <w:p w14:paraId="328D3A0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transfer of employment to which the Employment Regulations applies and for</w:t>
            </w:r>
            <w:r>
              <w:rPr>
                <w:color w:val="000000"/>
                <w:sz w:val="21"/>
                <w:szCs w:val="21"/>
              </w:rPr>
              <w:t xml:space="preserve"> the purposes of this Schedule shall include the situation where the Former </w:t>
            </w:r>
            <w:r>
              <w:rPr>
                <w:i/>
                <w:iCs/>
                <w:color w:val="000000"/>
                <w:sz w:val="21"/>
                <w:szCs w:val="21"/>
              </w:rPr>
              <w:t>Service Provider</w:t>
            </w:r>
            <w:r>
              <w:rPr>
                <w:color w:val="000000"/>
                <w:sz w:val="21"/>
                <w:szCs w:val="21"/>
              </w:rPr>
              <w:t xml:space="preserve"> becomes the </w:t>
            </w:r>
            <w:r>
              <w:rPr>
                <w:i/>
                <w:iCs/>
                <w:color w:val="000000"/>
                <w:sz w:val="21"/>
                <w:szCs w:val="21"/>
              </w:rPr>
              <w:t>Service Provider</w:t>
            </w:r>
            <w:r>
              <w:rPr>
                <w:color w:val="000000"/>
                <w:sz w:val="21"/>
                <w:szCs w:val="21"/>
              </w:rPr>
              <w:t xml:space="preserve"> on the </w:t>
            </w:r>
            <w:r>
              <w:rPr>
                <w:i/>
                <w:iCs/>
                <w:color w:val="000000"/>
                <w:sz w:val="21"/>
                <w:szCs w:val="21"/>
              </w:rPr>
              <w:t>Starting Date</w:t>
            </w:r>
            <w:r>
              <w:rPr>
                <w:color w:val="000000"/>
                <w:sz w:val="21"/>
                <w:szCs w:val="21"/>
              </w:rPr>
              <w:t>.</w:t>
            </w:r>
          </w:p>
        </w:tc>
      </w:tr>
      <w:tr w:rsidR="007960A8" w14:paraId="7B92DDD6" w14:textId="77777777">
        <w:tc>
          <w:tcPr>
            <w:tcW w:w="3256" w:type="dxa"/>
          </w:tcPr>
          <w:p w14:paraId="28D86A6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“Relevant Transfer Date”</w:t>
            </w:r>
          </w:p>
        </w:tc>
        <w:tc>
          <w:tcPr>
            <w:tcW w:w="5760" w:type="dxa"/>
          </w:tcPr>
          <w:p w14:paraId="11761F1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date on which a Relevant Transfer takes place</w:t>
            </w:r>
          </w:p>
        </w:tc>
      </w:tr>
      <w:tr w:rsidR="007960A8" w14:paraId="678D677F" w14:textId="77777777">
        <w:tc>
          <w:tcPr>
            <w:tcW w:w="3256" w:type="dxa"/>
          </w:tcPr>
          <w:p w14:paraId="4C5554F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“Transferring Client Employees”</w:t>
            </w:r>
          </w:p>
        </w:tc>
        <w:tc>
          <w:tcPr>
            <w:tcW w:w="5760" w:type="dxa"/>
          </w:tcPr>
          <w:p w14:paraId="00A8D203"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Those employees of the </w:t>
            </w:r>
            <w:r>
              <w:rPr>
                <w:i/>
                <w:iCs/>
                <w:color w:val="000000"/>
                <w:sz w:val="21"/>
                <w:szCs w:val="21"/>
              </w:rPr>
              <w:t>Client</w:t>
            </w:r>
            <w:r>
              <w:rPr>
                <w:color w:val="000000"/>
                <w:sz w:val="21"/>
                <w:szCs w:val="21"/>
              </w:rPr>
              <w:t xml:space="preserve"> to whom the Employment Regulations will apply on the Service Transfer Date</w:t>
            </w:r>
          </w:p>
        </w:tc>
      </w:tr>
      <w:tr w:rsidR="007960A8" w14:paraId="620A9A1C" w14:textId="77777777">
        <w:tc>
          <w:tcPr>
            <w:tcW w:w="3256" w:type="dxa"/>
          </w:tcPr>
          <w:p w14:paraId="36C86C00"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“Transferring Former Service Provider Employees”</w:t>
            </w:r>
          </w:p>
        </w:tc>
        <w:tc>
          <w:tcPr>
            <w:tcW w:w="5760" w:type="dxa"/>
          </w:tcPr>
          <w:p w14:paraId="41E3FA6A"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Those employ</w:t>
            </w:r>
            <w:r>
              <w:rPr>
                <w:color w:val="000000"/>
                <w:sz w:val="21"/>
                <w:szCs w:val="21"/>
              </w:rPr>
              <w:t>ees of the Former Service Provider and/or the Former Service Provider’s sub-contractors to whom the Employment Regulations will apply on the Service Transfer Date</w:t>
            </w:r>
          </w:p>
        </w:tc>
      </w:tr>
      <w:tr w:rsidR="007960A8" w14:paraId="04BFBB2D" w14:textId="77777777">
        <w:tc>
          <w:tcPr>
            <w:tcW w:w="3256" w:type="dxa"/>
          </w:tcPr>
          <w:p w14:paraId="4BC709B3"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"TUPE Count"</w:t>
            </w:r>
          </w:p>
        </w:tc>
        <w:tc>
          <w:tcPr>
            <w:tcW w:w="5760" w:type="dxa"/>
          </w:tcPr>
          <w:p w14:paraId="2DCBF69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total number of Transferring Former Service Provider Employees and/or Transferring Client Employees identified in the Employee Liability Information;</w:t>
            </w:r>
          </w:p>
        </w:tc>
      </w:tr>
      <w:tr w:rsidR="007960A8" w14:paraId="33B350A8" w14:textId="77777777">
        <w:tc>
          <w:tcPr>
            <w:tcW w:w="3256" w:type="dxa"/>
          </w:tcPr>
          <w:p w14:paraId="4A7C694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“TUPE Management Cost”</w:t>
            </w:r>
          </w:p>
        </w:tc>
        <w:tc>
          <w:tcPr>
            <w:tcW w:w="5760" w:type="dxa"/>
          </w:tcPr>
          <w:p w14:paraId="21E021B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any costs that will be incurred in managing the transition of an i</w:t>
            </w:r>
            <w:r>
              <w:rPr>
                <w:color w:val="000000"/>
                <w:sz w:val="21"/>
                <w:szCs w:val="21"/>
              </w:rPr>
              <w:t>ndividual who is listed as a TUPE employee, and will not be required to fulfil a role as part of the new contract.</w:t>
            </w:r>
          </w:p>
          <w:p w14:paraId="2E7A1730"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For the avoidance of doubt, Redundancy Surcharge is dealt with as per Schedule [X] (Redundancy)and any costs associated with a Redundancy Pay</w:t>
            </w:r>
            <w:r>
              <w:rPr>
                <w:color w:val="000000"/>
                <w:sz w:val="21"/>
                <w:szCs w:val="21"/>
              </w:rPr>
              <w:t>ment should not be included within the TUPE Management Cost.</w:t>
            </w:r>
          </w:p>
          <w:p w14:paraId="1CD85EA3" w14:textId="77777777" w:rsidR="007960A8" w:rsidRDefault="00A26397">
            <w:pPr>
              <w:pBdr>
                <w:top w:val="nil"/>
                <w:left w:val="nil"/>
                <w:bottom w:val="nil"/>
                <w:right w:val="nil"/>
                <w:between w:val="nil"/>
              </w:pBdr>
              <w:spacing w:after="240"/>
              <w:rPr>
                <w:color w:val="000000"/>
                <w:sz w:val="21"/>
                <w:szCs w:val="21"/>
              </w:rPr>
            </w:pPr>
            <w:r>
              <w:rPr>
                <w:color w:val="000000"/>
                <w:sz w:val="21"/>
                <w:szCs w:val="21"/>
                <w:highlight w:val="yellow"/>
              </w:rPr>
              <w:t>[CLIENT GUIDANCE; ensure the above reference to the Redundancy Schedule is updated]</w:t>
            </w:r>
          </w:p>
        </w:tc>
      </w:tr>
      <w:tr w:rsidR="007960A8" w14:paraId="13B65ECD" w14:textId="77777777">
        <w:tc>
          <w:tcPr>
            <w:tcW w:w="3256" w:type="dxa"/>
          </w:tcPr>
          <w:p w14:paraId="012A14C7"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"TUPE Premium"</w:t>
            </w:r>
          </w:p>
        </w:tc>
        <w:tc>
          <w:tcPr>
            <w:tcW w:w="5760" w:type="dxa"/>
          </w:tcPr>
          <w:p w14:paraId="466BBE4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either the:</w:t>
            </w:r>
          </w:p>
          <w:p w14:paraId="2E709007"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 Award Without Competition TUPE Premium;</w:t>
            </w:r>
          </w:p>
          <w:p w14:paraId="2F522BBE"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b) Adjustable TUPE Premium; or</w:t>
            </w:r>
          </w:p>
          <w:p w14:paraId="7E64F1A2"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b) Fixed TUPE Premium,</w:t>
            </w:r>
          </w:p>
          <w:p w14:paraId="0196DD5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as the context requires;</w:t>
            </w:r>
          </w:p>
        </w:tc>
      </w:tr>
      <w:tr w:rsidR="007960A8" w14:paraId="0AF7BFBF" w14:textId="77777777">
        <w:tc>
          <w:tcPr>
            <w:tcW w:w="3256" w:type="dxa"/>
          </w:tcPr>
          <w:p w14:paraId="565F8C2E"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"TUPE Premium Average"</w:t>
            </w:r>
          </w:p>
        </w:tc>
        <w:tc>
          <w:tcPr>
            <w:tcW w:w="5760" w:type="dxa"/>
          </w:tcPr>
          <w:p w14:paraId="2A919E6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the average calculated by dividing the Adjustable TUPE Premium by the lower of either:</w:t>
            </w:r>
          </w:p>
          <w:p w14:paraId="2F76EE46"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 xml:space="preserve">a) Labour Count; </w:t>
            </w:r>
            <w:r>
              <w:rPr>
                <w:color w:val="000000"/>
                <w:sz w:val="21"/>
                <w:szCs w:val="21"/>
              </w:rPr>
              <w:t>or</w:t>
            </w:r>
          </w:p>
          <w:p w14:paraId="009FBBE4"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b) the TUPE Count.</w:t>
            </w:r>
          </w:p>
        </w:tc>
      </w:tr>
      <w:tr w:rsidR="007960A8" w14:paraId="3177B589" w14:textId="77777777">
        <w:tc>
          <w:tcPr>
            <w:tcW w:w="3256" w:type="dxa"/>
          </w:tcPr>
          <w:p w14:paraId="5D83B26A" w14:textId="77777777" w:rsidR="007960A8" w:rsidRDefault="00A26397">
            <w:pPr>
              <w:pBdr>
                <w:top w:val="nil"/>
                <w:left w:val="nil"/>
                <w:bottom w:val="nil"/>
                <w:right w:val="nil"/>
                <w:between w:val="nil"/>
              </w:pBdr>
              <w:spacing w:after="240"/>
              <w:rPr>
                <w:b/>
                <w:bCs/>
                <w:color w:val="000000"/>
                <w:sz w:val="21"/>
                <w:szCs w:val="21"/>
              </w:rPr>
            </w:pPr>
            <w:r>
              <w:rPr>
                <w:b/>
                <w:bCs/>
                <w:color w:val="000000"/>
                <w:sz w:val="21"/>
                <w:szCs w:val="21"/>
              </w:rPr>
              <w:t>“Working Day”</w:t>
            </w:r>
          </w:p>
        </w:tc>
        <w:tc>
          <w:tcPr>
            <w:tcW w:w="5760" w:type="dxa"/>
          </w:tcPr>
          <w:p w14:paraId="20608269" w14:textId="77777777" w:rsidR="007960A8" w:rsidRDefault="00A26397">
            <w:pPr>
              <w:pBdr>
                <w:top w:val="nil"/>
                <w:left w:val="nil"/>
                <w:bottom w:val="nil"/>
                <w:right w:val="nil"/>
                <w:between w:val="nil"/>
              </w:pBdr>
              <w:spacing w:after="240"/>
              <w:rPr>
                <w:color w:val="000000"/>
                <w:sz w:val="21"/>
                <w:szCs w:val="21"/>
              </w:rPr>
            </w:pPr>
            <w:r>
              <w:rPr>
                <w:color w:val="000000"/>
                <w:sz w:val="21"/>
                <w:szCs w:val="21"/>
              </w:rPr>
              <w:t>Means any day other than a Saturday or Sunday or public holiday in England and Wales.</w:t>
            </w:r>
          </w:p>
        </w:tc>
      </w:tr>
    </w:tbl>
    <w:p w14:paraId="587C15DF" w14:textId="77777777" w:rsidR="007960A8" w:rsidRDefault="00A26397">
      <w:pPr>
        <w:widowControl/>
        <w:numPr>
          <w:ilvl w:val="1"/>
          <w:numId w:val="33"/>
        </w:numPr>
        <w:pBdr>
          <w:top w:val="nil"/>
          <w:left w:val="nil"/>
          <w:bottom w:val="nil"/>
          <w:right w:val="nil"/>
          <w:between w:val="nil"/>
        </w:pBdr>
        <w:spacing w:after="240"/>
        <w:jc w:val="both"/>
        <w:rPr>
          <w:b/>
          <w:bCs/>
          <w:color w:val="000000"/>
          <w:sz w:val="21"/>
          <w:szCs w:val="21"/>
        </w:rPr>
      </w:pPr>
      <w:r>
        <w:rPr>
          <w:b/>
          <w:bCs/>
          <w:color w:val="000000"/>
          <w:sz w:val="21"/>
          <w:szCs w:val="21"/>
        </w:rPr>
        <w:t>Option 1 – Award Without Competition      – TUPE Premium</w:t>
      </w:r>
    </w:p>
    <w:p w14:paraId="2B5FE25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Award Without Competition TUPE Premium shall be priced for during the Mobilisation Period (as agreed by the </w:t>
      </w:r>
      <w:r>
        <w:rPr>
          <w:i/>
          <w:iCs/>
          <w:color w:val="000000"/>
          <w:sz w:val="21"/>
          <w:szCs w:val="21"/>
        </w:rPr>
        <w:t>Client</w:t>
      </w:r>
      <w:r>
        <w:rPr>
          <w:color w:val="000000"/>
          <w:sz w:val="21"/>
          <w:szCs w:val="21"/>
        </w:rPr>
        <w:t>) and shall follow the process described within Option 2 – Adjustable TUPE Premium.</w:t>
      </w:r>
    </w:p>
    <w:p w14:paraId="187A93F3"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 xml:space="preserve">Option 2- Adjustable TUPE Premium    </w:t>
      </w:r>
    </w:p>
    <w:p w14:paraId="318A862E"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Interim Adjustable TUPE Premium shall be agreed between the parties and included in the </w:t>
      </w:r>
      <w:r>
        <w:rPr>
          <w:i/>
          <w:iCs/>
          <w:color w:val="000000"/>
          <w:sz w:val="21"/>
          <w:szCs w:val="21"/>
        </w:rPr>
        <w:t>Price List</w:t>
      </w:r>
      <w:r>
        <w:rPr>
          <w:color w:val="000000"/>
          <w:sz w:val="21"/>
          <w:szCs w:val="21"/>
        </w:rPr>
        <w:t>.</w:t>
      </w:r>
    </w:p>
    <w:p w14:paraId="2A4A4F5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a Relevant Transfer takes place, or will take place, the </w:t>
      </w:r>
      <w:r>
        <w:rPr>
          <w:i/>
          <w:iCs/>
          <w:color w:val="000000"/>
          <w:sz w:val="21"/>
          <w:szCs w:val="21"/>
        </w:rPr>
        <w:t>Service Provider</w:t>
      </w:r>
      <w:r>
        <w:rPr>
          <w:color w:val="000000"/>
          <w:sz w:val="21"/>
          <w:szCs w:val="21"/>
        </w:rPr>
        <w:t xml:space="preserve"> shall, no later than 20 Working Da</w:t>
      </w:r>
      <w:r>
        <w:rPr>
          <w:color w:val="000000"/>
          <w:sz w:val="21"/>
          <w:szCs w:val="21"/>
        </w:rPr>
        <w:t xml:space="preserve">ys after the Relevant Transfer Date, submit to the </w:t>
      </w:r>
      <w:r>
        <w:rPr>
          <w:i/>
          <w:iCs/>
          <w:color w:val="000000"/>
          <w:sz w:val="21"/>
          <w:szCs w:val="21"/>
        </w:rPr>
        <w:t>Client</w:t>
      </w:r>
      <w:r>
        <w:rPr>
          <w:color w:val="000000"/>
          <w:sz w:val="21"/>
          <w:szCs w:val="21"/>
        </w:rPr>
        <w:t>:</w:t>
      </w:r>
    </w:p>
    <w:p w14:paraId="7FD2215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notice that no adjustment is required and the Interim Adjustable TUPE Premium included in the </w:t>
      </w:r>
      <w:r>
        <w:rPr>
          <w:i/>
          <w:iCs/>
          <w:color w:val="000000"/>
          <w:sz w:val="21"/>
          <w:szCs w:val="21"/>
        </w:rPr>
        <w:t>Price List</w:t>
      </w:r>
      <w:r>
        <w:rPr>
          <w:color w:val="000000"/>
          <w:sz w:val="21"/>
          <w:szCs w:val="21"/>
        </w:rPr>
        <w:t xml:space="preserve"> shall be the Adjustable TUPE Premium, if approved by the </w:t>
      </w:r>
      <w:r>
        <w:rPr>
          <w:i/>
          <w:iCs/>
          <w:color w:val="000000"/>
          <w:sz w:val="21"/>
          <w:szCs w:val="21"/>
        </w:rPr>
        <w:t>Client</w:t>
      </w:r>
      <w:r>
        <w:rPr>
          <w:color w:val="000000"/>
          <w:sz w:val="21"/>
          <w:szCs w:val="21"/>
        </w:rPr>
        <w:t>; or</w:t>
      </w:r>
    </w:p>
    <w:p w14:paraId="3B558F39"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its updated calculation of the Adjustable TUPE Premium together with a breakdown and supporting evidence as may be reasonably required for the </w:t>
      </w:r>
      <w:r>
        <w:rPr>
          <w:i/>
          <w:iCs/>
          <w:color w:val="000000"/>
          <w:sz w:val="21"/>
          <w:szCs w:val="21"/>
        </w:rPr>
        <w:t>Client</w:t>
      </w:r>
      <w:r>
        <w:rPr>
          <w:color w:val="000000"/>
          <w:sz w:val="21"/>
          <w:szCs w:val="21"/>
        </w:rPr>
        <w:t xml:space="preserve"> to corroborate and assess the calculation of the Adjustable TUPE Premium.  The </w:t>
      </w:r>
      <w:r>
        <w:rPr>
          <w:i/>
          <w:iCs/>
          <w:color w:val="000000"/>
          <w:sz w:val="21"/>
          <w:szCs w:val="21"/>
        </w:rPr>
        <w:t>Service Provider</w:t>
      </w:r>
      <w:r>
        <w:rPr>
          <w:color w:val="000000"/>
          <w:sz w:val="21"/>
          <w:szCs w:val="21"/>
        </w:rPr>
        <w:t xml:space="preserve"> shall subm</w:t>
      </w:r>
      <w:r>
        <w:rPr>
          <w:color w:val="000000"/>
          <w:sz w:val="21"/>
          <w:szCs w:val="21"/>
        </w:rPr>
        <w:t xml:space="preserve">it its updated calculation regardless of whether it is lower than the Interim Adjustable TUPE Premium included in the </w:t>
      </w:r>
      <w:r>
        <w:rPr>
          <w:i/>
          <w:iCs/>
          <w:color w:val="000000"/>
          <w:sz w:val="21"/>
          <w:szCs w:val="21"/>
        </w:rPr>
        <w:t>Price List</w:t>
      </w:r>
      <w:r>
        <w:rPr>
          <w:color w:val="000000"/>
          <w:sz w:val="21"/>
          <w:szCs w:val="21"/>
        </w:rPr>
        <w:t>.</w:t>
      </w:r>
    </w:p>
    <w:p w14:paraId="5C64535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may grant the request, if:</w:t>
      </w:r>
    </w:p>
    <w:p w14:paraId="0FDE6EC7"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can evidence any inaccuracies or omissions in the information previ</w:t>
      </w:r>
      <w:r>
        <w:rPr>
          <w:color w:val="000000"/>
          <w:sz w:val="21"/>
          <w:szCs w:val="21"/>
        </w:rPr>
        <w:t xml:space="preserve">ously used to assess the Interim Adjustable TUPE Premium in the following areas provided as part of the </w:t>
      </w:r>
      <w:r>
        <w:rPr>
          <w:i/>
          <w:iCs/>
          <w:color w:val="000000"/>
          <w:sz w:val="21"/>
          <w:szCs w:val="21"/>
        </w:rPr>
        <w:t>services</w:t>
      </w:r>
      <w:r>
        <w:rPr>
          <w:color w:val="000000"/>
          <w:sz w:val="21"/>
          <w:szCs w:val="21"/>
        </w:rPr>
        <w:t>:</w:t>
      </w:r>
    </w:p>
    <w:p w14:paraId="634C7BEB"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TUPE Count; and/or</w:t>
      </w:r>
    </w:p>
    <w:p w14:paraId="083AC5FC" w14:textId="77777777" w:rsidR="007960A8" w:rsidRDefault="00A26397">
      <w:pPr>
        <w:widowControl/>
        <w:numPr>
          <w:ilvl w:val="5"/>
          <w:numId w:val="94"/>
        </w:numPr>
        <w:pBdr>
          <w:top w:val="nil"/>
          <w:left w:val="nil"/>
          <w:bottom w:val="nil"/>
          <w:right w:val="nil"/>
          <w:between w:val="nil"/>
        </w:pBdr>
        <w:spacing w:after="240"/>
        <w:jc w:val="both"/>
      </w:pPr>
      <w:r>
        <w:rPr>
          <w:color w:val="000000"/>
          <w:sz w:val="21"/>
          <w:szCs w:val="21"/>
        </w:rPr>
        <w:t>any costs covered by the Adjustable TUPE Premium.</w:t>
      </w:r>
    </w:p>
    <w:p w14:paraId="51C9FF5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there are any other unknown costs arising directly from the contract of e</w:t>
      </w:r>
      <w:r>
        <w:rPr>
          <w:color w:val="000000"/>
          <w:sz w:val="21"/>
          <w:szCs w:val="21"/>
        </w:rPr>
        <w:t>mployment of the Transferring Former Service Provider Employee and/or Transferring Client Employee,</w:t>
      </w:r>
    </w:p>
    <w:p w14:paraId="4D552EDA" w14:textId="77777777" w:rsidR="007960A8" w:rsidRDefault="00A26397">
      <w:pPr>
        <w:pBdr>
          <w:top w:val="nil"/>
          <w:left w:val="nil"/>
          <w:bottom w:val="nil"/>
          <w:right w:val="nil"/>
          <w:between w:val="nil"/>
        </w:pBdr>
        <w:spacing w:after="240"/>
        <w:ind w:left="2517"/>
        <w:rPr>
          <w:color w:val="000000"/>
          <w:sz w:val="21"/>
          <w:szCs w:val="21"/>
        </w:rPr>
      </w:pPr>
      <w:r>
        <w:rPr>
          <w:color w:val="000000"/>
          <w:sz w:val="21"/>
          <w:szCs w:val="21"/>
        </w:rPr>
        <w:t>and where a full breakdown and supporting evidence is submitted in support of a request to adjust the Interim Adjustable TUPE Premium.</w:t>
      </w:r>
    </w:p>
    <w:p w14:paraId="57F34C4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Upon receipt of the </w:t>
      </w:r>
      <w:r>
        <w:rPr>
          <w:i/>
          <w:iCs/>
          <w:color w:val="000000"/>
          <w:sz w:val="21"/>
          <w:szCs w:val="21"/>
        </w:rPr>
        <w:t>Service Providers’</w:t>
      </w:r>
      <w:r>
        <w:rPr>
          <w:color w:val="000000"/>
          <w:sz w:val="21"/>
          <w:szCs w:val="21"/>
        </w:rPr>
        <w:t xml:space="preserve"> calculation of the Adjustable TUPE Premium and, if applicable, a request for an Ad</w:t>
      </w:r>
      <w:r>
        <w:rPr>
          <w:color w:val="000000"/>
          <w:sz w:val="21"/>
          <w:szCs w:val="21"/>
        </w:rPr>
        <w:t xml:space="preserve">justable TUPE Premium adjustment, the </w:t>
      </w:r>
      <w:r>
        <w:rPr>
          <w:i/>
          <w:iCs/>
          <w:color w:val="000000"/>
          <w:sz w:val="21"/>
          <w:szCs w:val="21"/>
        </w:rPr>
        <w:t>Client</w:t>
      </w:r>
      <w:r>
        <w:rPr>
          <w:color w:val="000000"/>
          <w:sz w:val="21"/>
          <w:szCs w:val="21"/>
        </w:rPr>
        <w:t xml:space="preserve"> shall either:</w:t>
      </w:r>
    </w:p>
    <w:p w14:paraId="2BC1BC33"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Service Provider</w:t>
      </w:r>
      <w:r>
        <w:rPr>
          <w:color w:val="000000"/>
          <w:sz w:val="21"/>
          <w:szCs w:val="21"/>
        </w:rPr>
        <w:t xml:space="preserve"> in writing of acceptance of the Adjustable TUPE Premium and, if applicable, the Adjustable TUPE Premium adjustment relating to the Relevant Transfer and the </w:t>
      </w:r>
      <w:r>
        <w:rPr>
          <w:i/>
          <w:iCs/>
          <w:color w:val="000000"/>
          <w:sz w:val="21"/>
          <w:szCs w:val="21"/>
        </w:rPr>
        <w:t>Service Mana</w:t>
      </w:r>
      <w:r>
        <w:rPr>
          <w:i/>
          <w:iCs/>
          <w:color w:val="000000"/>
          <w:sz w:val="21"/>
          <w:szCs w:val="21"/>
        </w:rPr>
        <w:t>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 to update the Interim Adjustable TUPE Premium;</w:t>
      </w:r>
    </w:p>
    <w:p w14:paraId="425DAECB"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further information/evidence; and/or</w:t>
      </w:r>
    </w:p>
    <w:p w14:paraId="1F07796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a meeting to discuss/clarify the evidence provided.</w:t>
      </w:r>
    </w:p>
    <w:p w14:paraId="7CC99EE9"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Adju</w:t>
      </w:r>
      <w:r>
        <w:rPr>
          <w:color w:val="000000"/>
          <w:sz w:val="21"/>
          <w:szCs w:val="21"/>
        </w:rPr>
        <w:t xml:space="preserve">stable TUPE Premium is agreed following the receipt of further information/evidence or following a meeting, the </w:t>
      </w:r>
      <w:r>
        <w:rPr>
          <w:i/>
          <w:iCs/>
          <w:color w:val="000000"/>
          <w:sz w:val="21"/>
          <w:szCs w:val="21"/>
        </w:rPr>
        <w:t>Client</w:t>
      </w:r>
      <w:r>
        <w:rPr>
          <w:color w:val="000000"/>
          <w:sz w:val="21"/>
          <w:szCs w:val="21"/>
        </w:rPr>
        <w:t xml:space="preserve"> shall notify the </w:t>
      </w:r>
      <w:r>
        <w:rPr>
          <w:i/>
          <w:iCs/>
          <w:color w:val="000000"/>
          <w:sz w:val="21"/>
          <w:szCs w:val="21"/>
        </w:rPr>
        <w:t>Service Provider</w:t>
      </w:r>
      <w:r>
        <w:rPr>
          <w:color w:val="000000"/>
          <w:sz w:val="21"/>
          <w:szCs w:val="21"/>
        </w:rPr>
        <w:t xml:space="preserve"> in writing and confirm the Adjustable TUPE Premium to apply.</w:t>
      </w:r>
    </w:p>
    <w:p w14:paraId="5DE254D1"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the </w:t>
      </w:r>
      <w:r>
        <w:rPr>
          <w:i/>
          <w:iCs/>
          <w:color w:val="000000"/>
          <w:sz w:val="21"/>
          <w:szCs w:val="21"/>
        </w:rPr>
        <w:t>Service Provider</w:t>
      </w:r>
      <w:r>
        <w:rPr>
          <w:color w:val="000000"/>
          <w:sz w:val="21"/>
          <w:szCs w:val="21"/>
        </w:rPr>
        <w:t xml:space="preserve"> notifies an Adj</w:t>
      </w:r>
      <w:r>
        <w:rPr>
          <w:color w:val="000000"/>
          <w:sz w:val="21"/>
          <w:szCs w:val="21"/>
        </w:rPr>
        <w:t xml:space="preserve">ustable TUPE Premium   adjustment and it is agreed by the </w:t>
      </w:r>
      <w:r>
        <w:rPr>
          <w:i/>
          <w:iCs/>
          <w:color w:val="000000"/>
          <w:sz w:val="21"/>
          <w:szCs w:val="21"/>
        </w:rPr>
        <w:t>Client</w:t>
      </w:r>
      <w:r>
        <w:rPr>
          <w:color w:val="000000"/>
          <w:sz w:val="21"/>
          <w:szCs w:val="21"/>
        </w:rPr>
        <w:t xml:space="preserve">, the Adjustable TUPE Premium shall be adjusted accordingly and the </w:t>
      </w:r>
      <w:r>
        <w:rPr>
          <w:i/>
          <w:iCs/>
          <w:color w:val="000000"/>
          <w:sz w:val="21"/>
          <w:szCs w:val="21"/>
        </w:rPr>
        <w:t>Service Manager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 to update the Interim </w:t>
      </w:r>
      <w:r>
        <w:rPr>
          <w:color w:val="000000"/>
          <w:sz w:val="21"/>
          <w:szCs w:val="21"/>
        </w:rPr>
        <w:t>Adjustable TUPE Premium.</w:t>
      </w:r>
    </w:p>
    <w:p w14:paraId="4EDCBFA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In the event that the Parties are unable to agree a final Adjustable TUPE Premium the Parties shall follow W1 or W2 as allocated by the contract.</w:t>
      </w:r>
    </w:p>
    <w:p w14:paraId="05B1287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On agreement of the Adjustable TUPE Premium, the TUPE Premium Average shall be calcul</w:t>
      </w:r>
      <w:r>
        <w:rPr>
          <w:color w:val="000000"/>
          <w:sz w:val="21"/>
          <w:szCs w:val="21"/>
        </w:rPr>
        <w:t>ated and this shall be used as the basis for the annual review of the Adjustable TUPE Premium.</w:t>
      </w:r>
    </w:p>
    <w:p w14:paraId="7869F29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Annual review of the Adjustable TUPE Premium    </w:t>
      </w:r>
    </w:p>
    <w:p w14:paraId="138C356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Adjustable TUPE Premium shall be reviewed by the </w:t>
      </w:r>
      <w:r>
        <w:rPr>
          <w:i/>
          <w:iCs/>
          <w:color w:val="000000"/>
          <w:sz w:val="21"/>
          <w:szCs w:val="21"/>
        </w:rPr>
        <w:t>Client</w:t>
      </w:r>
      <w:r>
        <w:rPr>
          <w:color w:val="000000"/>
          <w:sz w:val="21"/>
          <w:szCs w:val="21"/>
        </w:rPr>
        <w:t xml:space="preserve"> at the commencement of each Contract Year.</w:t>
      </w:r>
    </w:p>
    <w:p w14:paraId="04EA03F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Service Provider</w:t>
      </w:r>
      <w:r>
        <w:rPr>
          <w:color w:val="000000"/>
          <w:sz w:val="21"/>
          <w:szCs w:val="21"/>
        </w:rPr>
        <w:t xml:space="preserve"> shall submit to the </w:t>
      </w:r>
      <w:r>
        <w:rPr>
          <w:i/>
          <w:iCs/>
          <w:color w:val="000000"/>
          <w:sz w:val="21"/>
          <w:szCs w:val="21"/>
        </w:rPr>
        <w:t>Client</w:t>
      </w:r>
      <w:r>
        <w:rPr>
          <w:color w:val="000000"/>
          <w:sz w:val="21"/>
          <w:szCs w:val="21"/>
        </w:rPr>
        <w:t xml:space="preserve">, no later than 20 Working Days prior to the beginning of each Contract Year, evidence of any change to the TUPE Count in the previous Contract Year or since it was </w:t>
      </w:r>
      <w:r>
        <w:rPr>
          <w:color w:val="000000"/>
          <w:sz w:val="21"/>
          <w:szCs w:val="21"/>
        </w:rPr>
        <w:t>last adjusted.</w:t>
      </w:r>
    </w:p>
    <w:p w14:paraId="20A605A0"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TUPE Count is less than the TUPE Count in the previous Contract Year, the Adjustable TUPE Premium shall be adjusted using the following calculation:</w:t>
      </w:r>
    </w:p>
    <w:p w14:paraId="1C329322" w14:textId="77777777" w:rsidR="007960A8" w:rsidRDefault="00A26397">
      <w:pPr>
        <w:pBdr>
          <w:top w:val="nil"/>
          <w:left w:val="nil"/>
          <w:bottom w:val="nil"/>
          <w:right w:val="nil"/>
          <w:between w:val="nil"/>
        </w:pBdr>
        <w:spacing w:after="240"/>
        <w:ind w:left="2517"/>
        <w:rPr>
          <w:i/>
          <w:iCs/>
          <w:color w:val="000000"/>
          <w:sz w:val="21"/>
          <w:szCs w:val="21"/>
        </w:rPr>
      </w:pPr>
      <w:r>
        <w:rPr>
          <w:i/>
          <w:iCs/>
          <w:color w:val="000000"/>
          <w:sz w:val="21"/>
          <w:szCs w:val="21"/>
        </w:rPr>
        <w:t>Difference in TUPE Count (Previous Contract Year less current Contract Year) x TUP</w:t>
      </w:r>
      <w:r>
        <w:rPr>
          <w:i/>
          <w:iCs/>
          <w:color w:val="000000"/>
          <w:sz w:val="21"/>
          <w:szCs w:val="21"/>
        </w:rPr>
        <w:t>E Premium Average.</w:t>
      </w:r>
    </w:p>
    <w:p w14:paraId="5B43482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shall cease to be liable to pay the TUPE Premium Average in respect of a particular Transferring Former Service Provider Employee or a Transferring </w:t>
      </w:r>
      <w:r>
        <w:rPr>
          <w:i/>
          <w:iCs/>
          <w:color w:val="000000"/>
          <w:sz w:val="21"/>
          <w:szCs w:val="21"/>
        </w:rPr>
        <w:t>Client</w:t>
      </w:r>
      <w:r>
        <w:rPr>
          <w:color w:val="000000"/>
          <w:sz w:val="21"/>
          <w:szCs w:val="21"/>
        </w:rPr>
        <w:t xml:space="preserve"> Employee from the date upon which he ceases to be employed by the </w:t>
      </w:r>
      <w:r>
        <w:rPr>
          <w:i/>
          <w:iCs/>
          <w:color w:val="000000"/>
          <w:sz w:val="21"/>
          <w:szCs w:val="21"/>
        </w:rPr>
        <w:t>Service Provider</w:t>
      </w:r>
      <w:r>
        <w:rPr>
          <w:color w:val="000000"/>
          <w:sz w:val="21"/>
          <w:szCs w:val="21"/>
        </w:rPr>
        <w:t xml:space="preserve"> or engaged on this Contract (whichever occurs the earliest).</w:t>
      </w:r>
    </w:p>
    <w:p w14:paraId="3F34FBD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 If an employee ceases to be employed part way through the year, the TUPE Premium Average allocated to that employee shall be deducted on a pro rata basis.</w:t>
      </w:r>
    </w:p>
    <w:p w14:paraId="6EADDC2A"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On receipt of the </w:t>
      </w:r>
      <w:r>
        <w:rPr>
          <w:i/>
          <w:iCs/>
          <w:color w:val="000000"/>
          <w:sz w:val="21"/>
          <w:szCs w:val="21"/>
        </w:rPr>
        <w:t>Service Provider’s</w:t>
      </w:r>
      <w:r>
        <w:rPr>
          <w:color w:val="000000"/>
          <w:sz w:val="21"/>
          <w:szCs w:val="21"/>
        </w:rPr>
        <w:t xml:space="preserve"> notification of the Adjustable TUPE Premium submitted pursuant </w:t>
      </w:r>
      <w:r>
        <w:rPr>
          <w:color w:val="000000"/>
          <w:sz w:val="21"/>
          <w:szCs w:val="21"/>
        </w:rPr>
        <w:t xml:space="preserve">to paragraph 2.2.2, the </w:t>
      </w:r>
      <w:r>
        <w:rPr>
          <w:i/>
          <w:iCs/>
          <w:color w:val="000000"/>
          <w:sz w:val="21"/>
          <w:szCs w:val="21"/>
        </w:rPr>
        <w:t>Client</w:t>
      </w:r>
      <w:r>
        <w:rPr>
          <w:color w:val="000000"/>
          <w:sz w:val="21"/>
          <w:szCs w:val="21"/>
        </w:rPr>
        <w:t xml:space="preserve"> shall either:</w:t>
      </w:r>
    </w:p>
    <w:p w14:paraId="1EE4238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Service Provider</w:t>
      </w:r>
      <w:r>
        <w:rPr>
          <w:color w:val="000000"/>
          <w:sz w:val="21"/>
          <w:szCs w:val="21"/>
        </w:rPr>
        <w:t xml:space="preserve"> in writing of acceptance of the adjusted Adjustable TUPE Premium and the </w:t>
      </w:r>
      <w:r>
        <w:rPr>
          <w:i/>
          <w:iCs/>
          <w:color w:val="000000"/>
          <w:sz w:val="21"/>
          <w:szCs w:val="21"/>
        </w:rPr>
        <w:t>Service Manager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 to updat</w:t>
      </w:r>
      <w:r>
        <w:rPr>
          <w:color w:val="000000"/>
          <w:sz w:val="21"/>
          <w:szCs w:val="21"/>
        </w:rPr>
        <w:t>e the Interim Adjustable TUPE Premium; or</w:t>
      </w:r>
    </w:p>
    <w:p w14:paraId="3133DE04"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further information/evidence; and/or</w:t>
      </w:r>
    </w:p>
    <w:p w14:paraId="2DD90F7A"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a meeting to discuss/clarify the evidence provided.</w:t>
      </w:r>
    </w:p>
    <w:p w14:paraId="7B3394D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adjustment to the Adjustable TUPE Premium is agreed following the receipt of further information/ev</w:t>
      </w:r>
      <w:r>
        <w:rPr>
          <w:color w:val="000000"/>
          <w:sz w:val="21"/>
          <w:szCs w:val="21"/>
        </w:rPr>
        <w:t xml:space="preserve">idence or following a meeting, the </w:t>
      </w:r>
      <w:r>
        <w:rPr>
          <w:i/>
          <w:iCs/>
          <w:color w:val="000000"/>
          <w:sz w:val="21"/>
          <w:szCs w:val="21"/>
        </w:rPr>
        <w:t>Client</w:t>
      </w:r>
      <w:r>
        <w:rPr>
          <w:color w:val="000000"/>
          <w:sz w:val="21"/>
          <w:szCs w:val="21"/>
        </w:rPr>
        <w:t xml:space="preserve"> shall notify the </w:t>
      </w:r>
      <w:r>
        <w:rPr>
          <w:i/>
          <w:iCs/>
          <w:color w:val="000000"/>
          <w:sz w:val="21"/>
          <w:szCs w:val="21"/>
        </w:rPr>
        <w:t>Service Provider</w:t>
      </w:r>
      <w:r>
        <w:rPr>
          <w:color w:val="000000"/>
          <w:sz w:val="21"/>
          <w:szCs w:val="21"/>
        </w:rPr>
        <w:t xml:space="preserve"> in writing and confirm the Adjustable TUPE Premium that shall apply and the </w:t>
      </w:r>
      <w:r>
        <w:rPr>
          <w:i/>
          <w:iCs/>
          <w:color w:val="000000"/>
          <w:sz w:val="21"/>
          <w:szCs w:val="21"/>
        </w:rPr>
        <w:t>Service Manager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 to</w:t>
      </w:r>
      <w:r>
        <w:rPr>
          <w:color w:val="000000"/>
          <w:sz w:val="21"/>
          <w:szCs w:val="21"/>
        </w:rPr>
        <w:t xml:space="preserve"> update the Interim Adjustable TUPE Premium.</w:t>
      </w:r>
    </w:p>
    <w:p w14:paraId="04E29816"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 the event that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are unable to agree the adjustment to the Adjustable TUPE Premium, they shall follow W1 or W2 as allocated by the contract.</w:t>
      </w:r>
    </w:p>
    <w:p w14:paraId="03F147A8"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 amended Adjustable TUPE Premi</w:t>
      </w:r>
      <w:r>
        <w:rPr>
          <w:color w:val="000000"/>
          <w:sz w:val="21"/>
          <w:szCs w:val="21"/>
        </w:rPr>
        <w:t>um shall be used as the benchmark in the subsequent annual review of the Adjustable TUPE Premium.</w:t>
      </w:r>
    </w:p>
    <w:p w14:paraId="5A56AC5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amended Adjustable TUPE Premium is more than the Adjustable TUPE Premium in the previous Contract Year, the Adjustable TUPE Premium shall not be adj</w:t>
      </w:r>
      <w:r>
        <w:rPr>
          <w:color w:val="000000"/>
          <w:sz w:val="21"/>
          <w:szCs w:val="21"/>
        </w:rPr>
        <w:t>usted.</w:t>
      </w:r>
    </w:p>
    <w:p w14:paraId="4A1E0A7A"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Right of audit</w:t>
      </w:r>
    </w:p>
    <w:p w14:paraId="7D84BCBD"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The </w:t>
      </w:r>
      <w:r>
        <w:rPr>
          <w:i/>
          <w:iCs/>
          <w:color w:val="000000"/>
          <w:sz w:val="21"/>
          <w:szCs w:val="21"/>
        </w:rPr>
        <w:t>Client</w:t>
      </w:r>
      <w:r>
        <w:rPr>
          <w:color w:val="000000"/>
          <w:sz w:val="21"/>
          <w:szCs w:val="21"/>
        </w:rPr>
        <w:t xml:space="preserve"> reserves the right to review and audit the calculation of the Adjustable TUPE Premium at any time.</w:t>
      </w:r>
    </w:p>
    <w:p w14:paraId="6849975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Where an overpayment of the Adjustable TUPE Premium is identified following a review and/or audit carried out or by any other means, the </w:t>
      </w:r>
      <w:r>
        <w:rPr>
          <w:i/>
          <w:iCs/>
          <w:color w:val="000000"/>
          <w:sz w:val="21"/>
          <w:szCs w:val="21"/>
        </w:rPr>
        <w:t>Service Provider</w:t>
      </w:r>
      <w:r>
        <w:rPr>
          <w:color w:val="000000"/>
          <w:sz w:val="21"/>
          <w:szCs w:val="21"/>
        </w:rPr>
        <w:t xml:space="preserve"> shall repay to the </w:t>
      </w:r>
      <w:r>
        <w:rPr>
          <w:i/>
          <w:iCs/>
          <w:color w:val="000000"/>
          <w:sz w:val="21"/>
          <w:szCs w:val="21"/>
        </w:rPr>
        <w:t>Client</w:t>
      </w:r>
      <w:r>
        <w:rPr>
          <w:color w:val="000000"/>
          <w:sz w:val="21"/>
          <w:szCs w:val="21"/>
        </w:rPr>
        <w:t xml:space="preserve"> any over payment of the Adjustable TUPE Premium within 20 Working Days of be</w:t>
      </w:r>
      <w:r>
        <w:rPr>
          <w:color w:val="000000"/>
          <w:sz w:val="21"/>
          <w:szCs w:val="21"/>
        </w:rPr>
        <w:t>ing notified or becoming aware of the overpayment.</w:t>
      </w:r>
    </w:p>
    <w:p w14:paraId="6A40E2F6"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Option 3 – Fixed TUPE Premium</w:t>
      </w:r>
    </w:p>
    <w:p w14:paraId="564FF432"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 xml:space="preserve">The      Fixed TUPE Premium shall be agreed between the parties and included in the </w:t>
      </w:r>
      <w:r>
        <w:rPr>
          <w:i/>
          <w:iCs/>
          <w:color w:val="000000"/>
          <w:sz w:val="21"/>
          <w:szCs w:val="21"/>
        </w:rPr>
        <w:t>Price List</w:t>
      </w:r>
      <w:r>
        <w:rPr>
          <w:color w:val="000000"/>
          <w:sz w:val="21"/>
          <w:szCs w:val="21"/>
        </w:rPr>
        <w:t xml:space="preserve"> and no further adjustments shall be permitted except as set out in paragraph 4 of this Schedule.</w:t>
      </w:r>
    </w:p>
    <w:p w14:paraId="54581388"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Employer Pensions Contribution Cap &amp; Other Pension Cost</w:t>
      </w:r>
    </w:p>
    <w:p w14:paraId="51F21B6D"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For options detailed at paragraphs 1, 2 and 3 above the following shall apply:</w:t>
      </w:r>
    </w:p>
    <w:p w14:paraId="50130854"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any Annual Pensio</w:t>
      </w:r>
      <w:r>
        <w:rPr>
          <w:color w:val="000000"/>
          <w:sz w:val="21"/>
          <w:szCs w:val="21"/>
        </w:rPr>
        <w:t xml:space="preserve">n Cost would have included Employer Pension Contribution in excess of the 6% Employer Pension Contribution Cap or Other Pension Costs, the </w:t>
      </w:r>
      <w:r>
        <w:rPr>
          <w:i/>
          <w:iCs/>
          <w:color w:val="000000"/>
          <w:sz w:val="21"/>
          <w:szCs w:val="21"/>
        </w:rPr>
        <w:t>Service Provider</w:t>
      </w:r>
      <w:r>
        <w:rPr>
          <w:color w:val="000000"/>
          <w:sz w:val="21"/>
          <w:szCs w:val="21"/>
        </w:rPr>
        <w:t xml:space="preserve"> may request a pension adjustment to cover the additional cost. Such a request for a pension adjustme</w:t>
      </w:r>
      <w:r>
        <w:rPr>
          <w:color w:val="000000"/>
          <w:sz w:val="21"/>
          <w:szCs w:val="21"/>
        </w:rPr>
        <w:t xml:space="preserve">nt shall be submitted to the </w:t>
      </w:r>
      <w:r>
        <w:rPr>
          <w:i/>
          <w:iCs/>
          <w:color w:val="000000"/>
          <w:sz w:val="21"/>
          <w:szCs w:val="21"/>
        </w:rPr>
        <w:t>Client</w:t>
      </w:r>
      <w:r>
        <w:rPr>
          <w:color w:val="000000"/>
          <w:sz w:val="21"/>
          <w:szCs w:val="21"/>
        </w:rPr>
        <w:t xml:space="preserve"> no later than 20 Working Days after the end of the relevant Contract Year.</w:t>
      </w:r>
    </w:p>
    <w:p w14:paraId="05334F4B"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requests a pension adjustment in accordance with the provisions of paragraph 4.1.1, they shall provide sufficient evidenc</w:t>
      </w:r>
      <w:r>
        <w:rPr>
          <w:color w:val="000000"/>
          <w:sz w:val="21"/>
          <w:szCs w:val="21"/>
        </w:rPr>
        <w:t xml:space="preserve">e to the </w:t>
      </w:r>
      <w:r>
        <w:rPr>
          <w:i/>
          <w:iCs/>
          <w:color w:val="000000"/>
          <w:sz w:val="21"/>
          <w:szCs w:val="21"/>
        </w:rPr>
        <w:t>Client</w:t>
      </w:r>
      <w:r>
        <w:rPr>
          <w:color w:val="000000"/>
          <w:sz w:val="21"/>
          <w:szCs w:val="21"/>
        </w:rPr>
        <w:t xml:space="preserve"> to justify the pension adjustment.</w:t>
      </w:r>
    </w:p>
    <w:p w14:paraId="1C759C6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On receipt of the </w:t>
      </w:r>
      <w:r>
        <w:rPr>
          <w:i/>
          <w:iCs/>
          <w:color w:val="000000"/>
          <w:sz w:val="21"/>
          <w:szCs w:val="21"/>
        </w:rPr>
        <w:t>Service Provider's</w:t>
      </w:r>
      <w:r>
        <w:rPr>
          <w:color w:val="000000"/>
          <w:sz w:val="21"/>
          <w:szCs w:val="21"/>
        </w:rPr>
        <w:t xml:space="preserve"> calculation of the pension adjustment, the </w:t>
      </w:r>
      <w:r>
        <w:rPr>
          <w:i/>
          <w:iCs/>
          <w:color w:val="000000"/>
          <w:sz w:val="21"/>
          <w:szCs w:val="21"/>
        </w:rPr>
        <w:t>Client</w:t>
      </w:r>
      <w:r>
        <w:rPr>
          <w:color w:val="000000"/>
          <w:sz w:val="21"/>
          <w:szCs w:val="21"/>
        </w:rPr>
        <w:t xml:space="preserve"> shall either:</w:t>
      </w:r>
    </w:p>
    <w:p w14:paraId="66FD0E8D"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Service Provider</w:t>
      </w:r>
      <w:r>
        <w:rPr>
          <w:color w:val="000000"/>
          <w:sz w:val="21"/>
          <w:szCs w:val="21"/>
        </w:rPr>
        <w:t xml:space="preserve"> in writing of acceptance of the pension adjustment;</w:t>
      </w:r>
    </w:p>
    <w:p w14:paraId="152424D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further information/evidence; and/or</w:t>
      </w:r>
    </w:p>
    <w:p w14:paraId="26A64258"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a meeting to discuss/clarify the evidence provided.</w:t>
      </w:r>
    </w:p>
    <w:p w14:paraId="534BF59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Where the pension adjustment in Paragraph 4.1.1 is agreed following the receipt of further informa</w:t>
      </w:r>
      <w:r>
        <w:rPr>
          <w:color w:val="000000"/>
          <w:sz w:val="21"/>
          <w:szCs w:val="21"/>
        </w:rPr>
        <w:t xml:space="preserve">tion/evidence or following a meeting, the </w:t>
      </w:r>
      <w:r>
        <w:rPr>
          <w:i/>
          <w:iCs/>
          <w:color w:val="000000"/>
          <w:sz w:val="21"/>
          <w:szCs w:val="21"/>
        </w:rPr>
        <w:t>Client</w:t>
      </w:r>
      <w:r>
        <w:rPr>
          <w:color w:val="000000"/>
          <w:sz w:val="21"/>
          <w:szCs w:val="21"/>
        </w:rPr>
        <w:t xml:space="preserve"> shall notify the </w:t>
      </w:r>
      <w:r>
        <w:rPr>
          <w:i/>
          <w:iCs/>
          <w:color w:val="000000"/>
          <w:sz w:val="21"/>
          <w:szCs w:val="21"/>
        </w:rPr>
        <w:t>Service Provider</w:t>
      </w:r>
      <w:r>
        <w:rPr>
          <w:color w:val="000000"/>
          <w:sz w:val="21"/>
          <w:szCs w:val="21"/>
        </w:rPr>
        <w:t xml:space="preserve"> in writing.</w:t>
      </w:r>
    </w:p>
    <w:p w14:paraId="2418C67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 the event that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are unable to agree the pension adjustment, they shall follow W1 or W2 as allocated by the contract.</w:t>
      </w:r>
    </w:p>
    <w:p w14:paraId="6581C62C"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If par</w:t>
      </w:r>
      <w:r>
        <w:rPr>
          <w:color w:val="000000"/>
          <w:sz w:val="21"/>
          <w:szCs w:val="21"/>
        </w:rPr>
        <w:t>agraph 4.1.4 above applies, the excess amount calculated for the pension adjustment is not included in any calculation of the TUPE Premium Average.</w:t>
      </w:r>
    </w:p>
    <w:p w14:paraId="3E9C80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Any pension adjustment agreed by the </w:t>
      </w:r>
      <w:r>
        <w:rPr>
          <w:i/>
          <w:iCs/>
          <w:color w:val="000000"/>
          <w:sz w:val="21"/>
          <w:szCs w:val="21"/>
        </w:rPr>
        <w:t>Client</w:t>
      </w:r>
      <w:r>
        <w:rPr>
          <w:color w:val="000000"/>
          <w:sz w:val="21"/>
          <w:szCs w:val="21"/>
        </w:rPr>
        <w:t xml:space="preserve"> over the Employer Pension Contribution Cap or in respect of Other Pension Cost shall be invoiced in accordance with clause 50 (Assessing the Amount Due).</w:t>
      </w:r>
    </w:p>
    <w:p w14:paraId="14EBDB96" w14:textId="77777777" w:rsidR="007960A8" w:rsidRDefault="00A26397">
      <w:pPr>
        <w:widowControl/>
        <w:numPr>
          <w:ilvl w:val="1"/>
          <w:numId w:val="94"/>
        </w:numPr>
        <w:pBdr>
          <w:top w:val="nil"/>
          <w:left w:val="nil"/>
          <w:bottom w:val="nil"/>
          <w:right w:val="nil"/>
          <w:between w:val="nil"/>
        </w:pBdr>
        <w:spacing w:after="240"/>
        <w:jc w:val="both"/>
        <w:rPr>
          <w:b/>
          <w:bCs/>
          <w:color w:val="000000"/>
          <w:sz w:val="21"/>
          <w:szCs w:val="21"/>
        </w:rPr>
      </w:pPr>
      <w:r>
        <w:rPr>
          <w:b/>
          <w:bCs/>
          <w:color w:val="000000"/>
          <w:sz w:val="21"/>
          <w:szCs w:val="21"/>
        </w:rPr>
        <w:t>TUPE Management Cost</w:t>
      </w:r>
    </w:p>
    <w:p w14:paraId="3753D76B"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Option 1 - Award Without Competition TUPE Premium and Option 2 - Adjustable TUPE Premium.</w:t>
      </w:r>
    </w:p>
    <w:p w14:paraId="267BFA1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Service Provider</w:t>
      </w:r>
      <w:r>
        <w:rPr>
          <w:color w:val="000000"/>
          <w:sz w:val="21"/>
          <w:szCs w:val="21"/>
        </w:rPr>
        <w:t xml:space="preserve"> requests a post award adjustment to the TUPE Management Cost, they shall provide sufficient evidence to the </w:t>
      </w:r>
      <w:r>
        <w:rPr>
          <w:i/>
          <w:iCs/>
          <w:color w:val="000000"/>
          <w:sz w:val="21"/>
          <w:szCs w:val="21"/>
        </w:rPr>
        <w:t>Client</w:t>
      </w:r>
      <w:r>
        <w:rPr>
          <w:color w:val="000000"/>
          <w:sz w:val="21"/>
          <w:szCs w:val="21"/>
        </w:rPr>
        <w:t xml:space="preserve"> to justify the post award a</w:t>
      </w:r>
      <w:r>
        <w:rPr>
          <w:color w:val="000000"/>
          <w:sz w:val="21"/>
          <w:szCs w:val="21"/>
        </w:rPr>
        <w:t>djustment.</w:t>
      </w:r>
    </w:p>
    <w:p w14:paraId="7D3706F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On receipt of the </w:t>
      </w:r>
      <w:r>
        <w:rPr>
          <w:i/>
          <w:iCs/>
          <w:color w:val="000000"/>
          <w:sz w:val="21"/>
          <w:szCs w:val="21"/>
        </w:rPr>
        <w:t>Service Provider’s</w:t>
      </w:r>
      <w:r>
        <w:rPr>
          <w:color w:val="000000"/>
          <w:sz w:val="21"/>
          <w:szCs w:val="21"/>
        </w:rPr>
        <w:t xml:space="preserve"> calculation of the post award adjustment the </w:t>
      </w:r>
      <w:r>
        <w:rPr>
          <w:i/>
          <w:iCs/>
          <w:color w:val="000000"/>
          <w:sz w:val="21"/>
          <w:szCs w:val="21"/>
        </w:rPr>
        <w:t>Client</w:t>
      </w:r>
      <w:r>
        <w:rPr>
          <w:color w:val="000000"/>
          <w:sz w:val="21"/>
          <w:szCs w:val="21"/>
        </w:rPr>
        <w:t xml:space="preserve"> shall either:</w:t>
      </w:r>
    </w:p>
    <w:p w14:paraId="43144405"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 xml:space="preserve">Notify the </w:t>
      </w:r>
      <w:r>
        <w:rPr>
          <w:i/>
          <w:iCs/>
          <w:color w:val="000000"/>
          <w:sz w:val="21"/>
          <w:szCs w:val="21"/>
        </w:rPr>
        <w:t>Service Provider</w:t>
      </w:r>
      <w:r>
        <w:rPr>
          <w:color w:val="000000"/>
          <w:sz w:val="21"/>
          <w:szCs w:val="21"/>
        </w:rPr>
        <w:t xml:space="preserve"> in writing of acceptance of the TUPE Management Cost adjustments, or</w:t>
      </w:r>
    </w:p>
    <w:p w14:paraId="7B82567E"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further information/evidence; and/or</w:t>
      </w:r>
    </w:p>
    <w:p w14:paraId="523D2871" w14:textId="77777777" w:rsidR="007960A8" w:rsidRDefault="00A26397">
      <w:pPr>
        <w:widowControl/>
        <w:numPr>
          <w:ilvl w:val="4"/>
          <w:numId w:val="94"/>
        </w:numPr>
        <w:pBdr>
          <w:top w:val="nil"/>
          <w:left w:val="nil"/>
          <w:bottom w:val="nil"/>
          <w:right w:val="nil"/>
          <w:between w:val="nil"/>
        </w:pBdr>
        <w:spacing w:after="240"/>
        <w:jc w:val="both"/>
      </w:pPr>
      <w:r>
        <w:rPr>
          <w:color w:val="000000"/>
          <w:sz w:val="21"/>
          <w:szCs w:val="21"/>
        </w:rPr>
        <w:t>Request a meeting to discuss/clarify the evidence provided.</w:t>
      </w:r>
    </w:p>
    <w:p w14:paraId="0F455CE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If the </w:t>
      </w:r>
      <w:r>
        <w:rPr>
          <w:i/>
          <w:iCs/>
          <w:color w:val="000000"/>
          <w:sz w:val="21"/>
          <w:szCs w:val="21"/>
        </w:rPr>
        <w:t>Client</w:t>
      </w:r>
      <w:r>
        <w:rPr>
          <w:color w:val="000000"/>
          <w:sz w:val="21"/>
          <w:szCs w:val="21"/>
        </w:rPr>
        <w:t xml:space="preserve"> agrees to a post award adjustment of the TUPE Management Cost, the </w:t>
      </w:r>
      <w:r>
        <w:rPr>
          <w:i/>
          <w:iCs/>
          <w:color w:val="000000"/>
          <w:sz w:val="21"/>
          <w:szCs w:val="21"/>
        </w:rPr>
        <w:t>Service Manager</w:t>
      </w:r>
      <w:r>
        <w:rPr>
          <w:color w:val="000000"/>
          <w:sz w:val="21"/>
          <w:szCs w:val="21"/>
        </w:rPr>
        <w:t xml:space="preserve"> shall give an instruction to correct a mistake in the </w:t>
      </w:r>
      <w:r>
        <w:rPr>
          <w:i/>
          <w:iCs/>
          <w:color w:val="000000"/>
          <w:sz w:val="21"/>
          <w:szCs w:val="21"/>
        </w:rPr>
        <w:t>Price List</w:t>
      </w:r>
      <w:r>
        <w:rPr>
          <w:color w:val="000000"/>
          <w:sz w:val="21"/>
          <w:szCs w:val="21"/>
        </w:rPr>
        <w:t xml:space="preserve"> pursuant to 60.1(15) to include th</w:t>
      </w:r>
      <w:r>
        <w:rPr>
          <w:color w:val="000000"/>
          <w:sz w:val="21"/>
          <w:szCs w:val="21"/>
        </w:rPr>
        <w:t>e updated TUPE Management Cost.</w:t>
      </w:r>
    </w:p>
    <w:p w14:paraId="7308F7CE"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 xml:space="preserve">In the event that the </w:t>
      </w:r>
      <w:r>
        <w:rPr>
          <w:i/>
          <w:iCs/>
          <w:color w:val="000000"/>
          <w:sz w:val="21"/>
          <w:szCs w:val="21"/>
        </w:rPr>
        <w:t>Service Provider</w:t>
      </w:r>
      <w:r>
        <w:rPr>
          <w:color w:val="000000"/>
          <w:sz w:val="21"/>
          <w:szCs w:val="21"/>
        </w:rPr>
        <w:t xml:space="preserve"> and the </w:t>
      </w:r>
      <w:r>
        <w:rPr>
          <w:i/>
          <w:iCs/>
          <w:color w:val="000000"/>
          <w:sz w:val="21"/>
          <w:szCs w:val="21"/>
        </w:rPr>
        <w:t>Client</w:t>
      </w:r>
      <w:r>
        <w:rPr>
          <w:color w:val="000000"/>
          <w:sz w:val="21"/>
          <w:szCs w:val="21"/>
        </w:rPr>
        <w:t xml:space="preserve"> are unable to agree the TUPE Management Cost, they shall follow W1 or W2 as allocated by the contract.</w:t>
      </w:r>
    </w:p>
    <w:p w14:paraId="3A179265" w14:textId="77777777" w:rsidR="007960A8" w:rsidRDefault="00A26397">
      <w:pPr>
        <w:widowControl/>
        <w:numPr>
          <w:ilvl w:val="2"/>
          <w:numId w:val="94"/>
        </w:numPr>
        <w:pBdr>
          <w:top w:val="nil"/>
          <w:left w:val="nil"/>
          <w:bottom w:val="nil"/>
          <w:right w:val="nil"/>
          <w:between w:val="nil"/>
        </w:pBdr>
        <w:spacing w:after="240"/>
        <w:jc w:val="both"/>
      </w:pPr>
      <w:r>
        <w:rPr>
          <w:color w:val="000000"/>
          <w:sz w:val="21"/>
          <w:szCs w:val="21"/>
        </w:rPr>
        <w:t>Option 3 – Fixed TUPE Premium</w:t>
      </w:r>
    </w:p>
    <w:p w14:paraId="35581092" w14:textId="77777777" w:rsidR="007960A8" w:rsidRDefault="00A26397">
      <w:pPr>
        <w:widowControl/>
        <w:numPr>
          <w:ilvl w:val="3"/>
          <w:numId w:val="94"/>
        </w:numPr>
        <w:pBdr>
          <w:top w:val="nil"/>
          <w:left w:val="nil"/>
          <w:bottom w:val="nil"/>
          <w:right w:val="nil"/>
          <w:between w:val="nil"/>
        </w:pBdr>
        <w:spacing w:after="240"/>
        <w:jc w:val="both"/>
      </w:pPr>
      <w:r>
        <w:rPr>
          <w:color w:val="000000"/>
          <w:sz w:val="21"/>
          <w:szCs w:val="21"/>
        </w:rPr>
        <w:t>There shall be no post award adjustme</w:t>
      </w:r>
      <w:r>
        <w:rPr>
          <w:color w:val="000000"/>
          <w:sz w:val="21"/>
          <w:szCs w:val="21"/>
        </w:rPr>
        <w:t>nt to TUPE Management Cost.</w:t>
      </w:r>
    </w:p>
    <w:p w14:paraId="0E808FC0" w14:textId="77777777" w:rsidR="007960A8" w:rsidRDefault="007960A8">
      <w:pPr>
        <w:pBdr>
          <w:top w:val="nil"/>
          <w:left w:val="nil"/>
          <w:bottom w:val="nil"/>
          <w:right w:val="nil"/>
          <w:between w:val="nil"/>
        </w:pBdr>
        <w:rPr>
          <w:color w:val="000000"/>
        </w:rPr>
      </w:pPr>
    </w:p>
    <w:p w14:paraId="75178300" w14:textId="77777777" w:rsidR="007960A8" w:rsidRDefault="007960A8">
      <w:pPr>
        <w:spacing w:before="120" w:after="120"/>
        <w:rPr>
          <w:b/>
          <w:bCs/>
        </w:rPr>
      </w:pPr>
    </w:p>
    <w:p w14:paraId="2209976E" w14:textId="77777777" w:rsidR="007960A8" w:rsidRDefault="007960A8">
      <w:pPr>
        <w:spacing w:before="120" w:after="120"/>
        <w:rPr>
          <w:b/>
          <w:bCs/>
        </w:rPr>
      </w:pPr>
    </w:p>
    <w:sectPr w:rsidR="007960A8">
      <w:pgSz w:w="11910" w:h="16840"/>
      <w:pgMar w:top="2080" w:right="1220" w:bottom="1200" w:left="1220" w:header="83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EFBF" w14:textId="77777777" w:rsidR="00A26397" w:rsidRDefault="00A26397">
      <w:r>
        <w:separator/>
      </w:r>
    </w:p>
  </w:endnote>
  <w:endnote w:type="continuationSeparator" w:id="0">
    <w:p w14:paraId="7E17869D" w14:textId="77777777" w:rsidR="00A26397" w:rsidRDefault="00A2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004D0F-8813-4F31-8234-87BF1C037707}"/>
    <w:embedItalic r:id="rId2" w:fontKey="{019EFB3A-493A-458B-B5C7-0010654C7B2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3" w:fontKey="{9C72172A-7C55-46F5-BA9A-0FB933C6CE07}"/>
    <w:embedBold r:id="rId4" w:fontKey="{68E32D9F-8D90-4DBA-9B5F-F70DC3587804}"/>
  </w:font>
  <w:font w:name="Georgia">
    <w:panose1 w:val="02040502050405020303"/>
    <w:charset w:val="00"/>
    <w:family w:val="roman"/>
    <w:pitch w:val="variable"/>
    <w:sig w:usb0="00000287" w:usb1="00000000" w:usb2="00000000" w:usb3="00000000" w:csb0="0000009F" w:csb1="00000000"/>
    <w:embedItalic r:id="rId5" w:fontKey="{5C4133BE-D17E-4A57-8549-1BE08BBA15FF}"/>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64E493D2-423C-4EC2-8E8E-00BBE9B7E8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8FF6" w14:textId="77777777" w:rsidR="007960A8" w:rsidRDefault="007960A8">
    <w:pPr>
      <w:pBdr>
        <w:top w:val="nil"/>
        <w:left w:val="nil"/>
        <w:bottom w:val="nil"/>
        <w:right w:val="nil"/>
        <w:between w:val="nil"/>
      </w:pBdr>
      <w:tabs>
        <w:tab w:val="center" w:pos="4513"/>
        <w:tab w:val="right" w:pos="9026"/>
      </w:tabs>
      <w:rPr>
        <w:color w:val="000000"/>
      </w:rPr>
    </w:pPr>
  </w:p>
  <w:p w14:paraId="45BBC482" w14:textId="77777777" w:rsidR="007960A8" w:rsidRDefault="007960A8">
    <w:pPr>
      <w:pBdr>
        <w:top w:val="nil"/>
        <w:left w:val="nil"/>
        <w:bottom w:val="nil"/>
        <w:right w:val="nil"/>
        <w:between w:val="nil"/>
      </w:pBdr>
      <w:tabs>
        <w:tab w:val="center" w:pos="4513"/>
        <w:tab w:val="right" w:pos="9026"/>
      </w:tabs>
      <w:jc w:val="right"/>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C441" w14:textId="77777777" w:rsidR="007960A8" w:rsidRDefault="00A2639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28D0C5" w14:textId="77777777" w:rsidR="007960A8" w:rsidRDefault="007960A8">
    <w:pPr>
      <w:pBdr>
        <w:top w:val="nil"/>
        <w:left w:val="nil"/>
        <w:bottom w:val="nil"/>
        <w:right w:val="nil"/>
        <w:between w:val="nil"/>
      </w:pBdr>
      <w:tabs>
        <w:tab w:val="center" w:pos="4513"/>
        <w:tab w:val="right" w:pos="9026"/>
      </w:tabs>
      <w:rPr>
        <w:color w:val="000000"/>
        <w:sz w:val="20"/>
        <w:szCs w:val="20"/>
      </w:rPr>
    </w:pPr>
  </w:p>
  <w:p w14:paraId="5BDE09A1" w14:textId="77777777" w:rsidR="007960A8" w:rsidRDefault="007960A8">
    <w:pPr>
      <w:pBdr>
        <w:top w:val="nil"/>
        <w:left w:val="nil"/>
        <w:bottom w:val="nil"/>
        <w:right w:val="nil"/>
        <w:between w:val="nil"/>
      </w:pBdr>
      <w:tabs>
        <w:tab w:val="center" w:pos="4513"/>
        <w:tab w:val="right" w:pos="9026"/>
      </w:tabs>
      <w:jc w:val="right"/>
      <w:rPr>
        <w:color w:val="000000"/>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E25E" w14:textId="77777777" w:rsidR="007960A8" w:rsidRDefault="00A26397">
    <w:r>
      <w:fldChar w:fldCharType="begin"/>
    </w:r>
    <w:r>
      <w:instrText xml:space="preserve"> DOCPROPERTY "CUS_DocIDChunk0"</w:instrText>
    </w:r>
    <w:r>
      <w:fldChar w:fldCharType="separate"/>
    </w:r>
    <w:r>
      <w:rPr>
        <w:b/>
        <w:bCs/>
      </w:rPr>
      <w:t>Error! Unknown document property name.</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EEFE" w14:textId="77777777" w:rsidR="007960A8" w:rsidRDefault="00A2639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DF86EA5" w14:textId="77777777" w:rsidR="007960A8" w:rsidRDefault="007960A8">
    <w:pPr>
      <w:pBdr>
        <w:top w:val="nil"/>
        <w:left w:val="nil"/>
        <w:bottom w:val="nil"/>
        <w:right w:val="nil"/>
        <w:between w:val="nil"/>
      </w:pBdr>
      <w:tabs>
        <w:tab w:val="center" w:pos="4513"/>
        <w:tab w:val="right" w:pos="9026"/>
      </w:tabs>
      <w:rPr>
        <w:color w:val="000000"/>
      </w:rPr>
    </w:pPr>
  </w:p>
  <w:p w14:paraId="6EB9B11E" w14:textId="77777777" w:rsidR="007960A8" w:rsidRDefault="007960A8">
    <w:pPr>
      <w:pBdr>
        <w:top w:val="nil"/>
        <w:left w:val="nil"/>
        <w:bottom w:val="nil"/>
        <w:right w:val="nil"/>
        <w:between w:val="nil"/>
      </w:pBdr>
      <w:tabs>
        <w:tab w:val="center" w:pos="4513"/>
        <w:tab w:val="right" w:pos="9026"/>
      </w:tabs>
      <w:jc w:val="right"/>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5999" w14:textId="77777777" w:rsidR="007960A8" w:rsidRDefault="00A2639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B42E940" w14:textId="77777777" w:rsidR="007960A8" w:rsidRDefault="007960A8">
    <w:pPr>
      <w:pBdr>
        <w:top w:val="nil"/>
        <w:left w:val="nil"/>
        <w:bottom w:val="nil"/>
        <w:right w:val="nil"/>
        <w:between w:val="nil"/>
      </w:pBdr>
      <w:tabs>
        <w:tab w:val="center" w:pos="4513"/>
        <w:tab w:val="right" w:pos="9026"/>
      </w:tabs>
      <w:jc w:val="right"/>
      <w:rPr>
        <w:color w:val="000000"/>
      </w:rPr>
    </w:pPr>
  </w:p>
  <w:p w14:paraId="20FAE53D" w14:textId="77777777" w:rsidR="007960A8" w:rsidRDefault="007960A8">
    <w:pPr>
      <w:pBdr>
        <w:top w:val="nil"/>
        <w:left w:val="nil"/>
        <w:bottom w:val="nil"/>
        <w:right w:val="nil"/>
        <w:between w:val="nil"/>
      </w:pBdr>
      <w:tabs>
        <w:tab w:val="center" w:pos="4513"/>
        <w:tab w:val="right" w:pos="9026"/>
      </w:tabs>
      <w:rPr>
        <w:color w:val="000000"/>
        <w:sz w:val="20"/>
        <w:szCs w:val="20"/>
      </w:rPr>
    </w:pPr>
  </w:p>
  <w:p w14:paraId="54391659" w14:textId="77777777" w:rsidR="007960A8" w:rsidRDefault="00A26397">
    <w:pPr>
      <w:pBdr>
        <w:top w:val="nil"/>
        <w:left w:val="nil"/>
        <w:bottom w:val="nil"/>
        <w:right w:val="nil"/>
        <w:between w:val="nil"/>
      </w:pBdr>
      <w:tabs>
        <w:tab w:val="center" w:pos="4513"/>
        <w:tab w:val="right" w:pos="9026"/>
      </w:tabs>
      <w:jc w:val="right"/>
      <w:rPr>
        <w:color w:val="000000"/>
        <w:sz w:val="20"/>
        <w:szCs w:val="20"/>
      </w:rPr>
    </w:pPr>
    <w:r>
      <w:fldChar w:fldCharType="begin"/>
    </w:r>
    <w:r>
      <w:instrText xml:space="preserve"> DOCPROPERTY "iManageFooter"</w:instrText>
    </w:r>
    <w:r>
      <w:fldChar w:fldCharType="separate"/>
    </w:r>
    <w:r>
      <w:rPr>
        <w:color w:val="000000"/>
        <w:sz w:val="16"/>
        <w:szCs w:val="16"/>
      </w:rPr>
      <w:t>78068432v1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F72B" w14:textId="77777777" w:rsidR="007960A8" w:rsidRDefault="007960A8">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7AC0" w14:textId="77777777" w:rsidR="007960A8" w:rsidRDefault="007960A8">
    <w:pPr>
      <w:tabs>
        <w:tab w:val="center" w:pos="4513"/>
        <w:tab w:val="right" w:pos="9026"/>
      </w:tabs>
      <w:rPr>
        <w:color w:val="A6A6A6"/>
        <w:sz w:val="20"/>
        <w:szCs w:val="20"/>
      </w:rPr>
    </w:pPr>
  </w:p>
  <w:p w14:paraId="1F5A06DF" w14:textId="77777777" w:rsidR="007960A8" w:rsidRDefault="00A26397">
    <w:pPr>
      <w:tabs>
        <w:tab w:val="left" w:pos="5385"/>
      </w:tabs>
      <w:rPr>
        <w:sz w:val="20"/>
        <w:szCs w:val="20"/>
      </w:rPr>
    </w:pPr>
    <w:r>
      <w:rPr>
        <w:sz w:val="20"/>
        <w:szCs w:val="20"/>
      </w:rPr>
      <w:tab/>
    </w:r>
  </w:p>
  <w:p w14:paraId="5BC65ACC" w14:textId="77777777" w:rsidR="007960A8" w:rsidRDefault="00A26397">
    <w:pPr>
      <w:pBdr>
        <w:top w:val="nil"/>
        <w:left w:val="nil"/>
        <w:bottom w:val="nil"/>
        <w:right w:val="nil"/>
        <w:between w:val="nil"/>
      </w:pBdr>
      <w:tabs>
        <w:tab w:val="center" w:pos="4513"/>
        <w:tab w:val="right" w:pos="9026"/>
      </w:tabs>
      <w:rPr>
        <w:color w:val="000000"/>
        <w:sz w:val="20"/>
        <w:szCs w:val="20"/>
      </w:rPr>
    </w:pP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63963061" w14:textId="77777777" w:rsidR="007960A8" w:rsidRDefault="00A26397">
    <w:pPr>
      <w:pBdr>
        <w:top w:val="nil"/>
        <w:left w:val="nil"/>
        <w:bottom w:val="nil"/>
        <w:right w:val="nil"/>
        <w:between w:val="nil"/>
      </w:pBdr>
      <w:tabs>
        <w:tab w:val="center" w:pos="4513"/>
        <w:tab w:val="right" w:pos="9026"/>
      </w:tabs>
      <w:jc w:val="right"/>
      <w:rPr>
        <w:color w:val="000000"/>
        <w:sz w:val="20"/>
        <w:szCs w:val="20"/>
      </w:rPr>
    </w:pPr>
    <w:r>
      <w:fldChar w:fldCharType="begin"/>
    </w:r>
    <w:r>
      <w:instrText xml:space="preserve"> DOCPROPERTY "iManageFooter"</w:instrText>
    </w:r>
    <w:r>
      <w:fldChar w:fldCharType="separate"/>
    </w:r>
    <w:r>
      <w:rPr>
        <w:color w:val="000000"/>
        <w:sz w:val="20"/>
        <w:szCs w:val="20"/>
      </w:rPr>
      <w:t>iManageFooter</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0AF9" w14:textId="77777777" w:rsidR="007960A8" w:rsidRDefault="007960A8">
    <w:pPr>
      <w:tabs>
        <w:tab w:val="center" w:pos="4513"/>
        <w:tab w:val="right" w:pos="9026"/>
      </w:tabs>
      <w:rPr>
        <w:color w:val="A6A6A6"/>
        <w:sz w:val="20"/>
        <w:szCs w:val="20"/>
      </w:rPr>
    </w:pPr>
  </w:p>
  <w:p w14:paraId="5E0ECA7F" w14:textId="77777777" w:rsidR="007960A8" w:rsidRDefault="00A26397">
    <w:pPr>
      <w:tabs>
        <w:tab w:val="center" w:pos="4513"/>
        <w:tab w:val="right" w:pos="9026"/>
      </w:tabs>
      <w:rPr>
        <w:color w:val="A6A6A6"/>
        <w:sz w:val="20"/>
        <w:szCs w:val="20"/>
      </w:rPr>
    </w:pPr>
    <w:r>
      <w:rPr>
        <w:color w:val="A6A6A6"/>
        <w:sz w:val="20"/>
        <w:szCs w:val="20"/>
      </w:rPr>
      <w:t>Framework Ref: RM</w:t>
    </w:r>
    <w:r>
      <w:rPr>
        <w:color w:val="A6A6A6"/>
        <w:sz w:val="20"/>
        <w:szCs w:val="20"/>
      </w:rPr>
      <w:tab/>
      <w:t xml:space="preserve">                                           </w:t>
    </w:r>
  </w:p>
  <w:p w14:paraId="787B5462" w14:textId="77777777" w:rsidR="007960A8" w:rsidRDefault="00A26397">
    <w:pPr>
      <w:pBdr>
        <w:top w:val="nil"/>
        <w:left w:val="nil"/>
        <w:bottom w:val="nil"/>
        <w:right w:val="nil"/>
        <w:between w:val="nil"/>
      </w:pBdr>
      <w:tabs>
        <w:tab w:val="center" w:pos="4513"/>
        <w:tab w:val="right" w:pos="9026"/>
      </w:tabs>
      <w:rPr>
        <w:color w:val="A6A6A6"/>
        <w:sz w:val="20"/>
        <w:szCs w:val="20"/>
      </w:rPr>
    </w:pPr>
    <w:r>
      <w:rPr>
        <w:color w:val="A6A6A6"/>
        <w:sz w:val="20"/>
        <w:szCs w:val="20"/>
      </w:rPr>
      <w:t>Project Version: v1.0</w:t>
    </w:r>
    <w:r>
      <w:rPr>
        <w:color w:val="A6A6A6"/>
        <w:sz w:val="20"/>
        <w:szCs w:val="20"/>
      </w:rPr>
      <w:tab/>
    </w:r>
    <w:r>
      <w:rPr>
        <w:color w:val="A6A6A6"/>
        <w:sz w:val="20"/>
        <w:szCs w:val="20"/>
      </w:rPr>
      <w:tab/>
    </w:r>
    <w:r>
      <w:rPr>
        <w:color w:val="A6A6A6"/>
        <w:sz w:val="20"/>
        <w:szCs w:val="20"/>
      </w:rPr>
      <w:tab/>
      <w:t xml:space="preserve"> </w:t>
    </w:r>
    <w:r>
      <w:rPr>
        <w:color w:val="A6A6A6"/>
        <w:sz w:val="20"/>
        <w:szCs w:val="20"/>
      </w:rPr>
      <w:fldChar w:fldCharType="begin"/>
    </w:r>
    <w:r>
      <w:rPr>
        <w:color w:val="A6A6A6"/>
        <w:sz w:val="20"/>
        <w:szCs w:val="20"/>
      </w:rPr>
      <w:instrText>PAGE</w:instrText>
    </w:r>
    <w:r>
      <w:rPr>
        <w:color w:val="A6A6A6"/>
        <w:sz w:val="20"/>
        <w:szCs w:val="20"/>
      </w:rPr>
      <w:fldChar w:fldCharType="separate"/>
    </w:r>
    <w:r>
      <w:rPr>
        <w:color w:val="A6A6A6"/>
        <w:sz w:val="20"/>
        <w:szCs w:val="20"/>
      </w:rPr>
      <w:fldChar w:fldCharType="end"/>
    </w:r>
  </w:p>
  <w:p w14:paraId="2E61232C" w14:textId="77777777" w:rsidR="007960A8" w:rsidRDefault="00A26397">
    <w:pPr>
      <w:rPr>
        <w:color w:val="A6A6A6"/>
        <w:sz w:val="20"/>
        <w:szCs w:val="20"/>
      </w:rPr>
    </w:pPr>
    <w:r>
      <w:rPr>
        <w:color w:val="A6A6A6"/>
        <w:sz w:val="20"/>
        <w:szCs w:val="20"/>
      </w:rPr>
      <w:t>Model Version: v3.0</w:t>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04DA" w14:textId="77777777" w:rsidR="007960A8" w:rsidRDefault="00A26397">
    <w:pPr>
      <w:tabs>
        <w:tab w:val="center" w:pos="4513"/>
        <w:tab w:val="right" w:pos="9026"/>
      </w:tabs>
      <w:jc w:val="right"/>
      <w:rPr>
        <w:color w:val="000000"/>
        <w:sz w:val="14"/>
        <w:szCs w:val="14"/>
      </w:rPr>
    </w:pPr>
    <w:r>
      <w:fldChar w:fldCharType="begin"/>
    </w:r>
    <w:r>
      <w:instrText xml:space="preserve"> DOCPROPERTY "iManageFooter"</w:instrText>
    </w:r>
    <w:r>
      <w:fldChar w:fldCharType="separate"/>
    </w:r>
    <w:r>
      <w:rPr>
        <w:color w:val="000000"/>
        <w:sz w:val="16"/>
        <w:szCs w:val="16"/>
      </w:rPr>
      <w:t>78068432v1</w:t>
    </w:r>
    <w:r>
      <w:fldChar w:fldCharType="end"/>
    </w:r>
  </w:p>
  <w:p w14:paraId="4BD617FB" w14:textId="77777777" w:rsidR="007960A8" w:rsidRDefault="00A26397">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6F62CA87" w14:textId="77777777" w:rsidR="007960A8" w:rsidRDefault="007960A8">
    <w:pPr>
      <w:tabs>
        <w:tab w:val="center" w:pos="4513"/>
        <w:tab w:val="right" w:pos="9026"/>
      </w:tabs>
      <w:jc w:val="right"/>
      <w:rPr>
        <w:color w:val="000000"/>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DE0F" w14:textId="77777777" w:rsidR="007960A8" w:rsidRDefault="007960A8">
    <w:pPr>
      <w:tabs>
        <w:tab w:val="center" w:pos="4513"/>
        <w:tab w:val="right" w:pos="9026"/>
      </w:tabs>
      <w:rPr>
        <w:color w:val="A6A6A6"/>
        <w:sz w:val="20"/>
        <w:szCs w:val="20"/>
      </w:rPr>
    </w:pPr>
  </w:p>
  <w:p w14:paraId="3A269B8C" w14:textId="77777777" w:rsidR="007960A8" w:rsidRDefault="00A26397">
    <w:pPr>
      <w:tabs>
        <w:tab w:val="center" w:pos="4513"/>
        <w:tab w:val="right" w:pos="9026"/>
      </w:tabs>
      <w:rPr>
        <w:color w:val="A6A6A6"/>
        <w:sz w:val="20"/>
        <w:szCs w:val="20"/>
      </w:rPr>
    </w:pPr>
    <w:r>
      <w:rPr>
        <w:color w:val="A6A6A6"/>
        <w:sz w:val="20"/>
        <w:szCs w:val="20"/>
      </w:rPr>
      <w:t>Framework Ref: RM</w:t>
    </w:r>
    <w:r>
      <w:rPr>
        <w:color w:val="A6A6A6"/>
        <w:sz w:val="20"/>
        <w:szCs w:val="20"/>
      </w:rPr>
      <w:tab/>
      <w:t xml:space="preserve">                                           </w:t>
    </w:r>
  </w:p>
  <w:p w14:paraId="762A293D" w14:textId="77777777" w:rsidR="007960A8" w:rsidRDefault="00A26397">
    <w:pPr>
      <w:pBdr>
        <w:top w:val="nil"/>
        <w:left w:val="nil"/>
        <w:bottom w:val="nil"/>
        <w:right w:val="nil"/>
        <w:between w:val="nil"/>
      </w:pBdr>
      <w:tabs>
        <w:tab w:val="center" w:pos="4513"/>
        <w:tab w:val="right" w:pos="9026"/>
      </w:tabs>
      <w:rPr>
        <w:color w:val="A6A6A6"/>
        <w:sz w:val="20"/>
        <w:szCs w:val="20"/>
      </w:rPr>
    </w:pPr>
    <w:r>
      <w:rPr>
        <w:color w:val="A6A6A6"/>
        <w:sz w:val="20"/>
        <w:szCs w:val="20"/>
      </w:rPr>
      <w:t>Project Version: v1.0</w:t>
    </w:r>
    <w:r>
      <w:rPr>
        <w:color w:val="A6A6A6"/>
        <w:sz w:val="20"/>
        <w:szCs w:val="20"/>
      </w:rPr>
      <w:tab/>
    </w:r>
    <w:r>
      <w:rPr>
        <w:color w:val="A6A6A6"/>
        <w:sz w:val="20"/>
        <w:szCs w:val="20"/>
      </w:rPr>
      <w:tab/>
    </w:r>
    <w:r>
      <w:rPr>
        <w:color w:val="A6A6A6"/>
        <w:sz w:val="20"/>
        <w:szCs w:val="20"/>
      </w:rPr>
      <w:tab/>
      <w:t xml:space="preserve"> </w:t>
    </w:r>
    <w:r>
      <w:rPr>
        <w:color w:val="A6A6A6"/>
        <w:sz w:val="20"/>
        <w:szCs w:val="20"/>
      </w:rPr>
      <w:fldChar w:fldCharType="begin"/>
    </w:r>
    <w:r>
      <w:rPr>
        <w:color w:val="A6A6A6"/>
        <w:sz w:val="20"/>
        <w:szCs w:val="20"/>
      </w:rPr>
      <w:instrText>PAGE</w:instrText>
    </w:r>
    <w:r>
      <w:rPr>
        <w:color w:val="A6A6A6"/>
        <w:sz w:val="20"/>
        <w:szCs w:val="20"/>
      </w:rPr>
      <w:fldChar w:fldCharType="separate"/>
    </w:r>
    <w:r>
      <w:rPr>
        <w:color w:val="A6A6A6"/>
        <w:sz w:val="20"/>
        <w:szCs w:val="20"/>
      </w:rPr>
      <w:fldChar w:fldCharType="end"/>
    </w:r>
  </w:p>
  <w:p w14:paraId="4A7D1221" w14:textId="77777777" w:rsidR="007960A8" w:rsidRDefault="00A26397">
    <w:pPr>
      <w:rPr>
        <w:color w:val="A6A6A6"/>
        <w:sz w:val="20"/>
        <w:szCs w:val="20"/>
      </w:rPr>
    </w:pPr>
    <w:r>
      <w:rPr>
        <w:color w:val="A6A6A6"/>
        <w:sz w:val="20"/>
        <w:szCs w:val="20"/>
      </w:rPr>
      <w:t>Model Version: v3.0</w:t>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r>
      <w:rPr>
        <w:color w:val="A6A6A6"/>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9" w:name="_heading=h.vc61nqntnjvv" w:colFirst="0" w:colLast="0"/>
  <w:bookmarkEnd w:id="99"/>
  <w:p w14:paraId="43715466" w14:textId="77777777" w:rsidR="007960A8" w:rsidRDefault="00A26397">
    <w:r>
      <w:fldChar w:fldCharType="begin"/>
    </w:r>
    <w:r>
      <w:instrText xml:space="preserve"> DOCPROPERTY "CUS_DocIDChunk0"</w:instrText>
    </w:r>
    <w:r>
      <w:fldChar w:fldCharType="separate"/>
    </w:r>
    <w:r>
      <w:rPr>
        <w:b/>
        <w:bCs/>
      </w:rPr>
      <w:t>Error! Unknown document property name.</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2642" w14:textId="77777777" w:rsidR="007960A8" w:rsidRDefault="00A2639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FEE92B5" w14:textId="77777777" w:rsidR="007960A8" w:rsidRDefault="007960A8">
    <w:pPr>
      <w:pBdr>
        <w:top w:val="nil"/>
        <w:left w:val="nil"/>
        <w:bottom w:val="nil"/>
        <w:right w:val="nil"/>
        <w:between w:val="nil"/>
      </w:pBdr>
      <w:tabs>
        <w:tab w:val="center" w:pos="4513"/>
        <w:tab w:val="right" w:pos="9026"/>
      </w:tabs>
      <w:rPr>
        <w:color w:val="000000"/>
      </w:rPr>
    </w:pPr>
  </w:p>
  <w:p w14:paraId="0E7F16C7" w14:textId="77777777" w:rsidR="007960A8" w:rsidRDefault="007960A8">
    <w:pPr>
      <w:pBdr>
        <w:top w:val="nil"/>
        <w:left w:val="nil"/>
        <w:bottom w:val="nil"/>
        <w:right w:val="nil"/>
        <w:between w:val="nil"/>
      </w:pBdr>
      <w:tabs>
        <w:tab w:val="center" w:pos="4513"/>
        <w:tab w:val="right" w:pos="902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BD48" w14:textId="77777777" w:rsidR="00A26397" w:rsidRDefault="00A26397">
      <w:r>
        <w:separator/>
      </w:r>
    </w:p>
  </w:footnote>
  <w:footnote w:type="continuationSeparator" w:id="0">
    <w:p w14:paraId="4927D2FB" w14:textId="77777777" w:rsidR="00A26397" w:rsidRDefault="00A26397">
      <w:r>
        <w:continuationSeparator/>
      </w:r>
    </w:p>
  </w:footnote>
  <w:footnote w:id="1">
    <w:p w14:paraId="0918B0E7"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r>
        <w:rPr>
          <w:color w:val="000000"/>
          <w:sz w:val="20"/>
          <w:szCs w:val="20"/>
        </w:rPr>
        <w:t xml:space="preserve"> Include this definition and delete the other when a Carbon Reduction was required as part of the Consultant’s bid</w:t>
      </w:r>
    </w:p>
  </w:footnote>
  <w:footnote w:id="2">
    <w:p w14:paraId="1347564D"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r>
        <w:rPr>
          <w:color w:val="000000"/>
          <w:sz w:val="20"/>
          <w:szCs w:val="20"/>
        </w:rPr>
        <w:t xml:space="preserve"> Include this definition and delete the other when a Carbon Reduction was not required as part of the Consultant’s bid</w:t>
      </w:r>
    </w:p>
  </w:footnote>
  <w:footnote w:id="3">
    <w:p w14:paraId="32C68D48"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r>
        <w:rPr>
          <w:color w:val="000000"/>
          <w:sz w:val="20"/>
          <w:szCs w:val="20"/>
        </w:rPr>
        <w:t xml:space="preserve"> Include this versio</w:t>
      </w:r>
      <w:r>
        <w:rPr>
          <w:color w:val="000000"/>
          <w:sz w:val="20"/>
          <w:szCs w:val="20"/>
        </w:rPr>
        <w:t>n of clause 3.1 and delete the other when a Carbon Reduction Plan was required as part of the Consultant’s bid</w:t>
      </w:r>
    </w:p>
  </w:footnote>
  <w:footnote w:id="4">
    <w:p w14:paraId="0626DDAC"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r>
        <w:rPr>
          <w:color w:val="000000"/>
          <w:sz w:val="20"/>
          <w:szCs w:val="20"/>
        </w:rPr>
        <w:t xml:space="preserve"> Include this version of clause 3.2 and delete the other when a Carbon Reduction Plan was not required as part of the Consultant’s bid.</w:t>
      </w:r>
    </w:p>
  </w:footnote>
  <w:footnote w:id="5">
    <w:p w14:paraId="1C12D326"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p>
  </w:footnote>
  <w:footnote w:id="6">
    <w:p w14:paraId="193B0D1B" w14:textId="77777777" w:rsidR="007960A8" w:rsidRDefault="00A26397">
      <w:pPr>
        <w:widowControl/>
        <w:pBdr>
          <w:top w:val="nil"/>
          <w:left w:val="nil"/>
          <w:bottom w:val="nil"/>
          <w:right w:val="nil"/>
          <w:between w:val="nil"/>
        </w:pBdr>
        <w:ind w:left="10" w:hanging="10"/>
        <w:rPr>
          <w:color w:val="000000"/>
          <w:sz w:val="20"/>
          <w:szCs w:val="20"/>
        </w:rPr>
      </w:pPr>
      <w:r>
        <w:rPr>
          <w:vertAlign w:val="superscript"/>
        </w:rPr>
        <w:footnoteRef/>
      </w:r>
      <w:r>
        <w:rPr>
          <w:color w:val="000000"/>
          <w:sz w:val="20"/>
          <w:szCs w:val="20"/>
        </w:rPr>
        <w:t xml:space="preserve"> Option</w:t>
      </w:r>
      <w:r>
        <w:rPr>
          <w:color w:val="000000"/>
          <w:sz w:val="20"/>
          <w:szCs w:val="20"/>
        </w:rPr>
        <w:t>al clause</w:t>
      </w:r>
    </w:p>
  </w:footnote>
  <w:footnote w:id="7">
    <w:p w14:paraId="09729669"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clause.</w:t>
      </w:r>
      <w:r>
        <w:rPr>
          <w:color w:val="000000"/>
          <w:sz w:val="20"/>
          <w:szCs w:val="20"/>
        </w:rPr>
        <w:t xml:space="preserve"> </w:t>
      </w:r>
    </w:p>
  </w:footnote>
  <w:footnote w:id="8">
    <w:p w14:paraId="0C00E635"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We recommend that you seek specific legal advice on this clause.</w:t>
      </w:r>
    </w:p>
  </w:footnote>
  <w:footnote w:id="9">
    <w:p w14:paraId="198C2B3D"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clause.</w:t>
      </w:r>
    </w:p>
  </w:footnote>
  <w:footnote w:id="10">
    <w:p w14:paraId="31638E8A"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w:t>
      </w:r>
      <w:r>
        <w:rPr>
          <w:color w:val="000000"/>
          <w:sz w:val="20"/>
          <w:szCs w:val="20"/>
          <w:highlight w:val="yellow"/>
        </w:rPr>
        <w:t>dvice on this clause.</w:t>
      </w:r>
    </w:p>
  </w:footnote>
  <w:footnote w:id="11">
    <w:p w14:paraId="536013A2"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clause.</w:t>
      </w:r>
    </w:p>
  </w:footnote>
  <w:footnote w:id="12">
    <w:p w14:paraId="27DDFCFA"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definition.</w:t>
      </w:r>
    </w:p>
  </w:footnote>
  <w:footnote w:id="13">
    <w:p w14:paraId="0A3ED578"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clause.</w:t>
      </w:r>
    </w:p>
  </w:footnote>
  <w:footnote w:id="14">
    <w:p w14:paraId="27901D7C"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w:t>
      </w:r>
      <w:r>
        <w:rPr>
          <w:color w:val="000000"/>
          <w:sz w:val="20"/>
          <w:szCs w:val="20"/>
          <w:highlight w:val="yellow"/>
        </w:rPr>
        <w:t>specific legal advice on this clause.</w:t>
      </w:r>
    </w:p>
  </w:footnote>
  <w:footnote w:id="15">
    <w:p w14:paraId="5EC7DD0F" w14:textId="77777777" w:rsidR="007960A8" w:rsidRDefault="00A26397">
      <w:pPr>
        <w:pBdr>
          <w:top w:val="nil"/>
          <w:left w:val="nil"/>
          <w:bottom w:val="nil"/>
          <w:right w:val="nil"/>
          <w:between w:val="nil"/>
        </w:pBdr>
        <w:rPr>
          <w:color w:val="000000"/>
          <w:sz w:val="20"/>
          <w:szCs w:val="20"/>
        </w:rPr>
      </w:pPr>
      <w:r>
        <w:rPr>
          <w:vertAlign w:val="superscript"/>
        </w:rPr>
        <w:footnoteRef/>
      </w:r>
      <w:r>
        <w:rPr>
          <w:color w:val="000000"/>
          <w:sz w:val="20"/>
          <w:szCs w:val="20"/>
          <w:highlight w:val="yellow"/>
        </w:rPr>
        <w:t xml:space="preserve"> We recommend that you seek specific legal advice on this clause.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811C" w14:textId="77777777" w:rsidR="007960A8" w:rsidRDefault="00A26397">
    <w:pPr>
      <w:pBdr>
        <w:top w:val="nil"/>
        <w:left w:val="nil"/>
        <w:bottom w:val="nil"/>
        <w:right w:val="nil"/>
        <w:between w:val="nil"/>
      </w:pBdr>
      <w:spacing w:line="14" w:lineRule="auto"/>
      <w:rPr>
        <w:rFonts w:ascii="Times New Roman" w:eastAsia="Times New Roman" w:hAnsi="Times New Roman" w:cs="Times New Roman"/>
        <w:color w:val="000000"/>
        <w:sz w:val="20"/>
        <w:szCs w:val="20"/>
      </w:rPr>
    </w:pPr>
    <w:r>
      <w:rPr>
        <w:noProof/>
      </w:rPr>
      <w:drawing>
        <wp:inline distT="114300" distB="114300" distL="114300" distR="114300" wp14:anchorId="27F013E4" wp14:editId="4037E54C">
          <wp:extent cx="1790700" cy="131030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0700" cy="1310307"/>
                  </a:xfrm>
                  <a:prstGeom prst="rect">
                    <a:avLst/>
                  </a:prstGeom>
                  <a:ln/>
                </pic:spPr>
              </pic:pic>
            </a:graphicData>
          </a:graphic>
        </wp:inline>
      </w:drawing>
    </w:r>
    <w:r>
      <w:rPr>
        <w:noProof/>
        <w:color w:val="000000"/>
      </w:rP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F322" w14:textId="77777777" w:rsidR="007960A8" w:rsidRDefault="007960A8">
    <w:pPr>
      <w:pBdr>
        <w:top w:val="nil"/>
        <w:left w:val="nil"/>
        <w:bottom w:val="nil"/>
        <w:right w:val="nil"/>
        <w:between w:val="nil"/>
      </w:pBdr>
      <w:tabs>
        <w:tab w:val="center" w:pos="4513"/>
        <w:tab w:val="right" w:pos="9026"/>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5DF4" w14:textId="77777777" w:rsidR="007960A8" w:rsidRDefault="007960A8">
    <w:pPr>
      <w:pBdr>
        <w:top w:val="nil"/>
        <w:left w:val="nil"/>
        <w:bottom w:val="nil"/>
        <w:right w:val="nil"/>
        <w:between w:val="nil"/>
      </w:pBdr>
      <w:tabs>
        <w:tab w:val="center" w:pos="4513"/>
        <w:tab w:val="right" w:pos="9026"/>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8B95" w14:textId="77777777" w:rsidR="007960A8" w:rsidRDefault="007960A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76A1" w14:textId="77777777" w:rsidR="007960A8" w:rsidRDefault="007960A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93B4" w14:textId="77777777" w:rsidR="007960A8" w:rsidRDefault="007960A8">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38C5" w14:textId="77777777" w:rsidR="007960A8" w:rsidRDefault="007960A8">
    <w:pPr>
      <w:pBdr>
        <w:top w:val="nil"/>
        <w:left w:val="nil"/>
        <w:bottom w:val="nil"/>
        <w:right w:val="nil"/>
        <w:between w:val="nil"/>
      </w:pBdr>
      <w:tabs>
        <w:tab w:val="center" w:pos="4513"/>
        <w:tab w:val="right" w:pos="9026"/>
      </w:tabs>
      <w:rPr>
        <w:color w:val="000000"/>
      </w:rPr>
    </w:pPr>
  </w:p>
  <w:p w14:paraId="4E1FBB3A" w14:textId="77777777" w:rsidR="007960A8" w:rsidRDefault="007960A8">
    <w:pPr>
      <w:pBdr>
        <w:top w:val="nil"/>
        <w:left w:val="nil"/>
        <w:bottom w:val="nil"/>
        <w:right w:val="nil"/>
        <w:between w:val="nil"/>
      </w:pBdr>
      <w:tabs>
        <w:tab w:val="center" w:pos="4513"/>
        <w:tab w:val="right" w:pos="9026"/>
      </w:tabs>
      <w:rPr>
        <w:color w:val="000000"/>
      </w:rPr>
    </w:pPr>
  </w:p>
  <w:p w14:paraId="325E7BDC" w14:textId="77777777" w:rsidR="007960A8" w:rsidRDefault="007960A8">
    <w:pPr>
      <w:pBdr>
        <w:top w:val="nil"/>
        <w:left w:val="nil"/>
        <w:bottom w:val="nil"/>
        <w:right w:val="nil"/>
        <w:between w:val="nil"/>
      </w:pBdr>
      <w:tabs>
        <w:tab w:val="center" w:pos="4513"/>
        <w:tab w:val="right" w:pos="9026"/>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5BC3" w14:textId="77777777" w:rsidR="007960A8" w:rsidRDefault="007960A8">
    <w:pPr>
      <w:pBdr>
        <w:top w:val="nil"/>
        <w:left w:val="nil"/>
        <w:bottom w:val="nil"/>
        <w:right w:val="nil"/>
        <w:between w:val="nil"/>
      </w:pBdr>
      <w:tabs>
        <w:tab w:val="center" w:pos="4513"/>
        <w:tab w:val="right" w:pos="9026"/>
      </w:tabs>
      <w:rPr>
        <w:color w:val="000000"/>
        <w:sz w:val="20"/>
        <w:szCs w:val="20"/>
      </w:rPr>
    </w:pPr>
  </w:p>
  <w:p w14:paraId="1B6F0B81" w14:textId="77777777" w:rsidR="007960A8" w:rsidRDefault="007960A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84AA" w14:textId="77777777" w:rsidR="007960A8" w:rsidRDefault="007960A8">
    <w:pPr>
      <w:pBdr>
        <w:top w:val="nil"/>
        <w:left w:val="nil"/>
        <w:bottom w:val="nil"/>
        <w:right w:val="nil"/>
        <w:between w:val="nil"/>
      </w:pBdr>
      <w:tabs>
        <w:tab w:val="center" w:pos="4513"/>
        <w:tab w:val="right" w:pos="9026"/>
      </w:tabs>
      <w:rPr>
        <w:color w:val="000000"/>
      </w:rPr>
    </w:pPr>
  </w:p>
  <w:p w14:paraId="5058712E" w14:textId="77777777" w:rsidR="007960A8" w:rsidRDefault="007960A8">
    <w:pPr>
      <w:pBdr>
        <w:top w:val="nil"/>
        <w:left w:val="nil"/>
        <w:bottom w:val="nil"/>
        <w:right w:val="nil"/>
        <w:between w:val="nil"/>
      </w:pBdr>
      <w:tabs>
        <w:tab w:val="center" w:pos="4513"/>
        <w:tab w:val="right" w:pos="9026"/>
      </w:tabs>
      <w:rPr>
        <w:color w:val="000000"/>
      </w:rPr>
    </w:pPr>
  </w:p>
  <w:p w14:paraId="6BFAE2A0" w14:textId="77777777" w:rsidR="007960A8" w:rsidRDefault="007960A8">
    <w:pPr>
      <w:pBdr>
        <w:top w:val="nil"/>
        <w:left w:val="nil"/>
        <w:bottom w:val="nil"/>
        <w:right w:val="nil"/>
        <w:between w:val="nil"/>
      </w:pBdr>
      <w:tabs>
        <w:tab w:val="center" w:pos="4513"/>
        <w:tab w:val="right" w:pos="9026"/>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F51A" w14:textId="77777777" w:rsidR="007960A8" w:rsidRDefault="007960A8">
    <w:pPr>
      <w:pBdr>
        <w:top w:val="nil"/>
        <w:left w:val="nil"/>
        <w:bottom w:val="nil"/>
        <w:right w:val="nil"/>
        <w:between w:val="nil"/>
      </w:pBdr>
      <w:tabs>
        <w:tab w:val="center" w:pos="4513"/>
        <w:tab w:val="right" w:pos="9026"/>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CCCB" w14:textId="77777777" w:rsidR="007960A8" w:rsidRDefault="007960A8">
    <w:pPr>
      <w:pBdr>
        <w:top w:val="nil"/>
        <w:left w:val="nil"/>
        <w:bottom w:val="nil"/>
        <w:right w:val="nil"/>
        <w:between w:val="nil"/>
      </w:pBdr>
      <w:tabs>
        <w:tab w:val="center" w:pos="4513"/>
        <w:tab w:val="right" w:pos="9026"/>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7B3A" w14:textId="77777777" w:rsidR="007960A8" w:rsidRDefault="007960A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1EF"/>
    <w:multiLevelType w:val="multilevel"/>
    <w:tmpl w:val="2D928252"/>
    <w:lvl w:ilvl="0">
      <w:start w:val="1"/>
      <w:numFmt w:val="lowerLetter"/>
      <w:lvlText w:val="(%1)"/>
      <w:lvlJc w:val="left"/>
      <w:pPr>
        <w:ind w:left="220" w:hanging="331"/>
      </w:pPr>
      <w:rPr>
        <w:rFonts w:ascii="Arial" w:eastAsia="Arial" w:hAnsi="Arial" w:cs="Arial"/>
        <w:b w:val="0"/>
        <w:bCs w:val="0"/>
        <w:sz w:val="22"/>
        <w:szCs w:val="22"/>
      </w:rPr>
    </w:lvl>
    <w:lvl w:ilvl="1">
      <w:numFmt w:val="bullet"/>
      <w:lvlText w:val="•"/>
      <w:lvlJc w:val="left"/>
      <w:pPr>
        <w:ind w:left="1144" w:hanging="330"/>
      </w:pPr>
    </w:lvl>
    <w:lvl w:ilvl="2">
      <w:numFmt w:val="bullet"/>
      <w:lvlText w:val="•"/>
      <w:lvlJc w:val="left"/>
      <w:pPr>
        <w:ind w:left="2069" w:hanging="331"/>
      </w:pPr>
    </w:lvl>
    <w:lvl w:ilvl="3">
      <w:numFmt w:val="bullet"/>
      <w:lvlText w:val="•"/>
      <w:lvlJc w:val="left"/>
      <w:pPr>
        <w:ind w:left="2993" w:hanging="331"/>
      </w:pPr>
    </w:lvl>
    <w:lvl w:ilvl="4">
      <w:numFmt w:val="bullet"/>
      <w:lvlText w:val="•"/>
      <w:lvlJc w:val="left"/>
      <w:pPr>
        <w:ind w:left="3918" w:hanging="331"/>
      </w:pPr>
    </w:lvl>
    <w:lvl w:ilvl="5">
      <w:numFmt w:val="bullet"/>
      <w:lvlText w:val="•"/>
      <w:lvlJc w:val="left"/>
      <w:pPr>
        <w:ind w:left="4843" w:hanging="331"/>
      </w:pPr>
    </w:lvl>
    <w:lvl w:ilvl="6">
      <w:numFmt w:val="bullet"/>
      <w:lvlText w:val="•"/>
      <w:lvlJc w:val="left"/>
      <w:pPr>
        <w:ind w:left="5767" w:hanging="331"/>
      </w:pPr>
    </w:lvl>
    <w:lvl w:ilvl="7">
      <w:numFmt w:val="bullet"/>
      <w:lvlText w:val="•"/>
      <w:lvlJc w:val="left"/>
      <w:pPr>
        <w:ind w:left="6692" w:hanging="331"/>
      </w:pPr>
    </w:lvl>
    <w:lvl w:ilvl="8">
      <w:numFmt w:val="bullet"/>
      <w:lvlText w:val="•"/>
      <w:lvlJc w:val="left"/>
      <w:pPr>
        <w:ind w:left="7617" w:hanging="331"/>
      </w:pPr>
    </w:lvl>
  </w:abstractNum>
  <w:abstractNum w:abstractNumId="1" w15:restartNumberingAfterBreak="0">
    <w:nsid w:val="00BA073B"/>
    <w:multiLevelType w:val="multilevel"/>
    <w:tmpl w:val="2C1ED6EA"/>
    <w:lvl w:ilvl="0">
      <w:start w:val="1"/>
      <w:numFmt w:val="lowerLetter"/>
      <w:lvlText w:val="(%1)"/>
      <w:lvlJc w:val="left"/>
      <w:pPr>
        <w:ind w:left="1587" w:hanging="793"/>
      </w:pPr>
    </w:lvl>
    <w:lvl w:ilvl="1">
      <w:start w:val="1"/>
      <w:numFmt w:val="lowerRoman"/>
      <w:lvlText w:val="(%2)"/>
      <w:lvlJc w:val="left"/>
      <w:pPr>
        <w:ind w:left="2381" w:hanging="794"/>
      </w:pPr>
    </w:lvl>
    <w:lvl w:ilvl="2">
      <w:start w:val="1"/>
      <w:numFmt w:val="decimal"/>
      <w:lvlText w:val=""/>
      <w:lvlJc w:val="left"/>
      <w:pPr>
        <w:ind w:left="2381" w:hanging="794"/>
      </w:pPr>
    </w:lvl>
    <w:lvl w:ilvl="3">
      <w:start w:val="1"/>
      <w:numFmt w:val="decimal"/>
      <w:lvlText w:val=""/>
      <w:lvlJc w:val="left"/>
      <w:pPr>
        <w:ind w:left="2381" w:hanging="794"/>
      </w:pPr>
    </w:lvl>
    <w:lvl w:ilvl="4">
      <w:start w:val="1"/>
      <w:numFmt w:val="decimal"/>
      <w:lvlText w:val=""/>
      <w:lvlJc w:val="left"/>
      <w:pPr>
        <w:ind w:left="2381" w:hanging="794"/>
      </w:pPr>
    </w:lvl>
    <w:lvl w:ilvl="5">
      <w:start w:val="1"/>
      <w:numFmt w:val="decimal"/>
      <w:lvlText w:val=""/>
      <w:lvlJc w:val="left"/>
      <w:pPr>
        <w:ind w:left="2381" w:hanging="794"/>
      </w:pPr>
    </w:lvl>
    <w:lvl w:ilvl="6">
      <w:start w:val="1"/>
      <w:numFmt w:val="decimal"/>
      <w:lvlText w:val=""/>
      <w:lvlJc w:val="left"/>
      <w:pPr>
        <w:ind w:left="2381" w:hanging="794"/>
      </w:pPr>
    </w:lvl>
    <w:lvl w:ilvl="7">
      <w:start w:val="1"/>
      <w:numFmt w:val="decimal"/>
      <w:lvlText w:val=""/>
      <w:lvlJc w:val="left"/>
      <w:pPr>
        <w:ind w:left="2381" w:hanging="794"/>
      </w:pPr>
    </w:lvl>
    <w:lvl w:ilvl="8">
      <w:start w:val="1"/>
      <w:numFmt w:val="decimal"/>
      <w:lvlText w:val=""/>
      <w:lvlJc w:val="left"/>
      <w:pPr>
        <w:ind w:left="2381" w:hanging="794"/>
      </w:pPr>
    </w:lvl>
  </w:abstractNum>
  <w:abstractNum w:abstractNumId="2" w15:restartNumberingAfterBreak="0">
    <w:nsid w:val="00CA64B3"/>
    <w:multiLevelType w:val="multilevel"/>
    <w:tmpl w:val="02AE0B5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1A55722"/>
    <w:multiLevelType w:val="multilevel"/>
    <w:tmpl w:val="E86042BC"/>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4" w15:restartNumberingAfterBreak="0">
    <w:nsid w:val="01B94F7B"/>
    <w:multiLevelType w:val="multilevel"/>
    <w:tmpl w:val="E648E5A6"/>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5" w15:restartNumberingAfterBreak="0">
    <w:nsid w:val="026E69DC"/>
    <w:multiLevelType w:val="multilevel"/>
    <w:tmpl w:val="D57C7A96"/>
    <w:lvl w:ilvl="0">
      <w:start w:val="1"/>
      <w:numFmt w:val="upperLetter"/>
      <w:lvlText w:val="Part %1."/>
      <w:lvlJc w:val="left"/>
      <w:pPr>
        <w:ind w:left="862" w:hanging="862"/>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4CD664B"/>
    <w:multiLevelType w:val="multilevel"/>
    <w:tmpl w:val="0F5E07CA"/>
    <w:lvl w:ilvl="0">
      <w:start w:val="1"/>
      <w:numFmt w:val="lowerLetter"/>
      <w:lvlText w:val="(%1)"/>
      <w:lvlJc w:val="left"/>
      <w:pPr>
        <w:ind w:left="551" w:hanging="331"/>
      </w:pPr>
      <w:rPr>
        <w:rFonts w:ascii="Arial" w:eastAsia="Arial" w:hAnsi="Arial" w:cs="Arial"/>
        <w:b w:val="0"/>
        <w:bCs w:val="0"/>
        <w:sz w:val="22"/>
        <w:szCs w:val="22"/>
      </w:rPr>
    </w:lvl>
    <w:lvl w:ilvl="1">
      <w:numFmt w:val="bullet"/>
      <w:lvlText w:val="•"/>
      <w:lvlJc w:val="left"/>
      <w:pPr>
        <w:ind w:left="1450" w:hanging="331"/>
      </w:pPr>
    </w:lvl>
    <w:lvl w:ilvl="2">
      <w:numFmt w:val="bullet"/>
      <w:lvlText w:val="•"/>
      <w:lvlJc w:val="left"/>
      <w:pPr>
        <w:ind w:left="2341" w:hanging="331"/>
      </w:pPr>
    </w:lvl>
    <w:lvl w:ilvl="3">
      <w:numFmt w:val="bullet"/>
      <w:lvlText w:val="•"/>
      <w:lvlJc w:val="left"/>
      <w:pPr>
        <w:ind w:left="3231" w:hanging="331"/>
      </w:pPr>
    </w:lvl>
    <w:lvl w:ilvl="4">
      <w:numFmt w:val="bullet"/>
      <w:lvlText w:val="•"/>
      <w:lvlJc w:val="left"/>
      <w:pPr>
        <w:ind w:left="4122" w:hanging="331"/>
      </w:pPr>
    </w:lvl>
    <w:lvl w:ilvl="5">
      <w:numFmt w:val="bullet"/>
      <w:lvlText w:val="•"/>
      <w:lvlJc w:val="left"/>
      <w:pPr>
        <w:ind w:left="5013" w:hanging="331"/>
      </w:pPr>
    </w:lvl>
    <w:lvl w:ilvl="6">
      <w:numFmt w:val="bullet"/>
      <w:lvlText w:val="•"/>
      <w:lvlJc w:val="left"/>
      <w:pPr>
        <w:ind w:left="5903" w:hanging="331"/>
      </w:pPr>
    </w:lvl>
    <w:lvl w:ilvl="7">
      <w:numFmt w:val="bullet"/>
      <w:lvlText w:val="•"/>
      <w:lvlJc w:val="left"/>
      <w:pPr>
        <w:ind w:left="6794" w:hanging="331"/>
      </w:pPr>
    </w:lvl>
    <w:lvl w:ilvl="8">
      <w:numFmt w:val="bullet"/>
      <w:lvlText w:val="•"/>
      <w:lvlJc w:val="left"/>
      <w:pPr>
        <w:ind w:left="7685" w:hanging="331"/>
      </w:pPr>
    </w:lvl>
  </w:abstractNum>
  <w:abstractNum w:abstractNumId="7" w15:restartNumberingAfterBreak="0">
    <w:nsid w:val="051E7F06"/>
    <w:multiLevelType w:val="multilevel"/>
    <w:tmpl w:val="986E574C"/>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09C50656"/>
    <w:multiLevelType w:val="multilevel"/>
    <w:tmpl w:val="5FF25DB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9" w15:restartNumberingAfterBreak="0">
    <w:nsid w:val="09D85247"/>
    <w:multiLevelType w:val="multilevel"/>
    <w:tmpl w:val="6D3E4730"/>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09DE3B9B"/>
    <w:multiLevelType w:val="multilevel"/>
    <w:tmpl w:val="DADCD546"/>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11" w15:restartNumberingAfterBreak="0">
    <w:nsid w:val="0A564868"/>
    <w:multiLevelType w:val="multilevel"/>
    <w:tmpl w:val="E3862AE8"/>
    <w:lvl w:ilvl="0">
      <w:start w:val="1"/>
      <w:numFmt w:val="upperLetter"/>
      <w:lvlText w:val="%1"/>
      <w:lvlJc w:val="left"/>
      <w:pPr>
        <w:ind w:left="3473" w:firstLine="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
      <w:lvlJc w:val="left"/>
      <w:pPr>
        <w:ind w:left="302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lowerRoman"/>
      <w:lvlText w:val=""/>
      <w:lvlJc w:val="left"/>
      <w:pPr>
        <w:ind w:left="374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decimal"/>
      <w:lvlText w:val=""/>
      <w:lvlJc w:val="left"/>
      <w:pPr>
        <w:ind w:left="446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lowerLetter"/>
      <w:lvlText w:val=""/>
      <w:lvlJc w:val="left"/>
      <w:pPr>
        <w:ind w:left="518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lowerRoman"/>
      <w:lvlText w:val=""/>
      <w:lvlJc w:val="left"/>
      <w:pPr>
        <w:ind w:left="590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decimal"/>
      <w:lvlText w:val=""/>
      <w:lvlJc w:val="left"/>
      <w:pPr>
        <w:ind w:left="662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lowerLetter"/>
      <w:lvlText w:val=""/>
      <w:lvlJc w:val="left"/>
      <w:pPr>
        <w:ind w:left="734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lowerRoman"/>
      <w:lvlText w:val=""/>
      <w:lvlJc w:val="left"/>
      <w:pPr>
        <w:ind w:left="8069"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abstractNum w:abstractNumId="12" w15:restartNumberingAfterBreak="0">
    <w:nsid w:val="0AB02431"/>
    <w:multiLevelType w:val="multilevel"/>
    <w:tmpl w:val="5006836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0B3D606F"/>
    <w:multiLevelType w:val="multilevel"/>
    <w:tmpl w:val="BDE45DC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0D25709A"/>
    <w:multiLevelType w:val="multilevel"/>
    <w:tmpl w:val="044E7AC8"/>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118249BC"/>
    <w:multiLevelType w:val="multilevel"/>
    <w:tmpl w:val="D0B8D814"/>
    <w:lvl w:ilvl="0">
      <w:start w:val="1"/>
      <w:numFmt w:val="decimal"/>
      <w:lvlText w:val="%1"/>
      <w:lvlJc w:val="left"/>
      <w:pPr>
        <w:ind w:left="3101" w:hanging="1080"/>
      </w:pPr>
    </w:lvl>
    <w:lvl w:ilvl="1">
      <w:start w:val="4"/>
      <w:numFmt w:val="decimal"/>
      <w:lvlText w:val="%1.%2"/>
      <w:lvlJc w:val="left"/>
      <w:pPr>
        <w:ind w:left="3101" w:hanging="1080"/>
      </w:pPr>
    </w:lvl>
    <w:lvl w:ilvl="2">
      <w:start w:val="2"/>
      <w:numFmt w:val="decimal"/>
      <w:lvlText w:val="%1.%2.%3"/>
      <w:lvlJc w:val="left"/>
      <w:pPr>
        <w:ind w:left="3101" w:hanging="1080"/>
      </w:p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646" w:hanging="1081"/>
      </w:pPr>
    </w:lvl>
    <w:lvl w:ilvl="5">
      <w:numFmt w:val="bullet"/>
      <w:lvlText w:val="•"/>
      <w:lvlJc w:val="left"/>
      <w:pPr>
        <w:ind w:left="6283" w:hanging="1081"/>
      </w:pPr>
    </w:lvl>
    <w:lvl w:ilvl="6">
      <w:numFmt w:val="bullet"/>
      <w:lvlText w:val="•"/>
      <w:lvlJc w:val="left"/>
      <w:pPr>
        <w:ind w:left="6919" w:hanging="1081"/>
      </w:pPr>
    </w:lvl>
    <w:lvl w:ilvl="7">
      <w:numFmt w:val="bullet"/>
      <w:lvlText w:val="•"/>
      <w:lvlJc w:val="left"/>
      <w:pPr>
        <w:ind w:left="7556" w:hanging="1081"/>
      </w:pPr>
    </w:lvl>
    <w:lvl w:ilvl="8">
      <w:numFmt w:val="bullet"/>
      <w:lvlText w:val="•"/>
      <w:lvlJc w:val="left"/>
      <w:pPr>
        <w:ind w:left="8193" w:hanging="1081"/>
      </w:pPr>
    </w:lvl>
  </w:abstractNum>
  <w:abstractNum w:abstractNumId="16" w15:restartNumberingAfterBreak="0">
    <w:nsid w:val="123A71CB"/>
    <w:multiLevelType w:val="multilevel"/>
    <w:tmpl w:val="7E5AE8D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13194A18"/>
    <w:multiLevelType w:val="multilevel"/>
    <w:tmpl w:val="5E6E1DD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16480898"/>
    <w:multiLevelType w:val="multilevel"/>
    <w:tmpl w:val="AF0606C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166A05B2"/>
    <w:multiLevelType w:val="multilevel"/>
    <w:tmpl w:val="6E682DEA"/>
    <w:lvl w:ilvl="0">
      <w:start w:val="1"/>
      <w:numFmt w:val="decimal"/>
      <w:lvlText w:val="%1."/>
      <w:lvlJc w:val="left"/>
      <w:pPr>
        <w:ind w:left="940" w:hanging="720"/>
      </w:pPr>
      <w:rPr>
        <w:rFonts w:ascii="Arial" w:eastAsia="Arial" w:hAnsi="Arial" w:cs="Arial"/>
        <w:b/>
        <w:bCs/>
        <w:sz w:val="22"/>
        <w:szCs w:val="22"/>
      </w:rPr>
    </w:lvl>
    <w:lvl w:ilvl="1">
      <w:start w:val="1"/>
      <w:numFmt w:val="decimal"/>
      <w:lvlText w:val="%1.%2"/>
      <w:lvlJc w:val="left"/>
      <w:pPr>
        <w:ind w:left="220" w:hanging="363"/>
      </w:pPr>
      <w:rPr>
        <w:b w:val="0"/>
        <w:bCs w:val="0"/>
      </w:rPr>
    </w:lvl>
    <w:lvl w:ilvl="2">
      <w:start w:val="1"/>
      <w:numFmt w:val="decimal"/>
      <w:lvlText w:val="%1.%2.%3"/>
      <w:lvlJc w:val="left"/>
      <w:pPr>
        <w:ind w:left="220" w:hanging="573"/>
      </w:pPr>
      <w:rPr>
        <w:rFonts w:ascii="Arial" w:eastAsia="Arial" w:hAnsi="Arial" w:cs="Arial"/>
        <w:b w:val="0"/>
        <w:bCs w:val="0"/>
        <w:sz w:val="22"/>
        <w:szCs w:val="22"/>
      </w:rPr>
    </w:lvl>
    <w:lvl w:ilvl="3">
      <w:numFmt w:val="bullet"/>
      <w:lvlText w:val="•"/>
      <w:lvlJc w:val="left"/>
      <w:pPr>
        <w:ind w:left="2834" w:hanging="573"/>
      </w:pPr>
    </w:lvl>
    <w:lvl w:ilvl="4">
      <w:numFmt w:val="bullet"/>
      <w:lvlText w:val="•"/>
      <w:lvlJc w:val="left"/>
      <w:pPr>
        <w:ind w:left="3782" w:hanging="573"/>
      </w:pPr>
    </w:lvl>
    <w:lvl w:ilvl="5">
      <w:numFmt w:val="bullet"/>
      <w:lvlText w:val="•"/>
      <w:lvlJc w:val="left"/>
      <w:pPr>
        <w:ind w:left="4729" w:hanging="573"/>
      </w:pPr>
    </w:lvl>
    <w:lvl w:ilvl="6">
      <w:numFmt w:val="bullet"/>
      <w:lvlText w:val="•"/>
      <w:lvlJc w:val="left"/>
      <w:pPr>
        <w:ind w:left="5676" w:hanging="573"/>
      </w:pPr>
    </w:lvl>
    <w:lvl w:ilvl="7">
      <w:numFmt w:val="bullet"/>
      <w:lvlText w:val="•"/>
      <w:lvlJc w:val="left"/>
      <w:pPr>
        <w:ind w:left="6624" w:hanging="573"/>
      </w:pPr>
    </w:lvl>
    <w:lvl w:ilvl="8">
      <w:numFmt w:val="bullet"/>
      <w:lvlText w:val="•"/>
      <w:lvlJc w:val="left"/>
      <w:pPr>
        <w:ind w:left="7571" w:hanging="572"/>
      </w:pPr>
    </w:lvl>
  </w:abstractNum>
  <w:abstractNum w:abstractNumId="20" w15:restartNumberingAfterBreak="0">
    <w:nsid w:val="16795964"/>
    <w:multiLevelType w:val="multilevel"/>
    <w:tmpl w:val="1BE8D7A0"/>
    <w:lvl w:ilvl="0">
      <w:start w:val="1"/>
      <w:numFmt w:val="decimal"/>
      <w:lvlText w:val="Appendix %1"/>
      <w:lvlJc w:val="left"/>
      <w:pPr>
        <w:ind w:left="1701" w:hanging="1701"/>
      </w:pPr>
      <w:rPr>
        <w:rFonts w:ascii="Arial" w:eastAsia="Arial" w:hAnsi="Arial" w:cs="Arial"/>
        <w:b/>
        <w:bCs/>
        <w:sz w:val="28"/>
        <w:szCs w:val="2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18C908AE"/>
    <w:multiLevelType w:val="multilevel"/>
    <w:tmpl w:val="4850B570"/>
    <w:lvl w:ilvl="0">
      <w:start w:val="1"/>
      <w:numFmt w:val="decimal"/>
      <w:lvlText w:val=""/>
      <w:lvlJc w:val="center"/>
      <w:pPr>
        <w:ind w:left="0" w:hanging="57"/>
      </w:pPr>
    </w:lvl>
    <w:lvl w:ilvl="1">
      <w:start w:val="1"/>
      <w:numFmt w:val="decimal"/>
      <w:lvlText w:val="%1%2"/>
      <w:lvlJc w:val="left"/>
      <w:pPr>
        <w:ind w:left="709" w:hanging="709"/>
      </w:pPr>
      <w:rPr>
        <w:b/>
        <w:bCs/>
      </w:rPr>
    </w:lvl>
    <w:lvl w:ilvl="2">
      <w:start w:val="1"/>
      <w:numFmt w:val="decimal"/>
      <w:lvlText w:val="%2.%3"/>
      <w:lvlJc w:val="left"/>
      <w:pPr>
        <w:ind w:left="709" w:hanging="709"/>
      </w:pPr>
      <w:rPr>
        <w:rFonts w:ascii="Calibri" w:eastAsia="Calibri" w:hAnsi="Calibri" w:cs="Calibri"/>
        <w:b w:val="0"/>
        <w:bCs w:val="0"/>
        <w:i w:val="0"/>
        <w:iCs w:val="0"/>
      </w:rPr>
    </w:lvl>
    <w:lvl w:ilvl="3">
      <w:start w:val="1"/>
      <w:numFmt w:val="lowerLetter"/>
      <w:lvlText w:val="(%4)"/>
      <w:lvlJc w:val="left"/>
      <w:pPr>
        <w:ind w:left="1418" w:hanging="709"/>
      </w:pPr>
    </w:lvl>
    <w:lvl w:ilvl="4">
      <w:start w:val="1"/>
      <w:numFmt w:val="lowerLetter"/>
      <w:lvlText w:val="(%5)"/>
      <w:lvlJc w:val="left"/>
      <w:pPr>
        <w:ind w:left="2126" w:hanging="708"/>
      </w:pPr>
      <w:rPr>
        <w:rFonts w:ascii="Arial" w:eastAsia="Arial" w:hAnsi="Arial" w:cs="Arial"/>
      </w:rPr>
    </w:lvl>
    <w:lvl w:ilvl="5">
      <w:start w:val="1"/>
      <w:numFmt w:val="bullet"/>
      <w:lvlText w:val="●"/>
      <w:lvlJc w:val="left"/>
      <w:pPr>
        <w:ind w:left="3543" w:hanging="708"/>
      </w:pPr>
      <w:rPr>
        <w:rFonts w:ascii="Noto Sans Symbols" w:eastAsia="Noto Sans Symbols" w:hAnsi="Noto Sans Symbols" w:cs="Noto Sans Symbols"/>
        <w:color w:val="000000"/>
      </w:rPr>
    </w:lvl>
    <w:lvl w:ilvl="6">
      <w:start w:val="1"/>
      <w:numFmt w:val="lowerLetter"/>
      <w:lvlText w:val="%7)"/>
      <w:lvlJc w:val="left"/>
      <w:pPr>
        <w:ind w:left="4252" w:hanging="709"/>
      </w:pPr>
    </w:lvl>
    <w:lvl w:ilvl="7">
      <w:start w:val="1"/>
      <w:numFmt w:val="lowerRoman"/>
      <w:lvlText w:val="%8)"/>
      <w:lvlJc w:val="left"/>
      <w:pPr>
        <w:ind w:left="4961" w:hanging="709"/>
      </w:pPr>
    </w:lvl>
    <w:lvl w:ilvl="8">
      <w:start w:val="1"/>
      <w:numFmt w:val="upperLetter"/>
      <w:lvlText w:val="%9)"/>
      <w:lvlJc w:val="left"/>
      <w:pPr>
        <w:ind w:left="5669" w:hanging="708"/>
      </w:pPr>
    </w:lvl>
  </w:abstractNum>
  <w:abstractNum w:abstractNumId="22" w15:restartNumberingAfterBreak="0">
    <w:nsid w:val="1988200E"/>
    <w:multiLevelType w:val="multilevel"/>
    <w:tmpl w:val="ECB2EDB6"/>
    <w:lvl w:ilvl="0">
      <w:numFmt w:val="bullet"/>
      <w:lvlText w:val="●"/>
      <w:lvlJc w:val="left"/>
      <w:pPr>
        <w:ind w:left="580" w:hanging="360"/>
      </w:pPr>
      <w:rPr>
        <w:rFonts w:ascii="Noto Sans Symbols" w:eastAsia="Noto Sans Symbols" w:hAnsi="Noto Sans Symbols" w:cs="Noto Sans Symbols"/>
        <w:b w:val="0"/>
        <w:bCs w:val="0"/>
        <w:sz w:val="22"/>
        <w:szCs w:val="22"/>
      </w:rPr>
    </w:lvl>
    <w:lvl w:ilvl="1">
      <w:numFmt w:val="bullet"/>
      <w:lvlText w:val="•"/>
      <w:lvlJc w:val="left"/>
      <w:pPr>
        <w:ind w:left="1468" w:hanging="360"/>
      </w:pPr>
    </w:lvl>
    <w:lvl w:ilvl="2">
      <w:numFmt w:val="bullet"/>
      <w:lvlText w:val="•"/>
      <w:lvlJc w:val="left"/>
      <w:pPr>
        <w:ind w:left="2357" w:hanging="360"/>
      </w:pPr>
    </w:lvl>
    <w:lvl w:ilvl="3">
      <w:numFmt w:val="bullet"/>
      <w:lvlText w:val="•"/>
      <w:lvlJc w:val="left"/>
      <w:pPr>
        <w:ind w:left="3245" w:hanging="360"/>
      </w:pPr>
    </w:lvl>
    <w:lvl w:ilvl="4">
      <w:numFmt w:val="bullet"/>
      <w:lvlText w:val="•"/>
      <w:lvlJc w:val="left"/>
      <w:pPr>
        <w:ind w:left="4134" w:hanging="360"/>
      </w:pPr>
    </w:lvl>
    <w:lvl w:ilvl="5">
      <w:numFmt w:val="bullet"/>
      <w:lvlText w:val="•"/>
      <w:lvlJc w:val="left"/>
      <w:pPr>
        <w:ind w:left="5023" w:hanging="360"/>
      </w:pPr>
    </w:lvl>
    <w:lvl w:ilvl="6">
      <w:numFmt w:val="bullet"/>
      <w:lvlText w:val="•"/>
      <w:lvlJc w:val="left"/>
      <w:pPr>
        <w:ind w:left="5911" w:hanging="360"/>
      </w:pPr>
    </w:lvl>
    <w:lvl w:ilvl="7">
      <w:numFmt w:val="bullet"/>
      <w:lvlText w:val="•"/>
      <w:lvlJc w:val="left"/>
      <w:pPr>
        <w:ind w:left="6800" w:hanging="360"/>
      </w:pPr>
    </w:lvl>
    <w:lvl w:ilvl="8">
      <w:numFmt w:val="bullet"/>
      <w:lvlText w:val="•"/>
      <w:lvlJc w:val="left"/>
      <w:pPr>
        <w:ind w:left="7689" w:hanging="360"/>
      </w:pPr>
    </w:lvl>
  </w:abstractNum>
  <w:abstractNum w:abstractNumId="23" w15:restartNumberingAfterBreak="0">
    <w:nsid w:val="19BB5436"/>
    <w:multiLevelType w:val="multilevel"/>
    <w:tmpl w:val="ACAE337C"/>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1A030E3B"/>
    <w:multiLevelType w:val="multilevel"/>
    <w:tmpl w:val="42A40CF8"/>
    <w:lvl w:ilvl="0">
      <w:start w:val="11"/>
      <w:numFmt w:val="decimal"/>
      <w:lvlText w:val="%1"/>
      <w:lvlJc w:val="left"/>
      <w:pPr>
        <w:ind w:left="220" w:hanging="490"/>
      </w:pPr>
    </w:lvl>
    <w:lvl w:ilvl="1">
      <w:start w:val="3"/>
      <w:numFmt w:val="decimal"/>
      <w:lvlText w:val="%1.%2"/>
      <w:lvlJc w:val="left"/>
      <w:pPr>
        <w:ind w:left="220" w:hanging="490"/>
      </w:pPr>
      <w:rPr>
        <w:rFonts w:ascii="Arial" w:eastAsia="Arial" w:hAnsi="Arial" w:cs="Arial"/>
        <w:b w:val="0"/>
        <w:bCs w:val="0"/>
        <w:sz w:val="22"/>
        <w:szCs w:val="22"/>
      </w:rPr>
    </w:lvl>
    <w:lvl w:ilvl="2">
      <w:numFmt w:val="bullet"/>
      <w:lvlText w:val="●"/>
      <w:lvlJc w:val="left"/>
      <w:pPr>
        <w:ind w:left="940" w:hanging="360"/>
      </w:pPr>
      <w:rPr>
        <w:rFonts w:ascii="Noto Sans Symbols" w:eastAsia="Noto Sans Symbols" w:hAnsi="Noto Sans Symbols" w:cs="Noto Sans Symbols"/>
        <w:b w:val="0"/>
        <w:bCs w:val="0"/>
        <w:sz w:val="22"/>
        <w:szCs w:val="22"/>
      </w:rPr>
    </w:lvl>
    <w:lvl w:ilvl="3">
      <w:numFmt w:val="bullet"/>
      <w:lvlText w:val="•"/>
      <w:lvlJc w:val="left"/>
      <w:pPr>
        <w:ind w:left="2834" w:hanging="360"/>
      </w:pPr>
    </w:lvl>
    <w:lvl w:ilvl="4">
      <w:numFmt w:val="bullet"/>
      <w:lvlText w:val="•"/>
      <w:lvlJc w:val="left"/>
      <w:pPr>
        <w:ind w:left="3782" w:hanging="360"/>
      </w:pPr>
    </w:lvl>
    <w:lvl w:ilvl="5">
      <w:numFmt w:val="bullet"/>
      <w:lvlText w:val="•"/>
      <w:lvlJc w:val="left"/>
      <w:pPr>
        <w:ind w:left="4729" w:hanging="360"/>
      </w:pPr>
    </w:lvl>
    <w:lvl w:ilvl="6">
      <w:numFmt w:val="bullet"/>
      <w:lvlText w:val="•"/>
      <w:lvlJc w:val="left"/>
      <w:pPr>
        <w:ind w:left="5676" w:hanging="360"/>
      </w:pPr>
    </w:lvl>
    <w:lvl w:ilvl="7">
      <w:numFmt w:val="bullet"/>
      <w:lvlText w:val="•"/>
      <w:lvlJc w:val="left"/>
      <w:pPr>
        <w:ind w:left="6624" w:hanging="360"/>
      </w:pPr>
    </w:lvl>
    <w:lvl w:ilvl="8">
      <w:numFmt w:val="bullet"/>
      <w:lvlText w:val="•"/>
      <w:lvlJc w:val="left"/>
      <w:pPr>
        <w:ind w:left="7571" w:hanging="360"/>
      </w:pPr>
    </w:lvl>
  </w:abstractNum>
  <w:abstractNum w:abstractNumId="25" w15:restartNumberingAfterBreak="0">
    <w:nsid w:val="1BDD233C"/>
    <w:multiLevelType w:val="multilevel"/>
    <w:tmpl w:val="FA0644BE"/>
    <w:lvl w:ilvl="0">
      <w:start w:val="1"/>
      <w:numFmt w:val="decimal"/>
      <w:lvlText w:val="%1."/>
      <w:lvlJc w:val="left"/>
      <w:pPr>
        <w:ind w:left="940" w:hanging="720"/>
      </w:pPr>
      <w:rPr>
        <w:rFonts w:ascii="Arial" w:eastAsia="Arial" w:hAnsi="Arial" w:cs="Arial"/>
        <w:b w:val="0"/>
        <w:bCs w:val="0"/>
        <w:sz w:val="22"/>
        <w:szCs w:val="22"/>
      </w:rPr>
    </w:lvl>
    <w:lvl w:ilvl="1">
      <w:numFmt w:val="bullet"/>
      <w:lvlText w:val="•"/>
      <w:lvlJc w:val="left"/>
      <w:pPr>
        <w:ind w:left="1792" w:hanging="720"/>
      </w:pPr>
    </w:lvl>
    <w:lvl w:ilvl="2">
      <w:numFmt w:val="bullet"/>
      <w:lvlText w:val="•"/>
      <w:lvlJc w:val="left"/>
      <w:pPr>
        <w:ind w:left="2645" w:hanging="720"/>
      </w:pPr>
    </w:lvl>
    <w:lvl w:ilvl="3">
      <w:numFmt w:val="bullet"/>
      <w:lvlText w:val="•"/>
      <w:lvlJc w:val="left"/>
      <w:pPr>
        <w:ind w:left="3497" w:hanging="720"/>
      </w:pPr>
    </w:lvl>
    <w:lvl w:ilvl="4">
      <w:numFmt w:val="bullet"/>
      <w:lvlText w:val="•"/>
      <w:lvlJc w:val="left"/>
      <w:pPr>
        <w:ind w:left="4350" w:hanging="720"/>
      </w:pPr>
    </w:lvl>
    <w:lvl w:ilvl="5">
      <w:numFmt w:val="bullet"/>
      <w:lvlText w:val="•"/>
      <w:lvlJc w:val="left"/>
      <w:pPr>
        <w:ind w:left="5203" w:hanging="720"/>
      </w:pPr>
    </w:lvl>
    <w:lvl w:ilvl="6">
      <w:numFmt w:val="bullet"/>
      <w:lvlText w:val="•"/>
      <w:lvlJc w:val="left"/>
      <w:pPr>
        <w:ind w:left="6055" w:hanging="720"/>
      </w:pPr>
    </w:lvl>
    <w:lvl w:ilvl="7">
      <w:numFmt w:val="bullet"/>
      <w:lvlText w:val="•"/>
      <w:lvlJc w:val="left"/>
      <w:pPr>
        <w:ind w:left="6908" w:hanging="720"/>
      </w:pPr>
    </w:lvl>
    <w:lvl w:ilvl="8">
      <w:numFmt w:val="bullet"/>
      <w:lvlText w:val="•"/>
      <w:lvlJc w:val="left"/>
      <w:pPr>
        <w:ind w:left="7761" w:hanging="720"/>
      </w:pPr>
    </w:lvl>
  </w:abstractNum>
  <w:abstractNum w:abstractNumId="26" w15:restartNumberingAfterBreak="0">
    <w:nsid w:val="1CDD7C51"/>
    <w:multiLevelType w:val="multilevel"/>
    <w:tmpl w:val="F3360E7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1D1B4199"/>
    <w:multiLevelType w:val="multilevel"/>
    <w:tmpl w:val="8F2871B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1E9F7CAD"/>
    <w:multiLevelType w:val="multilevel"/>
    <w:tmpl w:val="AE60295C"/>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29" w15:restartNumberingAfterBreak="0">
    <w:nsid w:val="207C6CD1"/>
    <w:multiLevelType w:val="multilevel"/>
    <w:tmpl w:val="CC72BB1C"/>
    <w:lvl w:ilvl="0">
      <w:start w:val="1"/>
      <w:numFmt w:val="lowerRoman"/>
      <w:lvlText w:val="(%1)"/>
      <w:lvlJc w:val="left"/>
      <w:pPr>
        <w:ind w:left="220" w:hanging="257"/>
      </w:pPr>
      <w:rPr>
        <w:rFonts w:ascii="Arial" w:eastAsia="Arial" w:hAnsi="Arial" w:cs="Arial"/>
        <w:b w:val="0"/>
        <w:bCs w:val="0"/>
        <w:sz w:val="22"/>
        <w:szCs w:val="22"/>
      </w:rPr>
    </w:lvl>
    <w:lvl w:ilvl="1">
      <w:numFmt w:val="bullet"/>
      <w:lvlText w:val="•"/>
      <w:lvlJc w:val="left"/>
      <w:pPr>
        <w:ind w:left="1144" w:hanging="257"/>
      </w:pPr>
    </w:lvl>
    <w:lvl w:ilvl="2">
      <w:numFmt w:val="bullet"/>
      <w:lvlText w:val="•"/>
      <w:lvlJc w:val="left"/>
      <w:pPr>
        <w:ind w:left="2069" w:hanging="256"/>
      </w:pPr>
    </w:lvl>
    <w:lvl w:ilvl="3">
      <w:numFmt w:val="bullet"/>
      <w:lvlText w:val="•"/>
      <w:lvlJc w:val="left"/>
      <w:pPr>
        <w:ind w:left="2993" w:hanging="257"/>
      </w:pPr>
    </w:lvl>
    <w:lvl w:ilvl="4">
      <w:numFmt w:val="bullet"/>
      <w:lvlText w:val="•"/>
      <w:lvlJc w:val="left"/>
      <w:pPr>
        <w:ind w:left="3918" w:hanging="257"/>
      </w:pPr>
    </w:lvl>
    <w:lvl w:ilvl="5">
      <w:numFmt w:val="bullet"/>
      <w:lvlText w:val="•"/>
      <w:lvlJc w:val="left"/>
      <w:pPr>
        <w:ind w:left="4843" w:hanging="257"/>
      </w:pPr>
    </w:lvl>
    <w:lvl w:ilvl="6">
      <w:numFmt w:val="bullet"/>
      <w:lvlText w:val="•"/>
      <w:lvlJc w:val="left"/>
      <w:pPr>
        <w:ind w:left="5767" w:hanging="257"/>
      </w:pPr>
    </w:lvl>
    <w:lvl w:ilvl="7">
      <w:numFmt w:val="bullet"/>
      <w:lvlText w:val="•"/>
      <w:lvlJc w:val="left"/>
      <w:pPr>
        <w:ind w:left="6692" w:hanging="257"/>
      </w:pPr>
    </w:lvl>
    <w:lvl w:ilvl="8">
      <w:numFmt w:val="bullet"/>
      <w:lvlText w:val="•"/>
      <w:lvlJc w:val="left"/>
      <w:pPr>
        <w:ind w:left="7617" w:hanging="257"/>
      </w:pPr>
    </w:lvl>
  </w:abstractNum>
  <w:abstractNum w:abstractNumId="30" w15:restartNumberingAfterBreak="0">
    <w:nsid w:val="218C204B"/>
    <w:multiLevelType w:val="multilevel"/>
    <w:tmpl w:val="3D6E315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23507981"/>
    <w:multiLevelType w:val="multilevel"/>
    <w:tmpl w:val="5460562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32" w15:restartNumberingAfterBreak="0">
    <w:nsid w:val="237F6C22"/>
    <w:multiLevelType w:val="multilevel"/>
    <w:tmpl w:val="49D2753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247D7B38"/>
    <w:multiLevelType w:val="multilevel"/>
    <w:tmpl w:val="B64C141A"/>
    <w:lvl w:ilvl="0">
      <w:start w:val="1"/>
      <w:numFmt w:val="lowerLetter"/>
      <w:lvlText w:val="(%1)"/>
      <w:lvlJc w:val="left"/>
      <w:pPr>
        <w:ind w:left="1587" w:hanging="793"/>
      </w:pPr>
    </w:lvl>
    <w:lvl w:ilvl="1">
      <w:start w:val="1"/>
      <w:numFmt w:val="lowerRoman"/>
      <w:lvlText w:val="(%2)"/>
      <w:lvlJc w:val="left"/>
      <w:pPr>
        <w:ind w:left="2381" w:hanging="794"/>
      </w:pPr>
    </w:lvl>
    <w:lvl w:ilvl="2">
      <w:start w:val="1"/>
      <w:numFmt w:val="decimal"/>
      <w:lvlText w:val=""/>
      <w:lvlJc w:val="left"/>
      <w:pPr>
        <w:ind w:left="2381" w:hanging="794"/>
      </w:pPr>
    </w:lvl>
    <w:lvl w:ilvl="3">
      <w:start w:val="1"/>
      <w:numFmt w:val="decimal"/>
      <w:lvlText w:val=""/>
      <w:lvlJc w:val="left"/>
      <w:pPr>
        <w:ind w:left="2381" w:hanging="794"/>
      </w:pPr>
    </w:lvl>
    <w:lvl w:ilvl="4">
      <w:start w:val="1"/>
      <w:numFmt w:val="decimal"/>
      <w:lvlText w:val=""/>
      <w:lvlJc w:val="left"/>
      <w:pPr>
        <w:ind w:left="2381" w:hanging="794"/>
      </w:pPr>
    </w:lvl>
    <w:lvl w:ilvl="5">
      <w:start w:val="1"/>
      <w:numFmt w:val="decimal"/>
      <w:lvlText w:val=""/>
      <w:lvlJc w:val="left"/>
      <w:pPr>
        <w:ind w:left="2381" w:hanging="794"/>
      </w:pPr>
    </w:lvl>
    <w:lvl w:ilvl="6">
      <w:start w:val="1"/>
      <w:numFmt w:val="decimal"/>
      <w:lvlText w:val=""/>
      <w:lvlJc w:val="left"/>
      <w:pPr>
        <w:ind w:left="2381" w:hanging="794"/>
      </w:pPr>
    </w:lvl>
    <w:lvl w:ilvl="7">
      <w:start w:val="1"/>
      <w:numFmt w:val="decimal"/>
      <w:lvlText w:val=""/>
      <w:lvlJc w:val="left"/>
      <w:pPr>
        <w:ind w:left="2381" w:hanging="794"/>
      </w:pPr>
    </w:lvl>
    <w:lvl w:ilvl="8">
      <w:start w:val="1"/>
      <w:numFmt w:val="decimal"/>
      <w:lvlText w:val=""/>
      <w:lvlJc w:val="left"/>
      <w:pPr>
        <w:ind w:left="2381" w:hanging="794"/>
      </w:pPr>
    </w:lvl>
  </w:abstractNum>
  <w:abstractNum w:abstractNumId="34" w15:restartNumberingAfterBreak="0">
    <w:nsid w:val="25B431D1"/>
    <w:multiLevelType w:val="multilevel"/>
    <w:tmpl w:val="9C68C634"/>
    <w:lvl w:ilvl="0">
      <w:start w:val="1"/>
      <w:numFmt w:val="decimal"/>
      <w:lvlText w:val="Annex %1"/>
      <w:lvlJc w:val="left"/>
      <w:pPr>
        <w:ind w:left="1701" w:hanging="1701"/>
      </w:pPr>
      <w:rPr>
        <w:rFonts w:ascii="Arial" w:eastAsia="Arial" w:hAnsi="Arial" w:cs="Arial"/>
        <w:b/>
        <w:bCs/>
        <w:sz w:val="28"/>
        <w:szCs w:val="2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26A550EB"/>
    <w:multiLevelType w:val="multilevel"/>
    <w:tmpl w:val="002864B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26BA6516"/>
    <w:multiLevelType w:val="multilevel"/>
    <w:tmpl w:val="75EC386E"/>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37" w15:restartNumberingAfterBreak="0">
    <w:nsid w:val="28D24538"/>
    <w:multiLevelType w:val="multilevel"/>
    <w:tmpl w:val="4EDA61F0"/>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38" w15:restartNumberingAfterBreak="0">
    <w:nsid w:val="29363F08"/>
    <w:multiLevelType w:val="multilevel"/>
    <w:tmpl w:val="A17A747C"/>
    <w:lvl w:ilvl="0">
      <w:start w:val="1"/>
      <w:numFmt w:val="lowerLetter"/>
      <w:lvlText w:val="(%1)"/>
      <w:lvlJc w:val="left"/>
      <w:pPr>
        <w:ind w:left="551" w:hanging="331"/>
      </w:pPr>
      <w:rPr>
        <w:rFonts w:ascii="Arial" w:eastAsia="Arial" w:hAnsi="Arial" w:cs="Arial"/>
        <w:b w:val="0"/>
        <w:bCs w:val="0"/>
        <w:sz w:val="22"/>
        <w:szCs w:val="22"/>
      </w:rPr>
    </w:lvl>
    <w:lvl w:ilvl="1">
      <w:numFmt w:val="bullet"/>
      <w:lvlText w:val="•"/>
      <w:lvlJc w:val="left"/>
      <w:pPr>
        <w:ind w:left="1450" w:hanging="331"/>
      </w:pPr>
    </w:lvl>
    <w:lvl w:ilvl="2">
      <w:numFmt w:val="bullet"/>
      <w:lvlText w:val="•"/>
      <w:lvlJc w:val="left"/>
      <w:pPr>
        <w:ind w:left="2341" w:hanging="331"/>
      </w:pPr>
    </w:lvl>
    <w:lvl w:ilvl="3">
      <w:numFmt w:val="bullet"/>
      <w:lvlText w:val="•"/>
      <w:lvlJc w:val="left"/>
      <w:pPr>
        <w:ind w:left="3231" w:hanging="331"/>
      </w:pPr>
    </w:lvl>
    <w:lvl w:ilvl="4">
      <w:numFmt w:val="bullet"/>
      <w:lvlText w:val="•"/>
      <w:lvlJc w:val="left"/>
      <w:pPr>
        <w:ind w:left="4122" w:hanging="331"/>
      </w:pPr>
    </w:lvl>
    <w:lvl w:ilvl="5">
      <w:numFmt w:val="bullet"/>
      <w:lvlText w:val="•"/>
      <w:lvlJc w:val="left"/>
      <w:pPr>
        <w:ind w:left="5013" w:hanging="331"/>
      </w:pPr>
    </w:lvl>
    <w:lvl w:ilvl="6">
      <w:numFmt w:val="bullet"/>
      <w:lvlText w:val="•"/>
      <w:lvlJc w:val="left"/>
      <w:pPr>
        <w:ind w:left="5903" w:hanging="331"/>
      </w:pPr>
    </w:lvl>
    <w:lvl w:ilvl="7">
      <w:numFmt w:val="bullet"/>
      <w:lvlText w:val="•"/>
      <w:lvlJc w:val="left"/>
      <w:pPr>
        <w:ind w:left="6794" w:hanging="331"/>
      </w:pPr>
    </w:lvl>
    <w:lvl w:ilvl="8">
      <w:numFmt w:val="bullet"/>
      <w:lvlText w:val="•"/>
      <w:lvlJc w:val="left"/>
      <w:pPr>
        <w:ind w:left="7685" w:hanging="331"/>
      </w:pPr>
    </w:lvl>
  </w:abstractNum>
  <w:abstractNum w:abstractNumId="39" w15:restartNumberingAfterBreak="0">
    <w:nsid w:val="296C48FC"/>
    <w:multiLevelType w:val="multilevel"/>
    <w:tmpl w:val="48EC0E0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40" w15:restartNumberingAfterBreak="0">
    <w:nsid w:val="29CF203E"/>
    <w:multiLevelType w:val="multilevel"/>
    <w:tmpl w:val="4DD8D91E"/>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41" w15:restartNumberingAfterBreak="0">
    <w:nsid w:val="2A6F310B"/>
    <w:multiLevelType w:val="multilevel"/>
    <w:tmpl w:val="3F6681D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2A857A83"/>
    <w:multiLevelType w:val="multilevel"/>
    <w:tmpl w:val="8F1CA91E"/>
    <w:lvl w:ilvl="0">
      <w:start w:val="1"/>
      <w:numFmt w:val="lowerLetter"/>
      <w:lvlText w:val="(%1)"/>
      <w:lvlJc w:val="left"/>
      <w:pPr>
        <w:ind w:left="552" w:hanging="331"/>
      </w:pPr>
      <w:rPr>
        <w:rFonts w:ascii="Arial" w:eastAsia="Arial" w:hAnsi="Arial" w:cs="Arial"/>
        <w:b w:val="0"/>
        <w:bCs w:val="0"/>
        <w:sz w:val="22"/>
        <w:szCs w:val="22"/>
      </w:rPr>
    </w:lvl>
    <w:lvl w:ilvl="1">
      <w:numFmt w:val="bullet"/>
      <w:lvlText w:val="•"/>
      <w:lvlJc w:val="left"/>
      <w:pPr>
        <w:ind w:left="1451" w:hanging="331"/>
      </w:pPr>
    </w:lvl>
    <w:lvl w:ilvl="2">
      <w:numFmt w:val="bullet"/>
      <w:lvlText w:val="•"/>
      <w:lvlJc w:val="left"/>
      <w:pPr>
        <w:ind w:left="2342" w:hanging="331"/>
      </w:pPr>
    </w:lvl>
    <w:lvl w:ilvl="3">
      <w:numFmt w:val="bullet"/>
      <w:lvlText w:val="•"/>
      <w:lvlJc w:val="left"/>
      <w:pPr>
        <w:ind w:left="3232" w:hanging="331"/>
      </w:pPr>
    </w:lvl>
    <w:lvl w:ilvl="4">
      <w:numFmt w:val="bullet"/>
      <w:lvlText w:val="•"/>
      <w:lvlJc w:val="left"/>
      <w:pPr>
        <w:ind w:left="4123" w:hanging="331"/>
      </w:pPr>
    </w:lvl>
    <w:lvl w:ilvl="5">
      <w:numFmt w:val="bullet"/>
      <w:lvlText w:val="•"/>
      <w:lvlJc w:val="left"/>
      <w:pPr>
        <w:ind w:left="5014" w:hanging="331"/>
      </w:pPr>
    </w:lvl>
    <w:lvl w:ilvl="6">
      <w:numFmt w:val="bullet"/>
      <w:lvlText w:val="•"/>
      <w:lvlJc w:val="left"/>
      <w:pPr>
        <w:ind w:left="5904" w:hanging="331"/>
      </w:pPr>
    </w:lvl>
    <w:lvl w:ilvl="7">
      <w:numFmt w:val="bullet"/>
      <w:lvlText w:val="•"/>
      <w:lvlJc w:val="left"/>
      <w:pPr>
        <w:ind w:left="6795" w:hanging="331"/>
      </w:pPr>
    </w:lvl>
    <w:lvl w:ilvl="8">
      <w:numFmt w:val="bullet"/>
      <w:lvlText w:val="•"/>
      <w:lvlJc w:val="left"/>
      <w:pPr>
        <w:ind w:left="7686" w:hanging="331"/>
      </w:pPr>
    </w:lvl>
  </w:abstractNum>
  <w:abstractNum w:abstractNumId="43" w15:restartNumberingAfterBreak="0">
    <w:nsid w:val="2B1A32B3"/>
    <w:multiLevelType w:val="multilevel"/>
    <w:tmpl w:val="577A7830"/>
    <w:lvl w:ilvl="0">
      <w:numFmt w:val="bullet"/>
      <w:lvlText w:val="●"/>
      <w:lvlJc w:val="left"/>
      <w:pPr>
        <w:ind w:left="940" w:hanging="720"/>
      </w:pPr>
      <w:rPr>
        <w:rFonts w:ascii="Noto Sans Symbols" w:eastAsia="Noto Sans Symbols" w:hAnsi="Noto Sans Symbols" w:cs="Noto Sans Symbols"/>
        <w:b w:val="0"/>
        <w:bCs w:val="0"/>
        <w:sz w:val="22"/>
        <w:szCs w:val="22"/>
      </w:rPr>
    </w:lvl>
    <w:lvl w:ilvl="1">
      <w:numFmt w:val="bullet"/>
      <w:lvlText w:val="●"/>
      <w:lvlJc w:val="left"/>
      <w:pPr>
        <w:ind w:left="1660" w:hanging="720"/>
      </w:pPr>
      <w:rPr>
        <w:rFonts w:ascii="Noto Sans Symbols" w:eastAsia="Noto Sans Symbols" w:hAnsi="Noto Sans Symbols" w:cs="Noto Sans Symbols"/>
        <w:b w:val="0"/>
        <w:bCs w:val="0"/>
        <w:sz w:val="22"/>
        <w:szCs w:val="22"/>
      </w:rPr>
    </w:lvl>
    <w:lvl w:ilvl="2">
      <w:numFmt w:val="bullet"/>
      <w:lvlText w:val="•"/>
      <w:lvlJc w:val="left"/>
      <w:pPr>
        <w:ind w:left="2527" w:hanging="720"/>
      </w:pPr>
    </w:lvl>
    <w:lvl w:ilvl="3">
      <w:numFmt w:val="bullet"/>
      <w:lvlText w:val="•"/>
      <w:lvlJc w:val="left"/>
      <w:pPr>
        <w:ind w:left="3394" w:hanging="720"/>
      </w:pPr>
    </w:lvl>
    <w:lvl w:ilvl="4">
      <w:numFmt w:val="bullet"/>
      <w:lvlText w:val="•"/>
      <w:lvlJc w:val="left"/>
      <w:pPr>
        <w:ind w:left="4262" w:hanging="720"/>
      </w:pPr>
    </w:lvl>
    <w:lvl w:ilvl="5">
      <w:numFmt w:val="bullet"/>
      <w:lvlText w:val="•"/>
      <w:lvlJc w:val="left"/>
      <w:pPr>
        <w:ind w:left="5129" w:hanging="720"/>
      </w:pPr>
    </w:lvl>
    <w:lvl w:ilvl="6">
      <w:numFmt w:val="bullet"/>
      <w:lvlText w:val="•"/>
      <w:lvlJc w:val="left"/>
      <w:pPr>
        <w:ind w:left="5996" w:hanging="720"/>
      </w:pPr>
    </w:lvl>
    <w:lvl w:ilvl="7">
      <w:numFmt w:val="bullet"/>
      <w:lvlText w:val="•"/>
      <w:lvlJc w:val="left"/>
      <w:pPr>
        <w:ind w:left="6864" w:hanging="720"/>
      </w:pPr>
    </w:lvl>
    <w:lvl w:ilvl="8">
      <w:numFmt w:val="bullet"/>
      <w:lvlText w:val="•"/>
      <w:lvlJc w:val="left"/>
      <w:pPr>
        <w:ind w:left="7731" w:hanging="720"/>
      </w:pPr>
    </w:lvl>
  </w:abstractNum>
  <w:abstractNum w:abstractNumId="44" w15:restartNumberingAfterBreak="0">
    <w:nsid w:val="2BD139E1"/>
    <w:multiLevelType w:val="multilevel"/>
    <w:tmpl w:val="538CA79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5" w15:restartNumberingAfterBreak="0">
    <w:nsid w:val="2CAB5765"/>
    <w:multiLevelType w:val="multilevel"/>
    <w:tmpl w:val="2902764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6" w15:restartNumberingAfterBreak="0">
    <w:nsid w:val="2D177891"/>
    <w:multiLevelType w:val="multilevel"/>
    <w:tmpl w:val="5944F5C0"/>
    <w:lvl w:ilvl="0">
      <w:start w:val="1"/>
      <w:numFmt w:val="decimal"/>
      <w:lvlText w:val="%1."/>
      <w:lvlJc w:val="left"/>
      <w:pPr>
        <w:ind w:left="940" w:hanging="720"/>
      </w:pPr>
      <w:rPr>
        <w:rFonts w:ascii="Arial" w:eastAsia="Arial" w:hAnsi="Arial" w:cs="Arial"/>
        <w:b w:val="0"/>
        <w:bCs w:val="0"/>
        <w:sz w:val="22"/>
        <w:szCs w:val="22"/>
      </w:rPr>
    </w:lvl>
    <w:lvl w:ilvl="1">
      <w:start w:val="1"/>
      <w:numFmt w:val="decimal"/>
      <w:lvlText w:val="%1.%2"/>
      <w:lvlJc w:val="left"/>
      <w:pPr>
        <w:ind w:left="940" w:hanging="720"/>
      </w:pPr>
      <w:rPr>
        <w:rFonts w:ascii="Arial" w:eastAsia="Arial" w:hAnsi="Arial" w:cs="Arial"/>
        <w:b w:val="0"/>
        <w:bCs w:val="0"/>
        <w:sz w:val="22"/>
        <w:szCs w:val="22"/>
      </w:rPr>
    </w:lvl>
    <w:lvl w:ilvl="2">
      <w:start w:val="1"/>
      <w:numFmt w:val="lowerLetter"/>
      <w:lvlText w:val="(%3)"/>
      <w:lvlJc w:val="left"/>
      <w:pPr>
        <w:ind w:left="3708" w:hanging="360"/>
      </w:pPr>
      <w:rPr>
        <w:rFonts w:ascii="Arial" w:eastAsia="Arial" w:hAnsi="Arial" w:cs="Arial"/>
        <w:b w:val="0"/>
        <w:bCs w:val="0"/>
        <w:sz w:val="22"/>
        <w:szCs w:val="22"/>
      </w:rPr>
    </w:lvl>
    <w:lvl w:ilvl="3">
      <w:numFmt w:val="bullet"/>
      <w:lvlText w:val="•"/>
      <w:lvlJc w:val="left"/>
      <w:pPr>
        <w:ind w:left="4981" w:hanging="360"/>
      </w:pPr>
    </w:lvl>
    <w:lvl w:ilvl="4">
      <w:numFmt w:val="bullet"/>
      <w:lvlText w:val="•"/>
      <w:lvlJc w:val="left"/>
      <w:pPr>
        <w:ind w:left="5622" w:hanging="360"/>
      </w:pPr>
    </w:lvl>
    <w:lvl w:ilvl="5">
      <w:numFmt w:val="bullet"/>
      <w:lvlText w:val="•"/>
      <w:lvlJc w:val="left"/>
      <w:pPr>
        <w:ind w:left="6262" w:hanging="360"/>
      </w:pPr>
    </w:lvl>
    <w:lvl w:ilvl="6">
      <w:numFmt w:val="bullet"/>
      <w:lvlText w:val="•"/>
      <w:lvlJc w:val="left"/>
      <w:pPr>
        <w:ind w:left="6903" w:hanging="360"/>
      </w:pPr>
    </w:lvl>
    <w:lvl w:ilvl="7">
      <w:numFmt w:val="bullet"/>
      <w:lvlText w:val="•"/>
      <w:lvlJc w:val="left"/>
      <w:pPr>
        <w:ind w:left="7544" w:hanging="360"/>
      </w:pPr>
    </w:lvl>
    <w:lvl w:ilvl="8">
      <w:numFmt w:val="bullet"/>
      <w:lvlText w:val="•"/>
      <w:lvlJc w:val="left"/>
      <w:pPr>
        <w:ind w:left="8184" w:hanging="360"/>
      </w:pPr>
    </w:lvl>
  </w:abstractNum>
  <w:abstractNum w:abstractNumId="47" w15:restartNumberingAfterBreak="0">
    <w:nsid w:val="2D456616"/>
    <w:multiLevelType w:val="multilevel"/>
    <w:tmpl w:val="6A76B9B0"/>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2E8D1C8D"/>
    <w:multiLevelType w:val="multilevel"/>
    <w:tmpl w:val="227E8A96"/>
    <w:lvl w:ilvl="0">
      <w:start w:val="1"/>
      <w:numFmt w:val="lowerLetter"/>
      <w:lvlText w:val="(%1)"/>
      <w:lvlJc w:val="left"/>
      <w:pPr>
        <w:ind w:left="551" w:hanging="331"/>
      </w:pPr>
      <w:rPr>
        <w:rFonts w:ascii="Arial" w:eastAsia="Arial" w:hAnsi="Arial" w:cs="Arial"/>
        <w:b w:val="0"/>
        <w:bCs w:val="0"/>
        <w:sz w:val="22"/>
        <w:szCs w:val="22"/>
      </w:rPr>
    </w:lvl>
    <w:lvl w:ilvl="1">
      <w:numFmt w:val="bullet"/>
      <w:lvlText w:val="•"/>
      <w:lvlJc w:val="left"/>
      <w:pPr>
        <w:ind w:left="1450" w:hanging="331"/>
      </w:pPr>
    </w:lvl>
    <w:lvl w:ilvl="2">
      <w:numFmt w:val="bullet"/>
      <w:lvlText w:val="•"/>
      <w:lvlJc w:val="left"/>
      <w:pPr>
        <w:ind w:left="2341" w:hanging="331"/>
      </w:pPr>
    </w:lvl>
    <w:lvl w:ilvl="3">
      <w:numFmt w:val="bullet"/>
      <w:lvlText w:val="•"/>
      <w:lvlJc w:val="left"/>
      <w:pPr>
        <w:ind w:left="3231" w:hanging="331"/>
      </w:pPr>
    </w:lvl>
    <w:lvl w:ilvl="4">
      <w:numFmt w:val="bullet"/>
      <w:lvlText w:val="•"/>
      <w:lvlJc w:val="left"/>
      <w:pPr>
        <w:ind w:left="4122" w:hanging="331"/>
      </w:pPr>
    </w:lvl>
    <w:lvl w:ilvl="5">
      <w:numFmt w:val="bullet"/>
      <w:lvlText w:val="•"/>
      <w:lvlJc w:val="left"/>
      <w:pPr>
        <w:ind w:left="5013" w:hanging="331"/>
      </w:pPr>
    </w:lvl>
    <w:lvl w:ilvl="6">
      <w:numFmt w:val="bullet"/>
      <w:lvlText w:val="•"/>
      <w:lvlJc w:val="left"/>
      <w:pPr>
        <w:ind w:left="5903" w:hanging="331"/>
      </w:pPr>
    </w:lvl>
    <w:lvl w:ilvl="7">
      <w:numFmt w:val="bullet"/>
      <w:lvlText w:val="•"/>
      <w:lvlJc w:val="left"/>
      <w:pPr>
        <w:ind w:left="6794" w:hanging="331"/>
      </w:pPr>
    </w:lvl>
    <w:lvl w:ilvl="8">
      <w:numFmt w:val="bullet"/>
      <w:lvlText w:val="•"/>
      <w:lvlJc w:val="left"/>
      <w:pPr>
        <w:ind w:left="7685" w:hanging="331"/>
      </w:pPr>
    </w:lvl>
  </w:abstractNum>
  <w:abstractNum w:abstractNumId="49" w15:restartNumberingAfterBreak="0">
    <w:nsid w:val="2ECE4BCC"/>
    <w:multiLevelType w:val="multilevel"/>
    <w:tmpl w:val="2CF0572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0" w15:restartNumberingAfterBreak="0">
    <w:nsid w:val="2F104582"/>
    <w:multiLevelType w:val="multilevel"/>
    <w:tmpl w:val="783AAF30"/>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1" w15:restartNumberingAfterBreak="0">
    <w:nsid w:val="2F812362"/>
    <w:multiLevelType w:val="multilevel"/>
    <w:tmpl w:val="3E32659C"/>
    <w:lvl w:ilvl="0">
      <w:start w:val="11"/>
      <w:numFmt w:val="decimal"/>
      <w:lvlText w:val="%1"/>
      <w:lvlJc w:val="left"/>
      <w:pPr>
        <w:ind w:left="710" w:hanging="490"/>
      </w:pPr>
    </w:lvl>
    <w:lvl w:ilvl="1">
      <w:start w:val="3"/>
      <w:numFmt w:val="decimal"/>
      <w:lvlText w:val="%1.%2"/>
      <w:lvlJc w:val="left"/>
      <w:pPr>
        <w:ind w:left="710" w:hanging="490"/>
      </w:pPr>
      <w:rPr>
        <w:rFonts w:ascii="Arial" w:eastAsia="Arial" w:hAnsi="Arial" w:cs="Arial"/>
        <w:b w:val="0"/>
        <w:bCs w:val="0"/>
        <w:sz w:val="22"/>
        <w:szCs w:val="22"/>
      </w:rPr>
    </w:lvl>
    <w:lvl w:ilvl="2">
      <w:numFmt w:val="bullet"/>
      <w:lvlText w:val="●"/>
      <w:lvlJc w:val="left"/>
      <w:pPr>
        <w:ind w:left="940" w:hanging="360"/>
      </w:pPr>
      <w:rPr>
        <w:rFonts w:ascii="Noto Sans Symbols" w:eastAsia="Noto Sans Symbols" w:hAnsi="Noto Sans Symbols" w:cs="Noto Sans Symbols"/>
        <w:b w:val="0"/>
        <w:bCs w:val="0"/>
        <w:sz w:val="22"/>
        <w:szCs w:val="22"/>
      </w:rPr>
    </w:lvl>
    <w:lvl w:ilvl="3">
      <w:numFmt w:val="bullet"/>
      <w:lvlText w:val="•"/>
      <w:lvlJc w:val="left"/>
      <w:pPr>
        <w:ind w:left="2834" w:hanging="360"/>
      </w:pPr>
    </w:lvl>
    <w:lvl w:ilvl="4">
      <w:numFmt w:val="bullet"/>
      <w:lvlText w:val="•"/>
      <w:lvlJc w:val="left"/>
      <w:pPr>
        <w:ind w:left="3782" w:hanging="360"/>
      </w:pPr>
    </w:lvl>
    <w:lvl w:ilvl="5">
      <w:numFmt w:val="bullet"/>
      <w:lvlText w:val="•"/>
      <w:lvlJc w:val="left"/>
      <w:pPr>
        <w:ind w:left="4729" w:hanging="360"/>
      </w:pPr>
    </w:lvl>
    <w:lvl w:ilvl="6">
      <w:numFmt w:val="bullet"/>
      <w:lvlText w:val="•"/>
      <w:lvlJc w:val="left"/>
      <w:pPr>
        <w:ind w:left="5676" w:hanging="360"/>
      </w:pPr>
    </w:lvl>
    <w:lvl w:ilvl="7">
      <w:numFmt w:val="bullet"/>
      <w:lvlText w:val="•"/>
      <w:lvlJc w:val="left"/>
      <w:pPr>
        <w:ind w:left="6624" w:hanging="360"/>
      </w:pPr>
    </w:lvl>
    <w:lvl w:ilvl="8">
      <w:numFmt w:val="bullet"/>
      <w:lvlText w:val="•"/>
      <w:lvlJc w:val="left"/>
      <w:pPr>
        <w:ind w:left="7571" w:hanging="360"/>
      </w:pPr>
    </w:lvl>
  </w:abstractNum>
  <w:abstractNum w:abstractNumId="52" w15:restartNumberingAfterBreak="0">
    <w:nsid w:val="2FE53016"/>
    <w:multiLevelType w:val="multilevel"/>
    <w:tmpl w:val="D0E8DF7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3" w15:restartNumberingAfterBreak="0">
    <w:nsid w:val="30C11C7A"/>
    <w:multiLevelType w:val="multilevel"/>
    <w:tmpl w:val="746A6AE4"/>
    <w:lvl w:ilvl="0">
      <w:numFmt w:val="bullet"/>
      <w:lvlText w:val="●"/>
      <w:lvlJc w:val="left"/>
      <w:pPr>
        <w:ind w:left="621" w:hanging="360"/>
      </w:pPr>
      <w:rPr>
        <w:rFonts w:ascii="Noto Sans Symbols" w:eastAsia="Noto Sans Symbols" w:hAnsi="Noto Sans Symbols" w:cs="Noto Sans Symbols"/>
        <w:b w:val="0"/>
        <w:bCs w:val="0"/>
        <w:sz w:val="22"/>
        <w:szCs w:val="22"/>
      </w:rPr>
    </w:lvl>
    <w:lvl w:ilvl="1">
      <w:numFmt w:val="bullet"/>
      <w:lvlText w:val="●"/>
      <w:lvlJc w:val="left"/>
      <w:pPr>
        <w:ind w:left="1046" w:hanging="360"/>
      </w:pPr>
      <w:rPr>
        <w:rFonts w:ascii="Noto Sans Symbols" w:eastAsia="Noto Sans Symbols" w:hAnsi="Noto Sans Symbols" w:cs="Noto Sans Symbols"/>
        <w:b w:val="0"/>
        <w:bCs w:val="0"/>
        <w:sz w:val="22"/>
        <w:szCs w:val="22"/>
      </w:rPr>
    </w:lvl>
    <w:lvl w:ilvl="2">
      <w:numFmt w:val="bullet"/>
      <w:lvlText w:val="•"/>
      <w:lvlJc w:val="left"/>
      <w:pPr>
        <w:ind w:left="1976" w:hanging="360"/>
      </w:pPr>
    </w:lvl>
    <w:lvl w:ilvl="3">
      <w:numFmt w:val="bullet"/>
      <w:lvlText w:val="•"/>
      <w:lvlJc w:val="left"/>
      <w:pPr>
        <w:ind w:left="2912" w:hanging="360"/>
      </w:pPr>
    </w:lvl>
    <w:lvl w:ilvl="4">
      <w:numFmt w:val="bullet"/>
      <w:lvlText w:val="•"/>
      <w:lvlJc w:val="left"/>
      <w:pPr>
        <w:ind w:left="3848" w:hanging="360"/>
      </w:pPr>
    </w:lvl>
    <w:lvl w:ilvl="5">
      <w:numFmt w:val="bullet"/>
      <w:lvlText w:val="•"/>
      <w:lvlJc w:val="left"/>
      <w:pPr>
        <w:ind w:left="4785" w:hanging="360"/>
      </w:pPr>
    </w:lvl>
    <w:lvl w:ilvl="6">
      <w:numFmt w:val="bullet"/>
      <w:lvlText w:val="•"/>
      <w:lvlJc w:val="left"/>
      <w:pPr>
        <w:ind w:left="5721" w:hanging="360"/>
      </w:pPr>
    </w:lvl>
    <w:lvl w:ilvl="7">
      <w:numFmt w:val="bullet"/>
      <w:lvlText w:val="•"/>
      <w:lvlJc w:val="left"/>
      <w:pPr>
        <w:ind w:left="6657" w:hanging="360"/>
      </w:pPr>
    </w:lvl>
    <w:lvl w:ilvl="8">
      <w:numFmt w:val="bullet"/>
      <w:lvlText w:val="•"/>
      <w:lvlJc w:val="left"/>
      <w:pPr>
        <w:ind w:left="7593" w:hanging="360"/>
      </w:pPr>
    </w:lvl>
  </w:abstractNum>
  <w:abstractNum w:abstractNumId="54" w15:restartNumberingAfterBreak="0">
    <w:nsid w:val="31FD7E52"/>
    <w:multiLevelType w:val="multilevel"/>
    <w:tmpl w:val="DEEEE64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5" w15:restartNumberingAfterBreak="0">
    <w:nsid w:val="32AF2EF7"/>
    <w:multiLevelType w:val="multilevel"/>
    <w:tmpl w:val="DA4424D2"/>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56" w15:restartNumberingAfterBreak="0">
    <w:nsid w:val="32C9095D"/>
    <w:multiLevelType w:val="multilevel"/>
    <w:tmpl w:val="DCFEB16A"/>
    <w:lvl w:ilvl="0">
      <w:start w:val="1"/>
      <w:numFmt w:val="decimal"/>
      <w:lvlText w:val="%1"/>
      <w:lvlJc w:val="left"/>
      <w:pPr>
        <w:ind w:left="2020" w:hanging="1080"/>
      </w:pPr>
    </w:lvl>
    <w:lvl w:ilvl="1">
      <w:start w:val="6"/>
      <w:numFmt w:val="decimal"/>
      <w:lvlText w:val="%1.%2"/>
      <w:lvlJc w:val="left"/>
      <w:pPr>
        <w:ind w:left="2020" w:hanging="1080"/>
      </w:pPr>
    </w:lvl>
    <w:lvl w:ilvl="2">
      <w:start w:val="1"/>
      <w:numFmt w:val="decimal"/>
      <w:lvlText w:val="%1.%2.%3"/>
      <w:lvlJc w:val="left"/>
      <w:pPr>
        <w:ind w:left="2020" w:hanging="1080"/>
      </w:pPr>
      <w:rPr>
        <w:rFonts w:ascii="Arial" w:eastAsia="Arial" w:hAnsi="Arial" w:cs="Arial"/>
        <w:b w:val="0"/>
        <w:bCs w:val="0"/>
        <w:sz w:val="22"/>
        <w:szCs w:val="22"/>
      </w:rPr>
    </w:lvl>
    <w:lvl w:ilvl="3">
      <w:start w:val="1"/>
      <w:numFmt w:val="decimal"/>
      <w:lvlText w:val="%1.%2.%3.%4"/>
      <w:lvlJc w:val="left"/>
      <w:pPr>
        <w:ind w:left="3101" w:hanging="1080"/>
      </w:pPr>
      <w:rPr>
        <w:rFonts w:ascii="Arial" w:eastAsia="Arial" w:hAnsi="Arial" w:cs="Arial"/>
        <w:b w:val="0"/>
        <w:bCs w:val="0"/>
        <w:sz w:val="22"/>
        <w:szCs w:val="22"/>
      </w:rPr>
    </w:lvl>
    <w:lvl w:ilvl="4">
      <w:start w:val="1"/>
      <w:numFmt w:val="lowerLetter"/>
      <w:lvlText w:val="(%5)"/>
      <w:lvlJc w:val="left"/>
      <w:pPr>
        <w:ind w:left="3821" w:hanging="720"/>
      </w:pPr>
      <w:rPr>
        <w:rFonts w:ascii="Arial" w:eastAsia="Arial" w:hAnsi="Arial" w:cs="Arial"/>
        <w:b w:val="0"/>
        <w:bCs w:val="0"/>
        <w:sz w:val="22"/>
        <w:szCs w:val="22"/>
      </w:rPr>
    </w:lvl>
    <w:lvl w:ilvl="5">
      <w:numFmt w:val="bullet"/>
      <w:lvlText w:val="•"/>
      <w:lvlJc w:val="left"/>
      <w:pPr>
        <w:ind w:left="5937" w:hanging="720"/>
      </w:pPr>
    </w:lvl>
    <w:lvl w:ilvl="6">
      <w:numFmt w:val="bullet"/>
      <w:lvlText w:val="•"/>
      <w:lvlJc w:val="left"/>
      <w:pPr>
        <w:ind w:left="6643" w:hanging="720"/>
      </w:pPr>
    </w:lvl>
    <w:lvl w:ilvl="7">
      <w:numFmt w:val="bullet"/>
      <w:lvlText w:val="•"/>
      <w:lvlJc w:val="left"/>
      <w:pPr>
        <w:ind w:left="7349" w:hanging="720"/>
      </w:pPr>
    </w:lvl>
    <w:lvl w:ilvl="8">
      <w:numFmt w:val="bullet"/>
      <w:lvlText w:val="•"/>
      <w:lvlJc w:val="left"/>
      <w:pPr>
        <w:ind w:left="8054" w:hanging="720"/>
      </w:pPr>
    </w:lvl>
  </w:abstractNum>
  <w:abstractNum w:abstractNumId="57" w15:restartNumberingAfterBreak="0">
    <w:nsid w:val="358976DF"/>
    <w:multiLevelType w:val="multilevel"/>
    <w:tmpl w:val="54CEE71A"/>
    <w:lvl w:ilvl="0">
      <w:start w:val="11"/>
      <w:numFmt w:val="decimal"/>
      <w:lvlText w:val="%1"/>
      <w:lvlJc w:val="left"/>
      <w:pPr>
        <w:ind w:left="710" w:hanging="490"/>
      </w:pPr>
    </w:lvl>
    <w:lvl w:ilvl="1">
      <w:start w:val="3"/>
      <w:numFmt w:val="decimal"/>
      <w:lvlText w:val="%1.%2"/>
      <w:lvlJc w:val="left"/>
      <w:pPr>
        <w:ind w:left="710" w:hanging="490"/>
      </w:pPr>
      <w:rPr>
        <w:rFonts w:ascii="Arial" w:eastAsia="Arial" w:hAnsi="Arial" w:cs="Arial"/>
        <w:b w:val="0"/>
        <w:bCs w:val="0"/>
        <w:sz w:val="22"/>
        <w:szCs w:val="22"/>
      </w:rPr>
    </w:lvl>
    <w:lvl w:ilvl="2">
      <w:numFmt w:val="bullet"/>
      <w:lvlText w:val="●"/>
      <w:lvlJc w:val="left"/>
      <w:pPr>
        <w:ind w:left="940" w:hanging="360"/>
      </w:pPr>
      <w:rPr>
        <w:rFonts w:ascii="Noto Sans Symbols" w:eastAsia="Noto Sans Symbols" w:hAnsi="Noto Sans Symbols" w:cs="Noto Sans Symbols"/>
        <w:b w:val="0"/>
        <w:bCs w:val="0"/>
        <w:sz w:val="22"/>
        <w:szCs w:val="22"/>
      </w:rPr>
    </w:lvl>
    <w:lvl w:ilvl="3">
      <w:numFmt w:val="bullet"/>
      <w:lvlText w:val="•"/>
      <w:lvlJc w:val="left"/>
      <w:pPr>
        <w:ind w:left="2834" w:hanging="360"/>
      </w:pPr>
    </w:lvl>
    <w:lvl w:ilvl="4">
      <w:numFmt w:val="bullet"/>
      <w:lvlText w:val="•"/>
      <w:lvlJc w:val="left"/>
      <w:pPr>
        <w:ind w:left="3782" w:hanging="360"/>
      </w:pPr>
    </w:lvl>
    <w:lvl w:ilvl="5">
      <w:numFmt w:val="bullet"/>
      <w:lvlText w:val="•"/>
      <w:lvlJc w:val="left"/>
      <w:pPr>
        <w:ind w:left="4729" w:hanging="360"/>
      </w:pPr>
    </w:lvl>
    <w:lvl w:ilvl="6">
      <w:numFmt w:val="bullet"/>
      <w:lvlText w:val="•"/>
      <w:lvlJc w:val="left"/>
      <w:pPr>
        <w:ind w:left="5676" w:hanging="360"/>
      </w:pPr>
    </w:lvl>
    <w:lvl w:ilvl="7">
      <w:numFmt w:val="bullet"/>
      <w:lvlText w:val="•"/>
      <w:lvlJc w:val="left"/>
      <w:pPr>
        <w:ind w:left="6624" w:hanging="360"/>
      </w:pPr>
    </w:lvl>
    <w:lvl w:ilvl="8">
      <w:numFmt w:val="bullet"/>
      <w:lvlText w:val="•"/>
      <w:lvlJc w:val="left"/>
      <w:pPr>
        <w:ind w:left="7571" w:hanging="360"/>
      </w:pPr>
    </w:lvl>
  </w:abstractNum>
  <w:abstractNum w:abstractNumId="58" w15:restartNumberingAfterBreak="0">
    <w:nsid w:val="35A7142F"/>
    <w:multiLevelType w:val="multilevel"/>
    <w:tmpl w:val="2730D33C"/>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9" w15:restartNumberingAfterBreak="0">
    <w:nsid w:val="35DC727F"/>
    <w:multiLevelType w:val="multilevel"/>
    <w:tmpl w:val="77C2BA06"/>
    <w:lvl w:ilvl="0">
      <w:start w:val="1"/>
      <w:numFmt w:val="decimal"/>
      <w:lvlText w:val="%1"/>
      <w:lvlJc w:val="left"/>
      <w:pPr>
        <w:ind w:left="3101" w:hanging="1080"/>
      </w:pPr>
    </w:lvl>
    <w:lvl w:ilvl="1">
      <w:start w:val="4"/>
      <w:numFmt w:val="decimal"/>
      <w:lvlText w:val="%1.%2"/>
      <w:lvlJc w:val="left"/>
      <w:pPr>
        <w:ind w:left="3101" w:hanging="1080"/>
      </w:pPr>
    </w:lvl>
    <w:lvl w:ilvl="2">
      <w:start w:val="5"/>
      <w:numFmt w:val="decimal"/>
      <w:lvlText w:val="%1.%2.%3"/>
      <w:lvlJc w:val="left"/>
      <w:pPr>
        <w:ind w:left="3101" w:hanging="1080"/>
      </w:p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646" w:hanging="1081"/>
      </w:pPr>
    </w:lvl>
    <w:lvl w:ilvl="5">
      <w:numFmt w:val="bullet"/>
      <w:lvlText w:val="•"/>
      <w:lvlJc w:val="left"/>
      <w:pPr>
        <w:ind w:left="6283" w:hanging="1081"/>
      </w:pPr>
    </w:lvl>
    <w:lvl w:ilvl="6">
      <w:numFmt w:val="bullet"/>
      <w:lvlText w:val="•"/>
      <w:lvlJc w:val="left"/>
      <w:pPr>
        <w:ind w:left="6919" w:hanging="1081"/>
      </w:pPr>
    </w:lvl>
    <w:lvl w:ilvl="7">
      <w:numFmt w:val="bullet"/>
      <w:lvlText w:val="•"/>
      <w:lvlJc w:val="left"/>
      <w:pPr>
        <w:ind w:left="7556" w:hanging="1081"/>
      </w:pPr>
    </w:lvl>
    <w:lvl w:ilvl="8">
      <w:numFmt w:val="bullet"/>
      <w:lvlText w:val="•"/>
      <w:lvlJc w:val="left"/>
      <w:pPr>
        <w:ind w:left="8193" w:hanging="1081"/>
      </w:pPr>
    </w:lvl>
  </w:abstractNum>
  <w:abstractNum w:abstractNumId="60" w15:restartNumberingAfterBreak="0">
    <w:nsid w:val="3803012D"/>
    <w:multiLevelType w:val="multilevel"/>
    <w:tmpl w:val="982A2E3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1" w15:restartNumberingAfterBreak="0">
    <w:nsid w:val="38AA1C05"/>
    <w:multiLevelType w:val="multilevel"/>
    <w:tmpl w:val="2732F52C"/>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62" w15:restartNumberingAfterBreak="0">
    <w:nsid w:val="391920A9"/>
    <w:multiLevelType w:val="multilevel"/>
    <w:tmpl w:val="6E6E156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3" w15:restartNumberingAfterBreak="0">
    <w:nsid w:val="3B05752C"/>
    <w:multiLevelType w:val="multilevel"/>
    <w:tmpl w:val="FA08C6A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15:restartNumberingAfterBreak="0">
    <w:nsid w:val="3B304E25"/>
    <w:multiLevelType w:val="multilevel"/>
    <w:tmpl w:val="50AEA8D2"/>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65" w15:restartNumberingAfterBreak="0">
    <w:nsid w:val="3BA32619"/>
    <w:multiLevelType w:val="multilevel"/>
    <w:tmpl w:val="A0A8CDA8"/>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6" w15:restartNumberingAfterBreak="0">
    <w:nsid w:val="3BBE26D4"/>
    <w:multiLevelType w:val="multilevel"/>
    <w:tmpl w:val="B02C22C0"/>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7" w15:restartNumberingAfterBreak="0">
    <w:nsid w:val="3C5F3D35"/>
    <w:multiLevelType w:val="multilevel"/>
    <w:tmpl w:val="B324245C"/>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68" w15:restartNumberingAfterBreak="0">
    <w:nsid w:val="3C845F29"/>
    <w:multiLevelType w:val="multilevel"/>
    <w:tmpl w:val="FD9CFA78"/>
    <w:lvl w:ilvl="0">
      <w:start w:val="1"/>
      <w:numFmt w:val="decimal"/>
      <w:lvlText w:val="%1."/>
      <w:lvlJc w:val="left"/>
      <w:pPr>
        <w:ind w:left="467" w:hanging="247"/>
      </w:pPr>
      <w:rPr>
        <w:rFonts w:ascii="Arial" w:eastAsia="Arial" w:hAnsi="Arial" w:cs="Arial"/>
        <w:b/>
        <w:bCs/>
        <w:sz w:val="22"/>
        <w:szCs w:val="22"/>
      </w:rPr>
    </w:lvl>
    <w:lvl w:ilvl="1">
      <w:start w:val="1"/>
      <w:numFmt w:val="decimal"/>
      <w:lvlText w:val="%1.%2"/>
      <w:lvlJc w:val="left"/>
      <w:pPr>
        <w:ind w:left="220" w:hanging="368"/>
      </w:pPr>
      <w:rPr>
        <w:rFonts w:ascii="Arial" w:eastAsia="Arial" w:hAnsi="Arial" w:cs="Arial"/>
        <w:b w:val="0"/>
        <w:bCs w:val="0"/>
        <w:sz w:val="22"/>
        <w:szCs w:val="22"/>
      </w:rPr>
    </w:lvl>
    <w:lvl w:ilvl="2">
      <w:numFmt w:val="bullet"/>
      <w:lvlText w:val="•"/>
      <w:lvlJc w:val="left"/>
      <w:pPr>
        <w:ind w:left="1460" w:hanging="368"/>
      </w:pPr>
    </w:lvl>
    <w:lvl w:ilvl="3">
      <w:numFmt w:val="bullet"/>
      <w:lvlText w:val="•"/>
      <w:lvlJc w:val="left"/>
      <w:pPr>
        <w:ind w:left="2461" w:hanging="368"/>
      </w:pPr>
    </w:lvl>
    <w:lvl w:ilvl="4">
      <w:numFmt w:val="bullet"/>
      <w:lvlText w:val="•"/>
      <w:lvlJc w:val="left"/>
      <w:pPr>
        <w:ind w:left="3462" w:hanging="368"/>
      </w:pPr>
    </w:lvl>
    <w:lvl w:ilvl="5">
      <w:numFmt w:val="bullet"/>
      <w:lvlText w:val="•"/>
      <w:lvlJc w:val="left"/>
      <w:pPr>
        <w:ind w:left="4462" w:hanging="368"/>
      </w:pPr>
    </w:lvl>
    <w:lvl w:ilvl="6">
      <w:numFmt w:val="bullet"/>
      <w:lvlText w:val="•"/>
      <w:lvlJc w:val="left"/>
      <w:pPr>
        <w:ind w:left="5463" w:hanging="368"/>
      </w:pPr>
    </w:lvl>
    <w:lvl w:ilvl="7">
      <w:numFmt w:val="bullet"/>
      <w:lvlText w:val="•"/>
      <w:lvlJc w:val="left"/>
      <w:pPr>
        <w:ind w:left="6464" w:hanging="368"/>
      </w:pPr>
    </w:lvl>
    <w:lvl w:ilvl="8">
      <w:numFmt w:val="bullet"/>
      <w:lvlText w:val="•"/>
      <w:lvlJc w:val="left"/>
      <w:pPr>
        <w:ind w:left="7464" w:hanging="368"/>
      </w:pPr>
    </w:lvl>
  </w:abstractNum>
  <w:abstractNum w:abstractNumId="69" w15:restartNumberingAfterBreak="0">
    <w:nsid w:val="3EBE428E"/>
    <w:multiLevelType w:val="multilevel"/>
    <w:tmpl w:val="0420977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0" w15:restartNumberingAfterBreak="0">
    <w:nsid w:val="3EDD6BBE"/>
    <w:multiLevelType w:val="multilevel"/>
    <w:tmpl w:val="4DB0DF1E"/>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71" w15:restartNumberingAfterBreak="0">
    <w:nsid w:val="40721813"/>
    <w:multiLevelType w:val="multilevel"/>
    <w:tmpl w:val="6D08655C"/>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2" w15:restartNumberingAfterBreak="0">
    <w:nsid w:val="40AA6A4B"/>
    <w:multiLevelType w:val="multilevel"/>
    <w:tmpl w:val="FFF26EFC"/>
    <w:lvl w:ilvl="0">
      <w:start w:val="1"/>
      <w:numFmt w:val="decimal"/>
      <w:lvlText w:val="%1"/>
      <w:lvlJc w:val="left"/>
      <w:pPr>
        <w:ind w:left="2020" w:hanging="1080"/>
      </w:pPr>
    </w:lvl>
    <w:lvl w:ilvl="1">
      <w:start w:val="4"/>
      <w:numFmt w:val="decimal"/>
      <w:lvlText w:val="%1.%2"/>
      <w:lvlJc w:val="left"/>
      <w:pPr>
        <w:ind w:left="2020" w:hanging="1080"/>
      </w:pPr>
    </w:lvl>
    <w:lvl w:ilvl="2">
      <w:start w:val="1"/>
      <w:numFmt w:val="decimal"/>
      <w:lvlText w:val="%1.%2.%3"/>
      <w:lvlJc w:val="left"/>
      <w:pPr>
        <w:ind w:left="2020" w:hanging="1080"/>
      </w:pPr>
      <w:rPr>
        <w:rFonts w:ascii="Arial" w:eastAsia="Arial" w:hAnsi="Arial" w:cs="Arial"/>
        <w:b w:val="0"/>
        <w:bCs w:val="0"/>
        <w:sz w:val="22"/>
        <w:szCs w:val="22"/>
      </w:rPr>
    </w:lvl>
    <w:lvl w:ilvl="3">
      <w:start w:val="1"/>
      <w:numFmt w:val="lowerRoman"/>
      <w:lvlText w:val="(%4)"/>
      <w:lvlJc w:val="left"/>
      <w:pPr>
        <w:ind w:left="3101" w:hanging="1080"/>
      </w:pPr>
      <w:rPr>
        <w:rFonts w:ascii="Arial" w:eastAsia="Arial" w:hAnsi="Arial" w:cs="Arial"/>
        <w:b w:val="0"/>
        <w:bCs w:val="0"/>
        <w:sz w:val="22"/>
        <w:szCs w:val="22"/>
      </w:rPr>
    </w:lvl>
    <w:lvl w:ilvl="4">
      <w:numFmt w:val="bullet"/>
      <w:lvlText w:val="•"/>
      <w:lvlJc w:val="left"/>
      <w:pPr>
        <w:ind w:left="5222" w:hanging="1081"/>
      </w:pPr>
    </w:lvl>
    <w:lvl w:ilvl="5">
      <w:numFmt w:val="bullet"/>
      <w:lvlText w:val="•"/>
      <w:lvlJc w:val="left"/>
      <w:pPr>
        <w:ind w:left="5929" w:hanging="1081"/>
      </w:pPr>
    </w:lvl>
    <w:lvl w:ilvl="6">
      <w:numFmt w:val="bullet"/>
      <w:lvlText w:val="•"/>
      <w:lvlJc w:val="left"/>
      <w:pPr>
        <w:ind w:left="6636" w:hanging="1081"/>
      </w:pPr>
    </w:lvl>
    <w:lvl w:ilvl="7">
      <w:numFmt w:val="bullet"/>
      <w:lvlText w:val="•"/>
      <w:lvlJc w:val="left"/>
      <w:pPr>
        <w:ind w:left="7344" w:hanging="1081"/>
      </w:pPr>
    </w:lvl>
    <w:lvl w:ilvl="8">
      <w:numFmt w:val="bullet"/>
      <w:lvlText w:val="•"/>
      <w:lvlJc w:val="left"/>
      <w:pPr>
        <w:ind w:left="8051" w:hanging="1081"/>
      </w:pPr>
    </w:lvl>
  </w:abstractNum>
  <w:abstractNum w:abstractNumId="73" w15:restartNumberingAfterBreak="0">
    <w:nsid w:val="40FD7ACF"/>
    <w:multiLevelType w:val="multilevel"/>
    <w:tmpl w:val="4F583E94"/>
    <w:lvl w:ilvl="0">
      <w:start w:val="1"/>
      <w:numFmt w:val="lowerLetter"/>
      <w:lvlText w:val="(%1)"/>
      <w:lvlJc w:val="left"/>
      <w:pPr>
        <w:ind w:left="1587" w:hanging="793"/>
      </w:pPr>
    </w:lvl>
    <w:lvl w:ilvl="1">
      <w:start w:val="1"/>
      <w:numFmt w:val="lowerRoman"/>
      <w:lvlText w:val="(%2)"/>
      <w:lvlJc w:val="left"/>
      <w:pPr>
        <w:ind w:left="2381" w:hanging="794"/>
      </w:pPr>
    </w:lvl>
    <w:lvl w:ilvl="2">
      <w:start w:val="1"/>
      <w:numFmt w:val="decimal"/>
      <w:lvlText w:val=""/>
      <w:lvlJc w:val="left"/>
      <w:pPr>
        <w:ind w:left="2381" w:hanging="794"/>
      </w:pPr>
    </w:lvl>
    <w:lvl w:ilvl="3">
      <w:start w:val="1"/>
      <w:numFmt w:val="decimal"/>
      <w:lvlText w:val=""/>
      <w:lvlJc w:val="left"/>
      <w:pPr>
        <w:ind w:left="2381" w:hanging="794"/>
      </w:pPr>
    </w:lvl>
    <w:lvl w:ilvl="4">
      <w:start w:val="1"/>
      <w:numFmt w:val="decimal"/>
      <w:lvlText w:val=""/>
      <w:lvlJc w:val="left"/>
      <w:pPr>
        <w:ind w:left="2381" w:hanging="794"/>
      </w:pPr>
    </w:lvl>
    <w:lvl w:ilvl="5">
      <w:start w:val="1"/>
      <w:numFmt w:val="decimal"/>
      <w:lvlText w:val=""/>
      <w:lvlJc w:val="left"/>
      <w:pPr>
        <w:ind w:left="2381" w:hanging="794"/>
      </w:pPr>
    </w:lvl>
    <w:lvl w:ilvl="6">
      <w:start w:val="1"/>
      <w:numFmt w:val="decimal"/>
      <w:lvlText w:val=""/>
      <w:lvlJc w:val="left"/>
      <w:pPr>
        <w:ind w:left="2381" w:hanging="794"/>
      </w:pPr>
    </w:lvl>
    <w:lvl w:ilvl="7">
      <w:start w:val="1"/>
      <w:numFmt w:val="decimal"/>
      <w:lvlText w:val=""/>
      <w:lvlJc w:val="left"/>
      <w:pPr>
        <w:ind w:left="2381" w:hanging="794"/>
      </w:pPr>
    </w:lvl>
    <w:lvl w:ilvl="8">
      <w:start w:val="1"/>
      <w:numFmt w:val="decimal"/>
      <w:lvlText w:val=""/>
      <w:lvlJc w:val="left"/>
      <w:pPr>
        <w:ind w:left="2381" w:hanging="794"/>
      </w:pPr>
    </w:lvl>
  </w:abstractNum>
  <w:abstractNum w:abstractNumId="74" w15:restartNumberingAfterBreak="0">
    <w:nsid w:val="418C51C6"/>
    <w:multiLevelType w:val="multilevel"/>
    <w:tmpl w:val="CE121CC2"/>
    <w:lvl w:ilvl="0">
      <w:start w:val="6"/>
      <w:numFmt w:val="decimal"/>
      <w:lvlText w:val=""/>
      <w:lvlJc w:val="center"/>
      <w:pPr>
        <w:ind w:left="0" w:hanging="57"/>
      </w:pPr>
    </w:lvl>
    <w:lvl w:ilvl="1">
      <w:start w:val="12"/>
      <w:numFmt w:val="decimal"/>
      <w:lvlText w:val="%1%2"/>
      <w:lvlJc w:val="left"/>
      <w:pPr>
        <w:ind w:left="709" w:hanging="709"/>
      </w:pPr>
      <w:rPr>
        <w:b/>
        <w:bCs/>
      </w:rPr>
    </w:lvl>
    <w:lvl w:ilvl="2">
      <w:start w:val="1"/>
      <w:numFmt w:val="decimal"/>
      <w:lvlText w:val="%2.%3"/>
      <w:lvlJc w:val="left"/>
      <w:pPr>
        <w:ind w:left="709" w:hanging="709"/>
      </w:pPr>
      <w:rPr>
        <w:rFonts w:ascii="Calibri" w:eastAsia="Calibri" w:hAnsi="Calibri" w:cs="Calibri"/>
        <w:b w:val="0"/>
        <w:bCs w:val="0"/>
        <w:i w:val="0"/>
        <w:iCs w:val="0"/>
      </w:rPr>
    </w:lvl>
    <w:lvl w:ilvl="3">
      <w:start w:val="1"/>
      <w:numFmt w:val="lowerLetter"/>
      <w:lvlText w:val="(%4)"/>
      <w:lvlJc w:val="left"/>
      <w:pPr>
        <w:ind w:left="1418" w:hanging="709"/>
      </w:pPr>
    </w:lvl>
    <w:lvl w:ilvl="4">
      <w:start w:val="1"/>
      <w:numFmt w:val="lowerLetter"/>
      <w:lvlText w:val="(%5)"/>
      <w:lvlJc w:val="left"/>
      <w:pPr>
        <w:ind w:left="2126" w:hanging="708"/>
      </w:pPr>
      <w:rPr>
        <w:rFonts w:ascii="Trebuchet MS" w:eastAsia="Trebuchet MS" w:hAnsi="Trebuchet MS" w:cs="Trebuchet MS"/>
      </w:rPr>
    </w:lvl>
    <w:lvl w:ilvl="5">
      <w:start w:val="1"/>
      <w:numFmt w:val="bullet"/>
      <w:lvlText w:val="●"/>
      <w:lvlJc w:val="left"/>
      <w:pPr>
        <w:ind w:left="3543" w:hanging="708"/>
      </w:pPr>
      <w:rPr>
        <w:rFonts w:ascii="Noto Sans Symbols" w:eastAsia="Noto Sans Symbols" w:hAnsi="Noto Sans Symbols" w:cs="Noto Sans Symbols"/>
        <w:color w:val="000000"/>
      </w:rPr>
    </w:lvl>
    <w:lvl w:ilvl="6">
      <w:start w:val="1"/>
      <w:numFmt w:val="lowerLetter"/>
      <w:lvlText w:val="%7)"/>
      <w:lvlJc w:val="left"/>
      <w:pPr>
        <w:ind w:left="4252" w:hanging="709"/>
      </w:pPr>
    </w:lvl>
    <w:lvl w:ilvl="7">
      <w:start w:val="1"/>
      <w:numFmt w:val="lowerRoman"/>
      <w:lvlText w:val="%8)"/>
      <w:lvlJc w:val="left"/>
      <w:pPr>
        <w:ind w:left="4961" w:hanging="709"/>
      </w:pPr>
    </w:lvl>
    <w:lvl w:ilvl="8">
      <w:start w:val="1"/>
      <w:numFmt w:val="upperLetter"/>
      <w:lvlText w:val="%9)"/>
      <w:lvlJc w:val="left"/>
      <w:pPr>
        <w:ind w:left="5669" w:hanging="708"/>
      </w:pPr>
    </w:lvl>
  </w:abstractNum>
  <w:abstractNum w:abstractNumId="75" w15:restartNumberingAfterBreak="0">
    <w:nsid w:val="426F59F6"/>
    <w:multiLevelType w:val="multilevel"/>
    <w:tmpl w:val="F1000CE6"/>
    <w:lvl w:ilvl="0">
      <w:start w:val="1"/>
      <w:numFmt w:val="decimal"/>
      <w:lvlText w:val="%1"/>
      <w:lvlJc w:val="left"/>
      <w:pPr>
        <w:ind w:left="170" w:hanging="170"/>
      </w:pPr>
      <w:rPr>
        <w:rFonts w:ascii="Arial" w:eastAsia="Arial" w:hAnsi="Arial" w:cs="Arial"/>
        <w:sz w:val="22"/>
        <w:szCs w:val="22"/>
      </w:rPr>
    </w:lvl>
    <w:lvl w:ilvl="1">
      <w:start w:val="1"/>
      <w:numFmt w:val="lowerLetter"/>
      <w:lvlText w:val="%2)"/>
      <w:lvlJc w:val="left"/>
      <w:pPr>
        <w:ind w:left="720" w:hanging="360"/>
      </w:pPr>
      <w:rPr>
        <w:b w:val="0"/>
        <w:bCs w:val="0"/>
        <w:i w:val="0"/>
        <w:iCs w:val="0"/>
        <w:smallCaps w:val="0"/>
        <w:strike w:val="0"/>
        <w:color w:val="000000"/>
        <w:u w:val="none"/>
        <w:vertAlign w:val="baseline"/>
      </w:rPr>
    </w:lvl>
    <w:lvl w:ilvl="2">
      <w:start w:val="1"/>
      <w:numFmt w:val="lowerRoman"/>
      <w:lvlText w:val="%3)"/>
      <w:lvlJc w:val="left"/>
      <w:pPr>
        <w:ind w:left="1080" w:hanging="360"/>
      </w:pPr>
      <w:rPr>
        <w:rFonts w:ascii="Arial" w:eastAsia="Arial" w:hAnsi="Arial" w:cs="Arial"/>
        <w:sz w:val="22"/>
        <w:szCs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Arial"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2F039A3"/>
    <w:multiLevelType w:val="multilevel"/>
    <w:tmpl w:val="E97834A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7" w15:restartNumberingAfterBreak="0">
    <w:nsid w:val="433E654E"/>
    <w:multiLevelType w:val="multilevel"/>
    <w:tmpl w:val="78524AF0"/>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78" w15:restartNumberingAfterBreak="0">
    <w:nsid w:val="433F79FD"/>
    <w:multiLevelType w:val="multilevel"/>
    <w:tmpl w:val="88BC2D80"/>
    <w:lvl w:ilvl="0">
      <w:start w:val="1"/>
      <w:numFmt w:val="lowerRoman"/>
      <w:lvlText w:val="(%1)"/>
      <w:lvlJc w:val="left"/>
      <w:pPr>
        <w:ind w:left="479" w:hanging="259"/>
      </w:pPr>
      <w:rPr>
        <w:rFonts w:ascii="Arial" w:eastAsia="Arial" w:hAnsi="Arial" w:cs="Arial"/>
        <w:b w:val="0"/>
        <w:bCs w:val="0"/>
        <w:sz w:val="22"/>
        <w:szCs w:val="22"/>
      </w:rPr>
    </w:lvl>
    <w:lvl w:ilvl="1">
      <w:numFmt w:val="bullet"/>
      <w:lvlText w:val="•"/>
      <w:lvlJc w:val="left"/>
      <w:pPr>
        <w:ind w:left="1378" w:hanging="259"/>
      </w:pPr>
    </w:lvl>
    <w:lvl w:ilvl="2">
      <w:numFmt w:val="bullet"/>
      <w:lvlText w:val="•"/>
      <w:lvlJc w:val="left"/>
      <w:pPr>
        <w:ind w:left="2277" w:hanging="259"/>
      </w:pPr>
    </w:lvl>
    <w:lvl w:ilvl="3">
      <w:numFmt w:val="bullet"/>
      <w:lvlText w:val="•"/>
      <w:lvlJc w:val="left"/>
      <w:pPr>
        <w:ind w:left="3175" w:hanging="259"/>
      </w:pPr>
    </w:lvl>
    <w:lvl w:ilvl="4">
      <w:numFmt w:val="bullet"/>
      <w:lvlText w:val="•"/>
      <w:lvlJc w:val="left"/>
      <w:pPr>
        <w:ind w:left="4074" w:hanging="259"/>
      </w:pPr>
    </w:lvl>
    <w:lvl w:ilvl="5">
      <w:numFmt w:val="bullet"/>
      <w:lvlText w:val="•"/>
      <w:lvlJc w:val="left"/>
      <w:pPr>
        <w:ind w:left="4973" w:hanging="259"/>
      </w:pPr>
    </w:lvl>
    <w:lvl w:ilvl="6">
      <w:numFmt w:val="bullet"/>
      <w:lvlText w:val="•"/>
      <w:lvlJc w:val="left"/>
      <w:pPr>
        <w:ind w:left="5871" w:hanging="259"/>
      </w:pPr>
    </w:lvl>
    <w:lvl w:ilvl="7">
      <w:numFmt w:val="bullet"/>
      <w:lvlText w:val="•"/>
      <w:lvlJc w:val="left"/>
      <w:pPr>
        <w:ind w:left="6770" w:hanging="259"/>
      </w:pPr>
    </w:lvl>
    <w:lvl w:ilvl="8">
      <w:numFmt w:val="bullet"/>
      <w:lvlText w:val="•"/>
      <w:lvlJc w:val="left"/>
      <w:pPr>
        <w:ind w:left="7669" w:hanging="259"/>
      </w:pPr>
    </w:lvl>
  </w:abstractNum>
  <w:abstractNum w:abstractNumId="79" w15:restartNumberingAfterBreak="0">
    <w:nsid w:val="43816D30"/>
    <w:multiLevelType w:val="multilevel"/>
    <w:tmpl w:val="4DBA3E3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80" w15:restartNumberingAfterBreak="0">
    <w:nsid w:val="43FB2FC8"/>
    <w:multiLevelType w:val="multilevel"/>
    <w:tmpl w:val="7952D554"/>
    <w:lvl w:ilvl="0">
      <w:start w:val="1"/>
      <w:numFmt w:val="decimal"/>
      <w:lvlText w:val=""/>
      <w:lvlJc w:val="center"/>
      <w:pPr>
        <w:ind w:left="0" w:hanging="57"/>
      </w:pPr>
    </w:lvl>
    <w:lvl w:ilvl="1">
      <w:start w:val="1"/>
      <w:numFmt w:val="decimal"/>
      <w:lvlText w:val="%1%2"/>
      <w:lvlJc w:val="left"/>
      <w:pPr>
        <w:ind w:left="709" w:hanging="709"/>
      </w:pPr>
      <w:rPr>
        <w:b/>
        <w:bCs/>
      </w:rPr>
    </w:lvl>
    <w:lvl w:ilvl="2">
      <w:start w:val="1"/>
      <w:numFmt w:val="decimal"/>
      <w:lvlText w:val="%2.%3"/>
      <w:lvlJc w:val="left"/>
      <w:pPr>
        <w:ind w:left="709" w:hanging="709"/>
      </w:pPr>
      <w:rPr>
        <w:rFonts w:ascii="Calibri" w:eastAsia="Calibri" w:hAnsi="Calibri" w:cs="Calibri"/>
        <w:b w:val="0"/>
        <w:bCs w:val="0"/>
        <w:i w:val="0"/>
        <w:iCs w:val="0"/>
      </w:rPr>
    </w:lvl>
    <w:lvl w:ilvl="3">
      <w:start w:val="1"/>
      <w:numFmt w:val="lowerLetter"/>
      <w:lvlText w:val="(%4)"/>
      <w:lvlJc w:val="left"/>
      <w:pPr>
        <w:ind w:left="1418" w:hanging="709"/>
      </w:pPr>
    </w:lvl>
    <w:lvl w:ilvl="4">
      <w:start w:val="1"/>
      <w:numFmt w:val="lowerLetter"/>
      <w:lvlText w:val="(%5)"/>
      <w:lvlJc w:val="left"/>
      <w:pPr>
        <w:ind w:left="2126" w:hanging="708"/>
      </w:pPr>
      <w:rPr>
        <w:rFonts w:ascii="Arial" w:eastAsia="Arial" w:hAnsi="Arial" w:cs="Arial"/>
      </w:rPr>
    </w:lvl>
    <w:lvl w:ilvl="5">
      <w:start w:val="1"/>
      <w:numFmt w:val="bullet"/>
      <w:lvlText w:val="●"/>
      <w:lvlJc w:val="left"/>
      <w:pPr>
        <w:ind w:left="3543" w:hanging="708"/>
      </w:pPr>
      <w:rPr>
        <w:rFonts w:ascii="Noto Sans Symbols" w:eastAsia="Noto Sans Symbols" w:hAnsi="Noto Sans Symbols" w:cs="Noto Sans Symbols"/>
        <w:color w:val="000000"/>
      </w:rPr>
    </w:lvl>
    <w:lvl w:ilvl="6">
      <w:start w:val="1"/>
      <w:numFmt w:val="lowerLetter"/>
      <w:lvlText w:val="%7)"/>
      <w:lvlJc w:val="left"/>
      <w:pPr>
        <w:ind w:left="4252" w:hanging="709"/>
      </w:pPr>
    </w:lvl>
    <w:lvl w:ilvl="7">
      <w:start w:val="1"/>
      <w:numFmt w:val="lowerRoman"/>
      <w:lvlText w:val="%8)"/>
      <w:lvlJc w:val="left"/>
      <w:pPr>
        <w:ind w:left="4961" w:hanging="709"/>
      </w:pPr>
    </w:lvl>
    <w:lvl w:ilvl="8">
      <w:start w:val="1"/>
      <w:numFmt w:val="upperLetter"/>
      <w:lvlText w:val="%9)"/>
      <w:lvlJc w:val="left"/>
      <w:pPr>
        <w:ind w:left="5669" w:hanging="708"/>
      </w:pPr>
    </w:lvl>
  </w:abstractNum>
  <w:abstractNum w:abstractNumId="81" w15:restartNumberingAfterBreak="0">
    <w:nsid w:val="45B32703"/>
    <w:multiLevelType w:val="multilevel"/>
    <w:tmpl w:val="B6AA056E"/>
    <w:lvl w:ilvl="0">
      <w:start w:val="11"/>
      <w:numFmt w:val="decimal"/>
      <w:lvlText w:val="%1"/>
      <w:lvlJc w:val="left"/>
      <w:pPr>
        <w:ind w:left="220" w:hanging="490"/>
      </w:pPr>
    </w:lvl>
    <w:lvl w:ilvl="1">
      <w:start w:val="3"/>
      <w:numFmt w:val="decimal"/>
      <w:lvlText w:val="%1.%2"/>
      <w:lvlJc w:val="left"/>
      <w:pPr>
        <w:ind w:left="220" w:hanging="490"/>
      </w:pPr>
      <w:rPr>
        <w:rFonts w:ascii="Arial" w:eastAsia="Arial" w:hAnsi="Arial" w:cs="Arial"/>
        <w:b w:val="0"/>
        <w:bCs w:val="0"/>
        <w:sz w:val="22"/>
        <w:szCs w:val="22"/>
      </w:rPr>
    </w:lvl>
    <w:lvl w:ilvl="2">
      <w:numFmt w:val="bullet"/>
      <w:lvlText w:val="●"/>
      <w:lvlJc w:val="left"/>
      <w:pPr>
        <w:ind w:left="940" w:hanging="360"/>
      </w:pPr>
      <w:rPr>
        <w:rFonts w:ascii="Noto Sans Symbols" w:eastAsia="Noto Sans Symbols" w:hAnsi="Noto Sans Symbols" w:cs="Noto Sans Symbols"/>
        <w:b w:val="0"/>
        <w:bCs w:val="0"/>
        <w:sz w:val="22"/>
        <w:szCs w:val="22"/>
      </w:rPr>
    </w:lvl>
    <w:lvl w:ilvl="3">
      <w:numFmt w:val="bullet"/>
      <w:lvlText w:val="•"/>
      <w:lvlJc w:val="left"/>
      <w:pPr>
        <w:ind w:left="2834" w:hanging="360"/>
      </w:pPr>
    </w:lvl>
    <w:lvl w:ilvl="4">
      <w:numFmt w:val="bullet"/>
      <w:lvlText w:val="•"/>
      <w:lvlJc w:val="left"/>
      <w:pPr>
        <w:ind w:left="3782" w:hanging="360"/>
      </w:pPr>
    </w:lvl>
    <w:lvl w:ilvl="5">
      <w:numFmt w:val="bullet"/>
      <w:lvlText w:val="•"/>
      <w:lvlJc w:val="left"/>
      <w:pPr>
        <w:ind w:left="4729" w:hanging="360"/>
      </w:pPr>
    </w:lvl>
    <w:lvl w:ilvl="6">
      <w:numFmt w:val="bullet"/>
      <w:lvlText w:val="•"/>
      <w:lvlJc w:val="left"/>
      <w:pPr>
        <w:ind w:left="5676" w:hanging="360"/>
      </w:pPr>
    </w:lvl>
    <w:lvl w:ilvl="7">
      <w:numFmt w:val="bullet"/>
      <w:lvlText w:val="•"/>
      <w:lvlJc w:val="left"/>
      <w:pPr>
        <w:ind w:left="6624" w:hanging="360"/>
      </w:pPr>
    </w:lvl>
    <w:lvl w:ilvl="8">
      <w:numFmt w:val="bullet"/>
      <w:lvlText w:val="•"/>
      <w:lvlJc w:val="left"/>
      <w:pPr>
        <w:ind w:left="7571" w:hanging="360"/>
      </w:pPr>
    </w:lvl>
  </w:abstractNum>
  <w:abstractNum w:abstractNumId="82" w15:restartNumberingAfterBreak="0">
    <w:nsid w:val="45D425F4"/>
    <w:multiLevelType w:val="multilevel"/>
    <w:tmpl w:val="994CA7E2"/>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3" w15:restartNumberingAfterBreak="0">
    <w:nsid w:val="46171CDF"/>
    <w:multiLevelType w:val="multilevel"/>
    <w:tmpl w:val="B21ED290"/>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84" w15:restartNumberingAfterBreak="0">
    <w:nsid w:val="48064B51"/>
    <w:multiLevelType w:val="multilevel"/>
    <w:tmpl w:val="3DD81978"/>
    <w:lvl w:ilvl="0">
      <w:start w:val="1"/>
      <w:numFmt w:val="lowerLetter"/>
      <w:lvlText w:val="%1)"/>
      <w:lvlJc w:val="left"/>
      <w:pPr>
        <w:ind w:left="3960" w:hanging="36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85" w15:restartNumberingAfterBreak="0">
    <w:nsid w:val="482B4E7A"/>
    <w:multiLevelType w:val="multilevel"/>
    <w:tmpl w:val="DB7CE6A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86" w15:restartNumberingAfterBreak="0">
    <w:nsid w:val="4F6D4CCD"/>
    <w:multiLevelType w:val="multilevel"/>
    <w:tmpl w:val="5342686E"/>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87" w15:restartNumberingAfterBreak="0">
    <w:nsid w:val="52055CAE"/>
    <w:multiLevelType w:val="multilevel"/>
    <w:tmpl w:val="874AACBE"/>
    <w:lvl w:ilvl="0">
      <w:start w:val="1"/>
      <w:numFmt w:val="decimal"/>
      <w:lvlText w:val="Appendix %1"/>
      <w:lvlJc w:val="left"/>
      <w:pPr>
        <w:ind w:left="1701" w:hanging="1701"/>
      </w:pPr>
      <w:rPr>
        <w:rFonts w:ascii="Arial" w:eastAsia="Arial" w:hAnsi="Arial" w:cs="Arial"/>
        <w:b/>
        <w:bCs/>
        <w:sz w:val="28"/>
        <w:szCs w:val="2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8" w15:restartNumberingAfterBreak="0">
    <w:nsid w:val="55F02A85"/>
    <w:multiLevelType w:val="multilevel"/>
    <w:tmpl w:val="E9A03BD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9" w15:restartNumberingAfterBreak="0">
    <w:nsid w:val="562D55B6"/>
    <w:multiLevelType w:val="multilevel"/>
    <w:tmpl w:val="E4E4913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0" w15:restartNumberingAfterBreak="0">
    <w:nsid w:val="578B2D20"/>
    <w:multiLevelType w:val="multilevel"/>
    <w:tmpl w:val="A9D24E9C"/>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1" w15:restartNumberingAfterBreak="0">
    <w:nsid w:val="58075377"/>
    <w:multiLevelType w:val="multilevel"/>
    <w:tmpl w:val="AA9A4230"/>
    <w:lvl w:ilvl="0">
      <w:start w:val="1"/>
      <w:numFmt w:val="decimal"/>
      <w:lvlText w:val="%1"/>
      <w:lvlJc w:val="left"/>
      <w:pPr>
        <w:ind w:left="2020" w:hanging="1080"/>
      </w:pPr>
    </w:lvl>
    <w:lvl w:ilvl="1">
      <w:start w:val="2"/>
      <w:numFmt w:val="decimal"/>
      <w:lvlText w:val="%1.%2"/>
      <w:lvlJc w:val="left"/>
      <w:pPr>
        <w:ind w:left="2020" w:hanging="1080"/>
      </w:pPr>
    </w:lvl>
    <w:lvl w:ilvl="2">
      <w:start w:val="1"/>
      <w:numFmt w:val="decimal"/>
      <w:lvlText w:val="%1.%2.%3"/>
      <w:lvlJc w:val="left"/>
      <w:pPr>
        <w:ind w:left="2020" w:hanging="1080"/>
      </w:pPr>
      <w:rPr>
        <w:rFonts w:ascii="Arial" w:eastAsia="Arial" w:hAnsi="Arial" w:cs="Arial"/>
        <w:b w:val="0"/>
        <w:bCs w:val="0"/>
        <w:sz w:val="22"/>
        <w:szCs w:val="22"/>
      </w:r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222" w:hanging="1081"/>
      </w:pPr>
    </w:lvl>
    <w:lvl w:ilvl="5">
      <w:numFmt w:val="bullet"/>
      <w:lvlText w:val="•"/>
      <w:lvlJc w:val="left"/>
      <w:pPr>
        <w:ind w:left="5929" w:hanging="1081"/>
      </w:pPr>
    </w:lvl>
    <w:lvl w:ilvl="6">
      <w:numFmt w:val="bullet"/>
      <w:lvlText w:val="•"/>
      <w:lvlJc w:val="left"/>
      <w:pPr>
        <w:ind w:left="6636" w:hanging="1081"/>
      </w:pPr>
    </w:lvl>
    <w:lvl w:ilvl="7">
      <w:numFmt w:val="bullet"/>
      <w:lvlText w:val="•"/>
      <w:lvlJc w:val="left"/>
      <w:pPr>
        <w:ind w:left="7344" w:hanging="1081"/>
      </w:pPr>
    </w:lvl>
    <w:lvl w:ilvl="8">
      <w:numFmt w:val="bullet"/>
      <w:lvlText w:val="•"/>
      <w:lvlJc w:val="left"/>
      <w:pPr>
        <w:ind w:left="8051" w:hanging="1081"/>
      </w:pPr>
    </w:lvl>
  </w:abstractNum>
  <w:abstractNum w:abstractNumId="92" w15:restartNumberingAfterBreak="0">
    <w:nsid w:val="584B738D"/>
    <w:multiLevelType w:val="multilevel"/>
    <w:tmpl w:val="854C4338"/>
    <w:lvl w:ilvl="0">
      <w:start w:val="1"/>
      <w:numFmt w:val="decimal"/>
      <w:lvlText w:val="%1"/>
      <w:lvlJc w:val="left"/>
      <w:pPr>
        <w:ind w:left="3101" w:hanging="1080"/>
      </w:pPr>
    </w:lvl>
    <w:lvl w:ilvl="1">
      <w:start w:val="4"/>
      <w:numFmt w:val="decimal"/>
      <w:lvlText w:val="%1.%2"/>
      <w:lvlJc w:val="left"/>
      <w:pPr>
        <w:ind w:left="3101" w:hanging="1080"/>
      </w:pPr>
    </w:lvl>
    <w:lvl w:ilvl="2">
      <w:start w:val="4"/>
      <w:numFmt w:val="decimal"/>
      <w:lvlText w:val="%1.%2.%3"/>
      <w:lvlJc w:val="left"/>
      <w:pPr>
        <w:ind w:left="3101" w:hanging="1080"/>
      </w:pPr>
    </w:lvl>
    <w:lvl w:ilvl="3">
      <w:start w:val="1"/>
      <w:numFmt w:val="decimal"/>
      <w:lvlText w:val="%1.%2.%3.%4"/>
      <w:lvlJc w:val="left"/>
      <w:pPr>
        <w:ind w:left="3101" w:hanging="1080"/>
      </w:pPr>
      <w:rPr>
        <w:rFonts w:ascii="Arial" w:eastAsia="Arial" w:hAnsi="Arial" w:cs="Arial"/>
        <w:b w:val="0"/>
        <w:bCs w:val="0"/>
        <w:sz w:val="22"/>
        <w:szCs w:val="22"/>
      </w:rPr>
    </w:lvl>
    <w:lvl w:ilvl="4">
      <w:start w:val="1"/>
      <w:numFmt w:val="lowerLetter"/>
      <w:lvlText w:val="(%5)"/>
      <w:lvlJc w:val="left"/>
      <w:pPr>
        <w:ind w:left="3821" w:hanging="720"/>
      </w:pPr>
      <w:rPr>
        <w:rFonts w:ascii="Arial" w:eastAsia="Arial" w:hAnsi="Arial" w:cs="Arial"/>
        <w:b w:val="0"/>
        <w:bCs w:val="0"/>
        <w:sz w:val="22"/>
        <w:szCs w:val="22"/>
      </w:rPr>
    </w:lvl>
    <w:lvl w:ilvl="5">
      <w:numFmt w:val="bullet"/>
      <w:lvlText w:val="•"/>
      <w:lvlJc w:val="left"/>
      <w:pPr>
        <w:ind w:left="6329" w:hanging="720"/>
      </w:pPr>
    </w:lvl>
    <w:lvl w:ilvl="6">
      <w:numFmt w:val="bullet"/>
      <w:lvlText w:val="•"/>
      <w:lvlJc w:val="left"/>
      <w:pPr>
        <w:ind w:left="6956" w:hanging="720"/>
      </w:pPr>
    </w:lvl>
    <w:lvl w:ilvl="7">
      <w:numFmt w:val="bullet"/>
      <w:lvlText w:val="•"/>
      <w:lvlJc w:val="left"/>
      <w:pPr>
        <w:ind w:left="7584" w:hanging="720"/>
      </w:pPr>
    </w:lvl>
    <w:lvl w:ilvl="8">
      <w:numFmt w:val="bullet"/>
      <w:lvlText w:val="•"/>
      <w:lvlJc w:val="left"/>
      <w:pPr>
        <w:ind w:left="8211" w:hanging="720"/>
      </w:pPr>
    </w:lvl>
  </w:abstractNum>
  <w:abstractNum w:abstractNumId="93" w15:restartNumberingAfterBreak="0">
    <w:nsid w:val="59E15D5E"/>
    <w:multiLevelType w:val="multilevel"/>
    <w:tmpl w:val="4B7C6286"/>
    <w:lvl w:ilvl="0">
      <w:start w:val="1"/>
      <w:numFmt w:val="decimal"/>
      <w:lvlText w:val="(%1)"/>
      <w:lvlJc w:val="left"/>
      <w:pPr>
        <w:ind w:left="720" w:hanging="72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4" w15:restartNumberingAfterBreak="0">
    <w:nsid w:val="5A885466"/>
    <w:multiLevelType w:val="multilevel"/>
    <w:tmpl w:val="104459A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5" w15:restartNumberingAfterBreak="0">
    <w:nsid w:val="5AB173CC"/>
    <w:multiLevelType w:val="multilevel"/>
    <w:tmpl w:val="3050F98E"/>
    <w:lvl w:ilvl="0">
      <w:start w:val="1"/>
      <w:numFmt w:val="upperLetter"/>
      <w:lvlText w:val="(%1)"/>
      <w:lvlJc w:val="left"/>
      <w:pPr>
        <w:ind w:left="577" w:hanging="357"/>
      </w:pPr>
      <w:rPr>
        <w:rFonts w:ascii="Arial" w:eastAsia="Arial" w:hAnsi="Arial" w:cs="Arial"/>
        <w:b w:val="0"/>
        <w:bCs w:val="0"/>
        <w:sz w:val="22"/>
        <w:szCs w:val="22"/>
      </w:rPr>
    </w:lvl>
    <w:lvl w:ilvl="1">
      <w:numFmt w:val="bullet"/>
      <w:lvlText w:val="•"/>
      <w:lvlJc w:val="left"/>
      <w:pPr>
        <w:ind w:left="1468" w:hanging="357"/>
      </w:pPr>
    </w:lvl>
    <w:lvl w:ilvl="2">
      <w:numFmt w:val="bullet"/>
      <w:lvlText w:val="•"/>
      <w:lvlJc w:val="left"/>
      <w:pPr>
        <w:ind w:left="2357" w:hanging="358"/>
      </w:pPr>
    </w:lvl>
    <w:lvl w:ilvl="3">
      <w:numFmt w:val="bullet"/>
      <w:lvlText w:val="•"/>
      <w:lvlJc w:val="left"/>
      <w:pPr>
        <w:ind w:left="3245" w:hanging="358"/>
      </w:pPr>
    </w:lvl>
    <w:lvl w:ilvl="4">
      <w:numFmt w:val="bullet"/>
      <w:lvlText w:val="•"/>
      <w:lvlJc w:val="left"/>
      <w:pPr>
        <w:ind w:left="4134" w:hanging="358"/>
      </w:pPr>
    </w:lvl>
    <w:lvl w:ilvl="5">
      <w:numFmt w:val="bullet"/>
      <w:lvlText w:val="•"/>
      <w:lvlJc w:val="left"/>
      <w:pPr>
        <w:ind w:left="5023" w:hanging="358"/>
      </w:pPr>
    </w:lvl>
    <w:lvl w:ilvl="6">
      <w:numFmt w:val="bullet"/>
      <w:lvlText w:val="•"/>
      <w:lvlJc w:val="left"/>
      <w:pPr>
        <w:ind w:left="5911" w:hanging="357"/>
      </w:pPr>
    </w:lvl>
    <w:lvl w:ilvl="7">
      <w:numFmt w:val="bullet"/>
      <w:lvlText w:val="•"/>
      <w:lvlJc w:val="left"/>
      <w:pPr>
        <w:ind w:left="6800" w:hanging="358"/>
      </w:pPr>
    </w:lvl>
    <w:lvl w:ilvl="8">
      <w:numFmt w:val="bullet"/>
      <w:lvlText w:val="•"/>
      <w:lvlJc w:val="left"/>
      <w:pPr>
        <w:ind w:left="7689" w:hanging="358"/>
      </w:pPr>
    </w:lvl>
  </w:abstractNum>
  <w:abstractNum w:abstractNumId="96" w15:restartNumberingAfterBreak="0">
    <w:nsid w:val="5B2D27B7"/>
    <w:multiLevelType w:val="multilevel"/>
    <w:tmpl w:val="9D86B83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7" w15:restartNumberingAfterBreak="0">
    <w:nsid w:val="5F2733E2"/>
    <w:multiLevelType w:val="multilevel"/>
    <w:tmpl w:val="5978A6E8"/>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8" w15:restartNumberingAfterBreak="0">
    <w:nsid w:val="5F8243E1"/>
    <w:multiLevelType w:val="multilevel"/>
    <w:tmpl w:val="B76C1CB4"/>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99" w15:restartNumberingAfterBreak="0">
    <w:nsid w:val="61B36BF8"/>
    <w:multiLevelType w:val="multilevel"/>
    <w:tmpl w:val="B54EE4E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decimal"/>
      <w:lvlText w:val="%1.%2.%3.%4"/>
      <w:lvlJc w:val="left"/>
      <w:pPr>
        <w:ind w:left="3238" w:hanging="721"/>
      </w:pPr>
    </w:lvl>
    <w:lvl w:ilvl="4">
      <w:start w:val="1"/>
      <w:numFmt w:val="lowerLetter"/>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0" w15:restartNumberingAfterBreak="0">
    <w:nsid w:val="61D27354"/>
    <w:multiLevelType w:val="multilevel"/>
    <w:tmpl w:val="53BA9F7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1" w15:restartNumberingAfterBreak="0">
    <w:nsid w:val="62290F44"/>
    <w:multiLevelType w:val="multilevel"/>
    <w:tmpl w:val="BEB6ED9A"/>
    <w:lvl w:ilvl="0">
      <w:start w:val="1"/>
      <w:numFmt w:val="bullet"/>
      <w:lvlText w:val="●"/>
      <w:lvlJc w:val="left"/>
      <w:pPr>
        <w:ind w:left="920" w:hanging="360"/>
      </w:pPr>
      <w:rPr>
        <w:rFonts w:ascii="Noto Sans Symbols" w:eastAsia="Noto Sans Symbols" w:hAnsi="Noto Sans Symbols" w:cs="Noto Sans Symbols"/>
      </w:rPr>
    </w:lvl>
    <w:lvl w:ilvl="1">
      <w:start w:val="1"/>
      <w:numFmt w:val="bullet"/>
      <w:lvlText w:val="o"/>
      <w:lvlJc w:val="left"/>
      <w:pPr>
        <w:ind w:left="1640" w:hanging="360"/>
      </w:pPr>
      <w:rPr>
        <w:rFonts w:ascii="Courier New" w:eastAsia="Courier New" w:hAnsi="Courier New" w:cs="Courier New"/>
      </w:rPr>
    </w:lvl>
    <w:lvl w:ilvl="2">
      <w:start w:val="1"/>
      <w:numFmt w:val="bullet"/>
      <w:lvlText w:val="▪"/>
      <w:lvlJc w:val="left"/>
      <w:pPr>
        <w:ind w:left="2360" w:hanging="360"/>
      </w:pPr>
      <w:rPr>
        <w:rFonts w:ascii="Noto Sans Symbols" w:eastAsia="Noto Sans Symbols" w:hAnsi="Noto Sans Symbols" w:cs="Noto Sans Symbols"/>
      </w:rPr>
    </w:lvl>
    <w:lvl w:ilvl="3">
      <w:start w:val="1"/>
      <w:numFmt w:val="bullet"/>
      <w:lvlText w:val="●"/>
      <w:lvlJc w:val="left"/>
      <w:pPr>
        <w:ind w:left="3080" w:hanging="360"/>
      </w:pPr>
      <w:rPr>
        <w:rFonts w:ascii="Noto Sans Symbols" w:eastAsia="Noto Sans Symbols" w:hAnsi="Noto Sans Symbols" w:cs="Noto Sans Symbols"/>
      </w:rPr>
    </w:lvl>
    <w:lvl w:ilvl="4">
      <w:start w:val="1"/>
      <w:numFmt w:val="bullet"/>
      <w:lvlText w:val="o"/>
      <w:lvlJc w:val="left"/>
      <w:pPr>
        <w:ind w:left="3800" w:hanging="360"/>
      </w:pPr>
      <w:rPr>
        <w:rFonts w:ascii="Courier New" w:eastAsia="Courier New" w:hAnsi="Courier New" w:cs="Courier New"/>
      </w:rPr>
    </w:lvl>
    <w:lvl w:ilvl="5">
      <w:start w:val="1"/>
      <w:numFmt w:val="bullet"/>
      <w:lvlText w:val="▪"/>
      <w:lvlJc w:val="left"/>
      <w:pPr>
        <w:ind w:left="4520" w:hanging="360"/>
      </w:pPr>
      <w:rPr>
        <w:rFonts w:ascii="Noto Sans Symbols" w:eastAsia="Noto Sans Symbols" w:hAnsi="Noto Sans Symbols" w:cs="Noto Sans Symbols"/>
      </w:rPr>
    </w:lvl>
    <w:lvl w:ilvl="6">
      <w:start w:val="1"/>
      <w:numFmt w:val="bullet"/>
      <w:lvlText w:val="●"/>
      <w:lvlJc w:val="left"/>
      <w:pPr>
        <w:ind w:left="5240" w:hanging="360"/>
      </w:pPr>
      <w:rPr>
        <w:rFonts w:ascii="Noto Sans Symbols" w:eastAsia="Noto Sans Symbols" w:hAnsi="Noto Sans Symbols" w:cs="Noto Sans Symbols"/>
      </w:rPr>
    </w:lvl>
    <w:lvl w:ilvl="7">
      <w:start w:val="1"/>
      <w:numFmt w:val="bullet"/>
      <w:lvlText w:val="o"/>
      <w:lvlJc w:val="left"/>
      <w:pPr>
        <w:ind w:left="5960" w:hanging="360"/>
      </w:pPr>
      <w:rPr>
        <w:rFonts w:ascii="Courier New" w:eastAsia="Courier New" w:hAnsi="Courier New" w:cs="Courier New"/>
      </w:rPr>
    </w:lvl>
    <w:lvl w:ilvl="8">
      <w:start w:val="1"/>
      <w:numFmt w:val="bullet"/>
      <w:lvlText w:val="▪"/>
      <w:lvlJc w:val="left"/>
      <w:pPr>
        <w:ind w:left="6680" w:hanging="360"/>
      </w:pPr>
      <w:rPr>
        <w:rFonts w:ascii="Noto Sans Symbols" w:eastAsia="Noto Sans Symbols" w:hAnsi="Noto Sans Symbols" w:cs="Noto Sans Symbols"/>
      </w:rPr>
    </w:lvl>
  </w:abstractNum>
  <w:abstractNum w:abstractNumId="102" w15:restartNumberingAfterBreak="0">
    <w:nsid w:val="63033CF9"/>
    <w:multiLevelType w:val="multilevel"/>
    <w:tmpl w:val="DF84487A"/>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03" w15:restartNumberingAfterBreak="0">
    <w:nsid w:val="63A872DA"/>
    <w:multiLevelType w:val="multilevel"/>
    <w:tmpl w:val="D9BC8F32"/>
    <w:lvl w:ilvl="0">
      <w:start w:val="1"/>
      <w:numFmt w:val="decimal"/>
      <w:lvlText w:val=""/>
      <w:lvlJc w:val="center"/>
      <w:pPr>
        <w:ind w:left="0" w:hanging="57"/>
      </w:pPr>
    </w:lvl>
    <w:lvl w:ilvl="1">
      <w:start w:val="1"/>
      <w:numFmt w:val="decimal"/>
      <w:lvlText w:val="%1%2"/>
      <w:lvlJc w:val="left"/>
      <w:pPr>
        <w:ind w:left="709" w:hanging="709"/>
      </w:pPr>
      <w:rPr>
        <w:b/>
        <w:bCs/>
      </w:rPr>
    </w:lvl>
    <w:lvl w:ilvl="2">
      <w:start w:val="1"/>
      <w:numFmt w:val="decimal"/>
      <w:lvlText w:val="%2.%3"/>
      <w:lvlJc w:val="left"/>
      <w:pPr>
        <w:ind w:left="709" w:hanging="709"/>
      </w:pPr>
      <w:rPr>
        <w:rFonts w:ascii="Calibri" w:eastAsia="Calibri" w:hAnsi="Calibri" w:cs="Calibri"/>
        <w:b w:val="0"/>
        <w:bCs w:val="0"/>
        <w:i w:val="0"/>
        <w:iCs w:val="0"/>
      </w:rPr>
    </w:lvl>
    <w:lvl w:ilvl="3">
      <w:start w:val="1"/>
      <w:numFmt w:val="lowerLetter"/>
      <w:lvlText w:val="(%4)"/>
      <w:lvlJc w:val="left"/>
      <w:pPr>
        <w:ind w:left="1418" w:hanging="709"/>
      </w:pPr>
    </w:lvl>
    <w:lvl w:ilvl="4">
      <w:start w:val="1"/>
      <w:numFmt w:val="lowerLetter"/>
      <w:lvlText w:val="(%5)"/>
      <w:lvlJc w:val="left"/>
      <w:pPr>
        <w:ind w:left="2126" w:hanging="708"/>
      </w:pPr>
      <w:rPr>
        <w:rFonts w:ascii="Arial" w:eastAsia="Arial" w:hAnsi="Arial" w:cs="Arial"/>
      </w:rPr>
    </w:lvl>
    <w:lvl w:ilvl="5">
      <w:start w:val="1"/>
      <w:numFmt w:val="bullet"/>
      <w:lvlText w:val="●"/>
      <w:lvlJc w:val="left"/>
      <w:pPr>
        <w:ind w:left="3543" w:hanging="708"/>
      </w:pPr>
      <w:rPr>
        <w:rFonts w:ascii="Noto Sans Symbols" w:eastAsia="Noto Sans Symbols" w:hAnsi="Noto Sans Symbols" w:cs="Noto Sans Symbols"/>
        <w:color w:val="000000"/>
      </w:rPr>
    </w:lvl>
    <w:lvl w:ilvl="6">
      <w:start w:val="1"/>
      <w:numFmt w:val="lowerLetter"/>
      <w:lvlText w:val="%7)"/>
      <w:lvlJc w:val="left"/>
      <w:pPr>
        <w:ind w:left="4252" w:hanging="709"/>
      </w:pPr>
    </w:lvl>
    <w:lvl w:ilvl="7">
      <w:start w:val="1"/>
      <w:numFmt w:val="lowerRoman"/>
      <w:lvlText w:val="%8)"/>
      <w:lvlJc w:val="left"/>
      <w:pPr>
        <w:ind w:left="4961" w:hanging="709"/>
      </w:pPr>
    </w:lvl>
    <w:lvl w:ilvl="8">
      <w:start w:val="1"/>
      <w:numFmt w:val="upperLetter"/>
      <w:lvlText w:val="%9)"/>
      <w:lvlJc w:val="left"/>
      <w:pPr>
        <w:ind w:left="5669" w:hanging="708"/>
      </w:pPr>
    </w:lvl>
  </w:abstractNum>
  <w:abstractNum w:abstractNumId="104" w15:restartNumberingAfterBreak="0">
    <w:nsid w:val="64596A8A"/>
    <w:multiLevelType w:val="multilevel"/>
    <w:tmpl w:val="D7160CF4"/>
    <w:lvl w:ilvl="0">
      <w:start w:val="1"/>
      <w:numFmt w:val="lowerRoman"/>
      <w:lvlText w:val="(%1)"/>
      <w:lvlJc w:val="left"/>
      <w:pPr>
        <w:ind w:left="1080" w:hanging="360"/>
      </w:pPr>
      <w:rPr>
        <w:rFonts w:ascii="Arial" w:eastAsia="Arial" w:hAnsi="Arial" w:cs="Arial"/>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05" w15:restartNumberingAfterBreak="0">
    <w:nsid w:val="64DF0331"/>
    <w:multiLevelType w:val="multilevel"/>
    <w:tmpl w:val="38BE4292"/>
    <w:lvl w:ilvl="0">
      <w:start w:val="1"/>
      <w:numFmt w:val="decimal"/>
      <w:lvlText w:val="Schedule %1"/>
      <w:lvlJc w:val="left"/>
      <w:pPr>
        <w:ind w:left="1701" w:hanging="1701"/>
      </w:pPr>
    </w:lvl>
    <w:lvl w:ilvl="1">
      <w:start w:val="1"/>
      <w:numFmt w:val="decimal"/>
      <w:lvlText w:val="%2"/>
      <w:lvlJc w:val="left"/>
      <w:pPr>
        <w:ind w:left="720" w:hanging="720"/>
      </w:pPr>
    </w:lvl>
    <w:lvl w:ilvl="2">
      <w:start w:val="1"/>
      <w:numFmt w:val="decimal"/>
      <w:lvlText w:val="%2.%3"/>
      <w:lvlJc w:val="left"/>
      <w:pPr>
        <w:ind w:left="1440" w:hanging="720"/>
      </w:pPr>
    </w:lvl>
    <w:lvl w:ilvl="3">
      <w:start w:val="1"/>
      <w:numFmt w:val="decimal"/>
      <w:lvlText w:val="%2.%3.%4"/>
      <w:lvlJc w:val="left"/>
      <w:pPr>
        <w:ind w:left="2517" w:hanging="1077"/>
      </w:pPr>
    </w:lvl>
    <w:lvl w:ilvl="4">
      <w:start w:val="1"/>
      <w:numFmt w:val="lowerLetter"/>
      <w:lvlText w:val="(%5)"/>
      <w:lvlJc w:val="left"/>
      <w:pPr>
        <w:ind w:left="3238" w:hanging="721"/>
      </w:pPr>
    </w:lvl>
    <w:lvl w:ilvl="5">
      <w:start w:val="1"/>
      <w:numFmt w:val="lowerRoman"/>
      <w:lvlText w:val="(%6)"/>
      <w:lvlJc w:val="left"/>
      <w:pPr>
        <w:ind w:left="3958" w:hanging="720"/>
      </w:pPr>
    </w:lvl>
    <w:lvl w:ilvl="6">
      <w:start w:val="1"/>
      <w:numFmt w:val="decimal"/>
      <w:lvlText w:val=""/>
      <w:lvlJc w:val="left"/>
      <w:pPr>
        <w:ind w:left="0" w:firstLine="0"/>
      </w:pPr>
    </w:lvl>
    <w:lvl w:ilvl="7">
      <w:start w:val="1"/>
      <w:numFmt w:val="decimal"/>
      <w:lvlText w:val=""/>
      <w:lvlJc w:val="left"/>
      <w:pPr>
        <w:ind w:left="0" w:firstLine="2126"/>
      </w:pPr>
    </w:lvl>
    <w:lvl w:ilvl="8">
      <w:start w:val="1"/>
      <w:numFmt w:val="decimal"/>
      <w:lvlText w:val=""/>
      <w:lvlJc w:val="left"/>
      <w:pPr>
        <w:ind w:left="3544" w:hanging="3544"/>
      </w:pPr>
    </w:lvl>
  </w:abstractNum>
  <w:abstractNum w:abstractNumId="106" w15:restartNumberingAfterBreak="0">
    <w:nsid w:val="67A43A30"/>
    <w:multiLevelType w:val="multilevel"/>
    <w:tmpl w:val="FFC4CD14"/>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7" w15:restartNumberingAfterBreak="0">
    <w:nsid w:val="6AFB6DDE"/>
    <w:multiLevelType w:val="multilevel"/>
    <w:tmpl w:val="3AD67704"/>
    <w:lvl w:ilvl="0">
      <w:start w:val="1"/>
      <w:numFmt w:val="decimal"/>
      <w:lvlText w:val="%1"/>
      <w:lvlJc w:val="left"/>
      <w:pPr>
        <w:ind w:left="2020" w:hanging="1080"/>
      </w:pPr>
    </w:lvl>
    <w:lvl w:ilvl="1">
      <w:start w:val="5"/>
      <w:numFmt w:val="decimal"/>
      <w:lvlText w:val="%1.%2"/>
      <w:lvlJc w:val="left"/>
      <w:pPr>
        <w:ind w:left="2020" w:hanging="1080"/>
      </w:pPr>
    </w:lvl>
    <w:lvl w:ilvl="2">
      <w:start w:val="1"/>
      <w:numFmt w:val="decimal"/>
      <w:lvlText w:val="%1.%2.%3"/>
      <w:lvlJc w:val="left"/>
      <w:pPr>
        <w:ind w:left="2020" w:hanging="1080"/>
      </w:pPr>
      <w:rPr>
        <w:rFonts w:ascii="Arial" w:eastAsia="Arial" w:hAnsi="Arial" w:cs="Arial"/>
        <w:b w:val="0"/>
        <w:bCs w:val="0"/>
        <w:sz w:val="22"/>
        <w:szCs w:val="22"/>
      </w:rPr>
    </w:lvl>
    <w:lvl w:ilvl="3">
      <w:numFmt w:val="bullet"/>
      <w:lvlText w:val="•"/>
      <w:lvlJc w:val="left"/>
      <w:pPr>
        <w:ind w:left="4253" w:hanging="1080"/>
      </w:pPr>
    </w:lvl>
    <w:lvl w:ilvl="4">
      <w:numFmt w:val="bullet"/>
      <w:lvlText w:val="•"/>
      <w:lvlJc w:val="left"/>
      <w:pPr>
        <w:ind w:left="4998" w:hanging="1080"/>
      </w:pPr>
    </w:lvl>
    <w:lvl w:ilvl="5">
      <w:numFmt w:val="bullet"/>
      <w:lvlText w:val="•"/>
      <w:lvlJc w:val="left"/>
      <w:pPr>
        <w:ind w:left="5743" w:hanging="1080"/>
      </w:pPr>
    </w:lvl>
    <w:lvl w:ilvl="6">
      <w:numFmt w:val="bullet"/>
      <w:lvlText w:val="•"/>
      <w:lvlJc w:val="left"/>
      <w:pPr>
        <w:ind w:left="6487" w:hanging="1080"/>
      </w:pPr>
    </w:lvl>
    <w:lvl w:ilvl="7">
      <w:numFmt w:val="bullet"/>
      <w:lvlText w:val="•"/>
      <w:lvlJc w:val="left"/>
      <w:pPr>
        <w:ind w:left="7232" w:hanging="1080"/>
      </w:pPr>
    </w:lvl>
    <w:lvl w:ilvl="8">
      <w:numFmt w:val="bullet"/>
      <w:lvlText w:val="•"/>
      <w:lvlJc w:val="left"/>
      <w:pPr>
        <w:ind w:left="7977" w:hanging="1080"/>
      </w:pPr>
    </w:lvl>
  </w:abstractNum>
  <w:abstractNum w:abstractNumId="108" w15:restartNumberingAfterBreak="0">
    <w:nsid w:val="6DFA6F92"/>
    <w:multiLevelType w:val="multilevel"/>
    <w:tmpl w:val="E2D47DBE"/>
    <w:lvl w:ilvl="0">
      <w:start w:val="1"/>
      <w:numFmt w:val="lowerRoman"/>
      <w:lvlText w:val="(%1)"/>
      <w:lvlJc w:val="left"/>
      <w:pPr>
        <w:ind w:left="220" w:hanging="257"/>
      </w:pPr>
      <w:rPr>
        <w:rFonts w:ascii="Arial" w:eastAsia="Arial" w:hAnsi="Arial" w:cs="Arial"/>
        <w:b w:val="0"/>
        <w:bCs w:val="0"/>
        <w:sz w:val="22"/>
        <w:szCs w:val="22"/>
      </w:rPr>
    </w:lvl>
    <w:lvl w:ilvl="1">
      <w:numFmt w:val="bullet"/>
      <w:lvlText w:val="•"/>
      <w:lvlJc w:val="left"/>
      <w:pPr>
        <w:ind w:left="1144" w:hanging="257"/>
      </w:pPr>
    </w:lvl>
    <w:lvl w:ilvl="2">
      <w:numFmt w:val="bullet"/>
      <w:lvlText w:val="•"/>
      <w:lvlJc w:val="left"/>
      <w:pPr>
        <w:ind w:left="2069" w:hanging="256"/>
      </w:pPr>
    </w:lvl>
    <w:lvl w:ilvl="3">
      <w:numFmt w:val="bullet"/>
      <w:lvlText w:val="•"/>
      <w:lvlJc w:val="left"/>
      <w:pPr>
        <w:ind w:left="2993" w:hanging="257"/>
      </w:pPr>
    </w:lvl>
    <w:lvl w:ilvl="4">
      <w:numFmt w:val="bullet"/>
      <w:lvlText w:val="•"/>
      <w:lvlJc w:val="left"/>
      <w:pPr>
        <w:ind w:left="3918" w:hanging="257"/>
      </w:pPr>
    </w:lvl>
    <w:lvl w:ilvl="5">
      <w:numFmt w:val="bullet"/>
      <w:lvlText w:val="•"/>
      <w:lvlJc w:val="left"/>
      <w:pPr>
        <w:ind w:left="4843" w:hanging="257"/>
      </w:pPr>
    </w:lvl>
    <w:lvl w:ilvl="6">
      <w:numFmt w:val="bullet"/>
      <w:lvlText w:val="•"/>
      <w:lvlJc w:val="left"/>
      <w:pPr>
        <w:ind w:left="5767" w:hanging="257"/>
      </w:pPr>
    </w:lvl>
    <w:lvl w:ilvl="7">
      <w:numFmt w:val="bullet"/>
      <w:lvlText w:val="•"/>
      <w:lvlJc w:val="left"/>
      <w:pPr>
        <w:ind w:left="6692" w:hanging="257"/>
      </w:pPr>
    </w:lvl>
    <w:lvl w:ilvl="8">
      <w:numFmt w:val="bullet"/>
      <w:lvlText w:val="•"/>
      <w:lvlJc w:val="left"/>
      <w:pPr>
        <w:ind w:left="7617" w:hanging="257"/>
      </w:pPr>
    </w:lvl>
  </w:abstractNum>
  <w:abstractNum w:abstractNumId="109" w15:restartNumberingAfterBreak="0">
    <w:nsid w:val="6F027B74"/>
    <w:multiLevelType w:val="multilevel"/>
    <w:tmpl w:val="C332E3E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0" w15:restartNumberingAfterBreak="0">
    <w:nsid w:val="71A22803"/>
    <w:multiLevelType w:val="multilevel"/>
    <w:tmpl w:val="6BDC76FE"/>
    <w:lvl w:ilvl="0">
      <w:start w:val="1"/>
      <w:numFmt w:val="decimal"/>
      <w:lvlText w:val="%1"/>
      <w:lvlJc w:val="left"/>
      <w:pPr>
        <w:ind w:left="3101" w:hanging="1080"/>
      </w:pPr>
    </w:lvl>
    <w:lvl w:ilvl="1">
      <w:start w:val="4"/>
      <w:numFmt w:val="decimal"/>
      <w:lvlText w:val="%1.%2"/>
      <w:lvlJc w:val="left"/>
      <w:pPr>
        <w:ind w:left="3101" w:hanging="1080"/>
      </w:pPr>
    </w:lvl>
    <w:lvl w:ilvl="2">
      <w:start w:val="1"/>
      <w:numFmt w:val="decimal"/>
      <w:lvlText w:val="%1.%2.%3"/>
      <w:lvlJc w:val="left"/>
      <w:pPr>
        <w:ind w:left="3101" w:hanging="1080"/>
      </w:p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646" w:hanging="1081"/>
      </w:pPr>
    </w:lvl>
    <w:lvl w:ilvl="5">
      <w:numFmt w:val="bullet"/>
      <w:lvlText w:val="•"/>
      <w:lvlJc w:val="left"/>
      <w:pPr>
        <w:ind w:left="6283" w:hanging="1081"/>
      </w:pPr>
    </w:lvl>
    <w:lvl w:ilvl="6">
      <w:numFmt w:val="bullet"/>
      <w:lvlText w:val="•"/>
      <w:lvlJc w:val="left"/>
      <w:pPr>
        <w:ind w:left="6919" w:hanging="1081"/>
      </w:pPr>
    </w:lvl>
    <w:lvl w:ilvl="7">
      <w:numFmt w:val="bullet"/>
      <w:lvlText w:val="•"/>
      <w:lvlJc w:val="left"/>
      <w:pPr>
        <w:ind w:left="7556" w:hanging="1081"/>
      </w:pPr>
    </w:lvl>
    <w:lvl w:ilvl="8">
      <w:numFmt w:val="bullet"/>
      <w:lvlText w:val="•"/>
      <w:lvlJc w:val="left"/>
      <w:pPr>
        <w:ind w:left="8193" w:hanging="1081"/>
      </w:pPr>
    </w:lvl>
  </w:abstractNum>
  <w:abstractNum w:abstractNumId="111" w15:restartNumberingAfterBreak="0">
    <w:nsid w:val="71A50B10"/>
    <w:multiLevelType w:val="multilevel"/>
    <w:tmpl w:val="3D6020DC"/>
    <w:lvl w:ilvl="0">
      <w:start w:val="3"/>
      <w:numFmt w:val="decimal"/>
      <w:lvlText w:val="%1"/>
      <w:lvlJc w:val="left"/>
      <w:pPr>
        <w:ind w:left="360" w:hanging="360"/>
      </w:pPr>
      <w:rPr>
        <w:color w:val="000000"/>
      </w:rPr>
    </w:lvl>
    <w:lvl w:ilvl="1">
      <w:start w:val="5"/>
      <w:numFmt w:val="decimal"/>
      <w:lvlText w:val="%1.%2"/>
      <w:lvlJc w:val="left"/>
      <w:pPr>
        <w:ind w:left="1267" w:hanging="360"/>
      </w:pPr>
      <w:rPr>
        <w:color w:val="000000"/>
      </w:rPr>
    </w:lvl>
    <w:lvl w:ilvl="2">
      <w:start w:val="1"/>
      <w:numFmt w:val="decimal"/>
      <w:lvlText w:val="%1.%2.%3"/>
      <w:lvlJc w:val="left"/>
      <w:pPr>
        <w:ind w:left="2534" w:hanging="720"/>
      </w:pPr>
      <w:rPr>
        <w:color w:val="000000"/>
      </w:rPr>
    </w:lvl>
    <w:lvl w:ilvl="3">
      <w:start w:val="1"/>
      <w:numFmt w:val="decimal"/>
      <w:lvlText w:val="%1.%2.%3.%4"/>
      <w:lvlJc w:val="left"/>
      <w:pPr>
        <w:ind w:left="3801" w:hanging="1080"/>
      </w:pPr>
      <w:rPr>
        <w:color w:val="000000"/>
      </w:rPr>
    </w:lvl>
    <w:lvl w:ilvl="4">
      <w:start w:val="1"/>
      <w:numFmt w:val="decimal"/>
      <w:lvlText w:val="%1.%2.%3.%4.%5"/>
      <w:lvlJc w:val="left"/>
      <w:pPr>
        <w:ind w:left="4708" w:hanging="1080"/>
      </w:pPr>
      <w:rPr>
        <w:color w:val="000000"/>
      </w:rPr>
    </w:lvl>
    <w:lvl w:ilvl="5">
      <w:start w:val="1"/>
      <w:numFmt w:val="decimal"/>
      <w:lvlText w:val="%1.%2.%3.%4.%5.%6"/>
      <w:lvlJc w:val="left"/>
      <w:pPr>
        <w:ind w:left="5975" w:hanging="1440"/>
      </w:pPr>
      <w:rPr>
        <w:color w:val="000000"/>
      </w:rPr>
    </w:lvl>
    <w:lvl w:ilvl="6">
      <w:start w:val="1"/>
      <w:numFmt w:val="decimal"/>
      <w:lvlText w:val="%1.%2.%3.%4.%5.%6.%7"/>
      <w:lvlJc w:val="left"/>
      <w:pPr>
        <w:ind w:left="6882" w:hanging="1440"/>
      </w:pPr>
      <w:rPr>
        <w:color w:val="000000"/>
      </w:rPr>
    </w:lvl>
    <w:lvl w:ilvl="7">
      <w:start w:val="1"/>
      <w:numFmt w:val="decimal"/>
      <w:lvlText w:val="%1.%2.%3.%4.%5.%6.%7.%8"/>
      <w:lvlJc w:val="left"/>
      <w:pPr>
        <w:ind w:left="8149" w:hanging="1800"/>
      </w:pPr>
      <w:rPr>
        <w:color w:val="000000"/>
      </w:rPr>
    </w:lvl>
    <w:lvl w:ilvl="8">
      <w:start w:val="1"/>
      <w:numFmt w:val="decimal"/>
      <w:lvlText w:val="%1.%2.%3.%4.%5.%6.%7.%8.%9"/>
      <w:lvlJc w:val="left"/>
      <w:pPr>
        <w:ind w:left="9056" w:hanging="1800"/>
      </w:pPr>
      <w:rPr>
        <w:color w:val="000000"/>
      </w:rPr>
    </w:lvl>
  </w:abstractNum>
  <w:abstractNum w:abstractNumId="112" w15:restartNumberingAfterBreak="0">
    <w:nsid w:val="71D7173C"/>
    <w:multiLevelType w:val="multilevel"/>
    <w:tmpl w:val="02F85A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73A71E01"/>
    <w:multiLevelType w:val="multilevel"/>
    <w:tmpl w:val="775CA5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4" w15:restartNumberingAfterBreak="0">
    <w:nsid w:val="76736E16"/>
    <w:multiLevelType w:val="multilevel"/>
    <w:tmpl w:val="31B4388E"/>
    <w:lvl w:ilvl="0">
      <w:start w:val="7"/>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5" w15:restartNumberingAfterBreak="0">
    <w:nsid w:val="76CB29AE"/>
    <w:multiLevelType w:val="multilevel"/>
    <w:tmpl w:val="6630A3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7E97F45"/>
    <w:multiLevelType w:val="multilevel"/>
    <w:tmpl w:val="9ACC05F4"/>
    <w:lvl w:ilvl="0">
      <w:start w:val="1"/>
      <w:numFmt w:val="decimal"/>
      <w:lvlText w:val="%1"/>
      <w:lvlJc w:val="left"/>
      <w:pPr>
        <w:ind w:left="2020" w:hanging="1080"/>
      </w:pPr>
    </w:lvl>
    <w:lvl w:ilvl="1">
      <w:start w:val="3"/>
      <w:numFmt w:val="decimal"/>
      <w:lvlText w:val="%1.%2"/>
      <w:lvlJc w:val="left"/>
      <w:pPr>
        <w:ind w:left="2020" w:hanging="1080"/>
      </w:pPr>
    </w:lvl>
    <w:lvl w:ilvl="2">
      <w:start w:val="1"/>
      <w:numFmt w:val="decimal"/>
      <w:lvlText w:val="%1.%2.%3"/>
      <w:lvlJc w:val="left"/>
      <w:pPr>
        <w:ind w:left="2020" w:hanging="1080"/>
      </w:pPr>
      <w:rPr>
        <w:rFonts w:ascii="Arial" w:eastAsia="Arial" w:hAnsi="Arial" w:cs="Arial"/>
        <w:b w:val="0"/>
        <w:bCs w:val="0"/>
        <w:sz w:val="22"/>
        <w:szCs w:val="22"/>
      </w:r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222" w:hanging="1081"/>
      </w:pPr>
    </w:lvl>
    <w:lvl w:ilvl="5">
      <w:numFmt w:val="bullet"/>
      <w:lvlText w:val="•"/>
      <w:lvlJc w:val="left"/>
      <w:pPr>
        <w:ind w:left="5929" w:hanging="1081"/>
      </w:pPr>
    </w:lvl>
    <w:lvl w:ilvl="6">
      <w:numFmt w:val="bullet"/>
      <w:lvlText w:val="•"/>
      <w:lvlJc w:val="left"/>
      <w:pPr>
        <w:ind w:left="6636" w:hanging="1081"/>
      </w:pPr>
    </w:lvl>
    <w:lvl w:ilvl="7">
      <w:numFmt w:val="bullet"/>
      <w:lvlText w:val="•"/>
      <w:lvlJc w:val="left"/>
      <w:pPr>
        <w:ind w:left="7344" w:hanging="1081"/>
      </w:pPr>
    </w:lvl>
    <w:lvl w:ilvl="8">
      <w:numFmt w:val="bullet"/>
      <w:lvlText w:val="•"/>
      <w:lvlJc w:val="left"/>
      <w:pPr>
        <w:ind w:left="8051" w:hanging="1081"/>
      </w:pPr>
    </w:lvl>
  </w:abstractNum>
  <w:abstractNum w:abstractNumId="117" w15:restartNumberingAfterBreak="0">
    <w:nsid w:val="78714D00"/>
    <w:multiLevelType w:val="multilevel"/>
    <w:tmpl w:val="67C69D98"/>
    <w:lvl w:ilvl="0">
      <w:start w:val="18"/>
      <w:numFmt w:val="decimal"/>
      <w:lvlText w:val="%1"/>
      <w:lvlJc w:val="left"/>
      <w:pPr>
        <w:ind w:left="112" w:hanging="672"/>
      </w:pPr>
    </w:lvl>
    <w:lvl w:ilvl="1">
      <w:start w:val="4"/>
      <w:numFmt w:val="decimal"/>
      <w:lvlText w:val="%1.%2"/>
      <w:lvlJc w:val="left"/>
      <w:pPr>
        <w:ind w:left="112" w:hanging="672"/>
      </w:pPr>
    </w:lvl>
    <w:lvl w:ilvl="2">
      <w:start w:val="1"/>
      <w:numFmt w:val="decimal"/>
      <w:lvlText w:val="%1.%2.%3"/>
      <w:lvlJc w:val="left"/>
      <w:pPr>
        <w:ind w:left="112" w:hanging="672"/>
      </w:pPr>
      <w:rPr>
        <w:rFonts w:ascii="Arial" w:eastAsia="Arial" w:hAnsi="Arial" w:cs="Arial"/>
        <w:b w:val="0"/>
        <w:bCs w:val="0"/>
        <w:sz w:val="22"/>
        <w:szCs w:val="22"/>
      </w:rPr>
    </w:lvl>
    <w:lvl w:ilvl="3">
      <w:numFmt w:val="bullet"/>
      <w:lvlText w:val="●"/>
      <w:lvlJc w:val="left"/>
      <w:pPr>
        <w:ind w:left="832" w:hanging="360"/>
      </w:pPr>
      <w:rPr>
        <w:rFonts w:ascii="Noto Sans Symbols" w:eastAsia="Noto Sans Symbols" w:hAnsi="Noto Sans Symbols" w:cs="Noto Sans Symbols"/>
        <w:b w:val="0"/>
        <w:bCs w:val="0"/>
        <w:sz w:val="22"/>
        <w:szCs w:val="22"/>
      </w:rPr>
    </w:lvl>
    <w:lvl w:ilvl="4">
      <w:numFmt w:val="bullet"/>
      <w:lvlText w:val="•"/>
      <w:lvlJc w:val="left"/>
      <w:pPr>
        <w:ind w:left="2072" w:hanging="360"/>
      </w:pPr>
    </w:lvl>
    <w:lvl w:ilvl="5">
      <w:numFmt w:val="bullet"/>
      <w:lvlText w:val="•"/>
      <w:lvlJc w:val="left"/>
      <w:pPr>
        <w:ind w:left="3304" w:hanging="360"/>
      </w:pPr>
    </w:lvl>
    <w:lvl w:ilvl="6">
      <w:numFmt w:val="bullet"/>
      <w:lvlText w:val="•"/>
      <w:lvlJc w:val="left"/>
      <w:pPr>
        <w:ind w:left="4537" w:hanging="360"/>
      </w:pPr>
    </w:lvl>
    <w:lvl w:ilvl="7">
      <w:numFmt w:val="bullet"/>
      <w:lvlText w:val="•"/>
      <w:lvlJc w:val="left"/>
      <w:pPr>
        <w:ind w:left="5769" w:hanging="360"/>
      </w:pPr>
    </w:lvl>
    <w:lvl w:ilvl="8">
      <w:numFmt w:val="bullet"/>
      <w:lvlText w:val="•"/>
      <w:lvlJc w:val="left"/>
      <w:pPr>
        <w:ind w:left="7001" w:hanging="360"/>
      </w:pPr>
    </w:lvl>
  </w:abstractNum>
  <w:abstractNum w:abstractNumId="118" w15:restartNumberingAfterBreak="0">
    <w:nsid w:val="78900D7E"/>
    <w:multiLevelType w:val="multilevel"/>
    <w:tmpl w:val="829CFB2A"/>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517" w:hanging="1077"/>
      </w:pPr>
    </w:lvl>
    <w:lvl w:ilvl="3">
      <w:start w:val="1"/>
      <w:numFmt w:val="lowerLetter"/>
      <w:lvlText w:val="(%4)"/>
      <w:lvlJc w:val="left"/>
      <w:pPr>
        <w:ind w:left="3238" w:hanging="721"/>
      </w:pPr>
    </w:lvl>
    <w:lvl w:ilvl="4">
      <w:start w:val="1"/>
      <w:numFmt w:val="lowerRoman"/>
      <w:lvlText w:val="(%5)"/>
      <w:lvlJc w:val="left"/>
      <w:pPr>
        <w:ind w:left="3958" w:hanging="72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9" w15:restartNumberingAfterBreak="0">
    <w:nsid w:val="7A2D57C3"/>
    <w:multiLevelType w:val="multilevel"/>
    <w:tmpl w:val="2070EA56"/>
    <w:lvl w:ilvl="0">
      <w:start w:val="1"/>
      <w:numFmt w:val="lowerLetter"/>
      <w:lvlText w:val="(%1)"/>
      <w:lvlJc w:val="left"/>
      <w:pPr>
        <w:ind w:left="220" w:hanging="331"/>
      </w:pPr>
      <w:rPr>
        <w:rFonts w:ascii="Arial" w:eastAsia="Arial" w:hAnsi="Arial" w:cs="Arial"/>
        <w:b w:val="0"/>
        <w:bCs w:val="0"/>
        <w:sz w:val="22"/>
        <w:szCs w:val="22"/>
      </w:rPr>
    </w:lvl>
    <w:lvl w:ilvl="1">
      <w:numFmt w:val="bullet"/>
      <w:lvlText w:val="•"/>
      <w:lvlJc w:val="left"/>
      <w:pPr>
        <w:ind w:left="1144" w:hanging="330"/>
      </w:pPr>
    </w:lvl>
    <w:lvl w:ilvl="2">
      <w:numFmt w:val="bullet"/>
      <w:lvlText w:val="•"/>
      <w:lvlJc w:val="left"/>
      <w:pPr>
        <w:ind w:left="2069" w:hanging="331"/>
      </w:pPr>
    </w:lvl>
    <w:lvl w:ilvl="3">
      <w:numFmt w:val="bullet"/>
      <w:lvlText w:val="•"/>
      <w:lvlJc w:val="left"/>
      <w:pPr>
        <w:ind w:left="2993" w:hanging="331"/>
      </w:pPr>
    </w:lvl>
    <w:lvl w:ilvl="4">
      <w:numFmt w:val="bullet"/>
      <w:lvlText w:val="•"/>
      <w:lvlJc w:val="left"/>
      <w:pPr>
        <w:ind w:left="3918" w:hanging="331"/>
      </w:pPr>
    </w:lvl>
    <w:lvl w:ilvl="5">
      <w:numFmt w:val="bullet"/>
      <w:lvlText w:val="•"/>
      <w:lvlJc w:val="left"/>
      <w:pPr>
        <w:ind w:left="4843" w:hanging="331"/>
      </w:pPr>
    </w:lvl>
    <w:lvl w:ilvl="6">
      <w:numFmt w:val="bullet"/>
      <w:lvlText w:val="•"/>
      <w:lvlJc w:val="left"/>
      <w:pPr>
        <w:ind w:left="5767" w:hanging="331"/>
      </w:pPr>
    </w:lvl>
    <w:lvl w:ilvl="7">
      <w:numFmt w:val="bullet"/>
      <w:lvlText w:val="•"/>
      <w:lvlJc w:val="left"/>
      <w:pPr>
        <w:ind w:left="6692" w:hanging="331"/>
      </w:pPr>
    </w:lvl>
    <w:lvl w:ilvl="8">
      <w:numFmt w:val="bullet"/>
      <w:lvlText w:val="•"/>
      <w:lvlJc w:val="left"/>
      <w:pPr>
        <w:ind w:left="7617" w:hanging="331"/>
      </w:pPr>
    </w:lvl>
  </w:abstractNum>
  <w:abstractNum w:abstractNumId="120" w15:restartNumberingAfterBreak="0">
    <w:nsid w:val="7D520013"/>
    <w:multiLevelType w:val="multilevel"/>
    <w:tmpl w:val="2FBE145E"/>
    <w:lvl w:ilvl="0">
      <w:start w:val="1"/>
      <w:numFmt w:val="lowerRoman"/>
      <w:lvlText w:val="(%1)"/>
      <w:lvlJc w:val="left"/>
      <w:pPr>
        <w:ind w:left="3240" w:hanging="360"/>
      </w:pPr>
      <w:rPr>
        <w:rFonts w:ascii="Arial" w:eastAsia="Arial" w:hAnsi="Arial" w:cs="Arial"/>
        <w:sz w:val="20"/>
        <w:szCs w:val="20"/>
      </w:rPr>
    </w:lvl>
    <w:lvl w:ilvl="1">
      <w:start w:val="1"/>
      <w:numFmt w:val="bullet"/>
      <w:lvlText w:val="●"/>
      <w:lvlJc w:val="left"/>
      <w:pPr>
        <w:ind w:left="3960" w:hanging="360"/>
      </w:pPr>
      <w:rPr>
        <w:rFonts w:ascii="Noto Sans Symbols" w:eastAsia="Noto Sans Symbols" w:hAnsi="Noto Sans Symbols" w:cs="Noto Sans Symbols"/>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21" w15:restartNumberingAfterBreak="0">
    <w:nsid w:val="7DC94D59"/>
    <w:multiLevelType w:val="multilevel"/>
    <w:tmpl w:val="2CC6FF7A"/>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eastAsia="Arial" w:hAnsi="Arial" w:cs="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22" w15:restartNumberingAfterBreak="0">
    <w:nsid w:val="7E9E4A7B"/>
    <w:multiLevelType w:val="multilevel"/>
    <w:tmpl w:val="2B829392"/>
    <w:lvl w:ilvl="0">
      <w:start w:val="1"/>
      <w:numFmt w:val="decimal"/>
      <w:lvlText w:val="%1"/>
      <w:lvlJc w:val="left"/>
      <w:pPr>
        <w:ind w:left="3101" w:hanging="1080"/>
      </w:pPr>
    </w:lvl>
    <w:lvl w:ilvl="1">
      <w:start w:val="4"/>
      <w:numFmt w:val="decimal"/>
      <w:lvlText w:val="%1.%2"/>
      <w:lvlJc w:val="left"/>
      <w:pPr>
        <w:ind w:left="3101" w:hanging="1080"/>
      </w:pPr>
    </w:lvl>
    <w:lvl w:ilvl="2">
      <w:start w:val="3"/>
      <w:numFmt w:val="decimal"/>
      <w:lvlText w:val="%1.%2.%3"/>
      <w:lvlJc w:val="left"/>
      <w:pPr>
        <w:ind w:left="3101" w:hanging="1080"/>
      </w:pPr>
    </w:lvl>
    <w:lvl w:ilvl="3">
      <w:start w:val="1"/>
      <w:numFmt w:val="decimal"/>
      <w:lvlText w:val="%1.%2.%3.%4"/>
      <w:lvlJc w:val="left"/>
      <w:pPr>
        <w:ind w:left="3101" w:hanging="1080"/>
      </w:pPr>
      <w:rPr>
        <w:rFonts w:ascii="Arial" w:eastAsia="Arial" w:hAnsi="Arial" w:cs="Arial"/>
        <w:b w:val="0"/>
        <w:bCs w:val="0"/>
        <w:sz w:val="22"/>
        <w:szCs w:val="22"/>
      </w:rPr>
    </w:lvl>
    <w:lvl w:ilvl="4">
      <w:numFmt w:val="bullet"/>
      <w:lvlText w:val="•"/>
      <w:lvlJc w:val="left"/>
      <w:pPr>
        <w:ind w:left="5646" w:hanging="1081"/>
      </w:pPr>
    </w:lvl>
    <w:lvl w:ilvl="5">
      <w:numFmt w:val="bullet"/>
      <w:lvlText w:val="•"/>
      <w:lvlJc w:val="left"/>
      <w:pPr>
        <w:ind w:left="6283" w:hanging="1081"/>
      </w:pPr>
    </w:lvl>
    <w:lvl w:ilvl="6">
      <w:numFmt w:val="bullet"/>
      <w:lvlText w:val="•"/>
      <w:lvlJc w:val="left"/>
      <w:pPr>
        <w:ind w:left="6919" w:hanging="1081"/>
      </w:pPr>
    </w:lvl>
    <w:lvl w:ilvl="7">
      <w:numFmt w:val="bullet"/>
      <w:lvlText w:val="•"/>
      <w:lvlJc w:val="left"/>
      <w:pPr>
        <w:ind w:left="7556" w:hanging="1081"/>
      </w:pPr>
    </w:lvl>
    <w:lvl w:ilvl="8">
      <w:numFmt w:val="bullet"/>
      <w:lvlText w:val="•"/>
      <w:lvlJc w:val="left"/>
      <w:pPr>
        <w:ind w:left="8193" w:hanging="1081"/>
      </w:pPr>
    </w:lvl>
  </w:abstractNum>
  <w:abstractNum w:abstractNumId="123" w15:restartNumberingAfterBreak="0">
    <w:nsid w:val="7FD904B3"/>
    <w:multiLevelType w:val="multilevel"/>
    <w:tmpl w:val="CBD08BBC"/>
    <w:lvl w:ilvl="0">
      <w:start w:val="2"/>
      <w:numFmt w:val="decimal"/>
      <w:lvlText w:val="%1."/>
      <w:lvlJc w:val="left"/>
      <w:pPr>
        <w:ind w:left="360" w:hanging="360"/>
      </w:pPr>
      <w:rPr>
        <w:b w:val="0"/>
        <w:bCs w:val="0"/>
        <w:i w:val="0"/>
        <w:iCs w:val="0"/>
        <w:smallCaps w:val="0"/>
        <w:strike w:val="0"/>
        <w:color w:val="000000"/>
        <w:u w:val="none"/>
        <w:vertAlign w:val="baseline"/>
      </w:rPr>
    </w:lvl>
    <w:lvl w:ilvl="1">
      <w:start w:val="1"/>
      <w:numFmt w:val="decimal"/>
      <w:lvlText w:val="%1.%2"/>
      <w:lvlJc w:val="left"/>
      <w:pPr>
        <w:ind w:left="1353" w:hanging="359"/>
      </w:pPr>
      <w:rPr>
        <w:b w:val="0"/>
        <w:bCs w:val="0"/>
        <w:i w:val="0"/>
        <w:iCs w:val="0"/>
        <w:smallCaps w:val="0"/>
        <w:strike w:val="0"/>
        <w:color w:val="000000"/>
        <w:u w:val="none"/>
        <w:vertAlign w:val="baseline"/>
      </w:rPr>
    </w:lvl>
    <w:lvl w:ilvl="2">
      <w:start w:val="1"/>
      <w:numFmt w:val="decimal"/>
      <w:lvlText w:val="%1.%2.%3"/>
      <w:lvlJc w:val="left"/>
      <w:pPr>
        <w:ind w:left="1713" w:hanging="719"/>
      </w:pPr>
      <w:rPr>
        <w:b w:val="0"/>
        <w:bCs w:val="0"/>
        <w:i w:val="0"/>
        <w:iCs w:val="0"/>
        <w:smallCaps w:val="0"/>
        <w:strike w:val="0"/>
        <w:color w:val="000000"/>
        <w:u w:val="none"/>
        <w:vertAlign w:val="baseline"/>
      </w:rPr>
    </w:lvl>
    <w:lvl w:ilvl="3">
      <w:start w:val="1"/>
      <w:numFmt w:val="lowerLetter"/>
      <w:lvlText w:val="(%4)"/>
      <w:lvlJc w:val="left"/>
      <w:pPr>
        <w:ind w:left="1080" w:hanging="720"/>
      </w:pPr>
      <w:rPr>
        <w:b w:val="0"/>
        <w:bCs w:val="0"/>
        <w:i w:val="0"/>
        <w:iCs w:val="0"/>
        <w:smallCaps w:val="0"/>
        <w:strike w:val="0"/>
        <w:color w:val="000000"/>
        <w:u w:val="none"/>
        <w:vertAlign w:val="baseline"/>
      </w:rPr>
    </w:lvl>
    <w:lvl w:ilvl="4">
      <w:start w:val="1"/>
      <w:numFmt w:val="lowerRoman"/>
      <w:lvlText w:val="(%5)"/>
      <w:lvlJc w:val="left"/>
      <w:pPr>
        <w:ind w:left="3916"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color w:val="000000"/>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4" w15:restartNumberingAfterBreak="0">
    <w:nsid w:val="7FEA181A"/>
    <w:multiLevelType w:val="multilevel"/>
    <w:tmpl w:val="B2B0963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upperLetter"/>
      <w:lvlText w:val="(%6)"/>
      <w:lvlJc w:val="left"/>
      <w:pPr>
        <w:ind w:left="324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num w:numId="1">
    <w:abstractNumId w:val="19"/>
  </w:num>
  <w:num w:numId="2">
    <w:abstractNumId w:val="116"/>
  </w:num>
  <w:num w:numId="3">
    <w:abstractNumId w:val="89"/>
  </w:num>
  <w:num w:numId="4">
    <w:abstractNumId w:val="65"/>
  </w:num>
  <w:num w:numId="5">
    <w:abstractNumId w:val="50"/>
  </w:num>
  <w:num w:numId="6">
    <w:abstractNumId w:val="26"/>
  </w:num>
  <w:num w:numId="7">
    <w:abstractNumId w:val="32"/>
  </w:num>
  <w:num w:numId="8">
    <w:abstractNumId w:val="118"/>
  </w:num>
  <w:num w:numId="9">
    <w:abstractNumId w:val="23"/>
  </w:num>
  <w:num w:numId="10">
    <w:abstractNumId w:val="60"/>
  </w:num>
  <w:num w:numId="11">
    <w:abstractNumId w:val="82"/>
  </w:num>
  <w:num w:numId="12">
    <w:abstractNumId w:val="17"/>
  </w:num>
  <w:num w:numId="13">
    <w:abstractNumId w:val="91"/>
  </w:num>
  <w:num w:numId="14">
    <w:abstractNumId w:val="63"/>
  </w:num>
  <w:num w:numId="15">
    <w:abstractNumId w:val="27"/>
  </w:num>
  <w:num w:numId="16">
    <w:abstractNumId w:val="52"/>
  </w:num>
  <w:num w:numId="17">
    <w:abstractNumId w:val="30"/>
  </w:num>
  <w:num w:numId="18">
    <w:abstractNumId w:val="69"/>
  </w:num>
  <w:num w:numId="19">
    <w:abstractNumId w:val="49"/>
  </w:num>
  <w:num w:numId="20">
    <w:abstractNumId w:val="90"/>
  </w:num>
  <w:num w:numId="21">
    <w:abstractNumId w:val="11"/>
  </w:num>
  <w:num w:numId="22">
    <w:abstractNumId w:val="34"/>
  </w:num>
  <w:num w:numId="23">
    <w:abstractNumId w:val="46"/>
  </w:num>
  <w:num w:numId="24">
    <w:abstractNumId w:val="40"/>
  </w:num>
  <w:num w:numId="25">
    <w:abstractNumId w:val="113"/>
  </w:num>
  <w:num w:numId="26">
    <w:abstractNumId w:val="70"/>
  </w:num>
  <w:num w:numId="27">
    <w:abstractNumId w:val="10"/>
  </w:num>
  <w:num w:numId="28">
    <w:abstractNumId w:val="77"/>
  </w:num>
  <w:num w:numId="29">
    <w:abstractNumId w:val="37"/>
  </w:num>
  <w:num w:numId="30">
    <w:abstractNumId w:val="86"/>
  </w:num>
  <w:num w:numId="31">
    <w:abstractNumId w:val="87"/>
  </w:num>
  <w:num w:numId="32">
    <w:abstractNumId w:val="67"/>
  </w:num>
  <w:num w:numId="33">
    <w:abstractNumId w:val="28"/>
  </w:num>
  <w:num w:numId="34">
    <w:abstractNumId w:val="25"/>
  </w:num>
  <w:num w:numId="35">
    <w:abstractNumId w:val="96"/>
  </w:num>
  <w:num w:numId="36">
    <w:abstractNumId w:val="98"/>
  </w:num>
  <w:num w:numId="37">
    <w:abstractNumId w:val="61"/>
  </w:num>
  <w:num w:numId="38">
    <w:abstractNumId w:val="48"/>
  </w:num>
  <w:num w:numId="39">
    <w:abstractNumId w:val="6"/>
  </w:num>
  <w:num w:numId="40">
    <w:abstractNumId w:val="42"/>
  </w:num>
  <w:num w:numId="41">
    <w:abstractNumId w:val="38"/>
  </w:num>
  <w:num w:numId="42">
    <w:abstractNumId w:val="29"/>
  </w:num>
  <w:num w:numId="43">
    <w:abstractNumId w:val="95"/>
  </w:num>
  <w:num w:numId="44">
    <w:abstractNumId w:val="56"/>
  </w:num>
  <w:num w:numId="45">
    <w:abstractNumId w:val="108"/>
  </w:num>
  <w:num w:numId="46">
    <w:abstractNumId w:val="78"/>
  </w:num>
  <w:num w:numId="47">
    <w:abstractNumId w:val="0"/>
  </w:num>
  <w:num w:numId="48">
    <w:abstractNumId w:val="119"/>
  </w:num>
  <w:num w:numId="49">
    <w:abstractNumId w:val="68"/>
  </w:num>
  <w:num w:numId="50">
    <w:abstractNumId w:val="43"/>
  </w:num>
  <w:num w:numId="51">
    <w:abstractNumId w:val="22"/>
  </w:num>
  <w:num w:numId="52">
    <w:abstractNumId w:val="117"/>
  </w:num>
  <w:num w:numId="53">
    <w:abstractNumId w:val="53"/>
  </w:num>
  <w:num w:numId="54">
    <w:abstractNumId w:val="24"/>
  </w:num>
  <w:num w:numId="55">
    <w:abstractNumId w:val="107"/>
  </w:num>
  <w:num w:numId="56">
    <w:abstractNumId w:val="51"/>
  </w:num>
  <w:num w:numId="57">
    <w:abstractNumId w:val="57"/>
  </w:num>
  <w:num w:numId="58">
    <w:abstractNumId w:val="81"/>
  </w:num>
  <w:num w:numId="59">
    <w:abstractNumId w:val="101"/>
  </w:num>
  <w:num w:numId="60">
    <w:abstractNumId w:val="102"/>
  </w:num>
  <w:num w:numId="61">
    <w:abstractNumId w:val="112"/>
  </w:num>
  <w:num w:numId="62">
    <w:abstractNumId w:val="62"/>
  </w:num>
  <w:num w:numId="63">
    <w:abstractNumId w:val="55"/>
  </w:num>
  <w:num w:numId="64">
    <w:abstractNumId w:val="120"/>
  </w:num>
  <w:num w:numId="65">
    <w:abstractNumId w:val="104"/>
  </w:num>
  <w:num w:numId="66">
    <w:abstractNumId w:val="59"/>
  </w:num>
  <w:num w:numId="67">
    <w:abstractNumId w:val="114"/>
  </w:num>
  <w:num w:numId="68">
    <w:abstractNumId w:val="123"/>
  </w:num>
  <w:num w:numId="69">
    <w:abstractNumId w:val="39"/>
  </w:num>
  <w:num w:numId="70">
    <w:abstractNumId w:val="80"/>
  </w:num>
  <w:num w:numId="71">
    <w:abstractNumId w:val="73"/>
  </w:num>
  <w:num w:numId="72">
    <w:abstractNumId w:val="1"/>
  </w:num>
  <w:num w:numId="73">
    <w:abstractNumId w:val="79"/>
  </w:num>
  <w:num w:numId="74">
    <w:abstractNumId w:val="31"/>
  </w:num>
  <w:num w:numId="75">
    <w:abstractNumId w:val="75"/>
  </w:num>
  <w:num w:numId="76">
    <w:abstractNumId w:val="33"/>
  </w:num>
  <w:num w:numId="77">
    <w:abstractNumId w:val="92"/>
  </w:num>
  <w:num w:numId="78">
    <w:abstractNumId w:val="36"/>
  </w:num>
  <w:num w:numId="79">
    <w:abstractNumId w:val="21"/>
  </w:num>
  <w:num w:numId="80">
    <w:abstractNumId w:val="8"/>
  </w:num>
  <w:num w:numId="81">
    <w:abstractNumId w:val="83"/>
  </w:num>
  <w:num w:numId="82">
    <w:abstractNumId w:val="64"/>
  </w:num>
  <w:num w:numId="83">
    <w:abstractNumId w:val="121"/>
  </w:num>
  <w:num w:numId="84">
    <w:abstractNumId w:val="74"/>
  </w:num>
  <w:num w:numId="85">
    <w:abstractNumId w:val="85"/>
  </w:num>
  <w:num w:numId="86">
    <w:abstractNumId w:val="122"/>
  </w:num>
  <w:num w:numId="87">
    <w:abstractNumId w:val="111"/>
  </w:num>
  <w:num w:numId="88">
    <w:abstractNumId w:val="124"/>
  </w:num>
  <w:num w:numId="89">
    <w:abstractNumId w:val="103"/>
  </w:num>
  <w:num w:numId="90">
    <w:abstractNumId w:val="115"/>
  </w:num>
  <w:num w:numId="91">
    <w:abstractNumId w:val="88"/>
  </w:num>
  <w:num w:numId="92">
    <w:abstractNumId w:val="84"/>
  </w:num>
  <w:num w:numId="93">
    <w:abstractNumId w:val="76"/>
  </w:num>
  <w:num w:numId="94">
    <w:abstractNumId w:val="3"/>
  </w:num>
  <w:num w:numId="95">
    <w:abstractNumId w:val="94"/>
  </w:num>
  <w:num w:numId="96">
    <w:abstractNumId w:val="15"/>
  </w:num>
  <w:num w:numId="97">
    <w:abstractNumId w:val="5"/>
  </w:num>
  <w:num w:numId="98">
    <w:abstractNumId w:val="20"/>
  </w:num>
  <w:num w:numId="99">
    <w:abstractNumId w:val="93"/>
  </w:num>
  <w:num w:numId="100">
    <w:abstractNumId w:val="16"/>
  </w:num>
  <w:num w:numId="101">
    <w:abstractNumId w:val="45"/>
  </w:num>
  <w:num w:numId="102">
    <w:abstractNumId w:val="7"/>
  </w:num>
  <w:num w:numId="103">
    <w:abstractNumId w:val="71"/>
  </w:num>
  <w:num w:numId="104">
    <w:abstractNumId w:val="110"/>
  </w:num>
  <w:num w:numId="105">
    <w:abstractNumId w:val="54"/>
  </w:num>
  <w:num w:numId="106">
    <w:abstractNumId w:val="12"/>
  </w:num>
  <w:num w:numId="107">
    <w:abstractNumId w:val="14"/>
  </w:num>
  <w:num w:numId="108">
    <w:abstractNumId w:val="97"/>
  </w:num>
  <w:num w:numId="109">
    <w:abstractNumId w:val="99"/>
  </w:num>
  <w:num w:numId="110">
    <w:abstractNumId w:val="4"/>
  </w:num>
  <w:num w:numId="111">
    <w:abstractNumId w:val="105"/>
  </w:num>
  <w:num w:numId="112">
    <w:abstractNumId w:val="47"/>
  </w:num>
  <w:num w:numId="113">
    <w:abstractNumId w:val="9"/>
  </w:num>
  <w:num w:numId="114">
    <w:abstractNumId w:val="66"/>
  </w:num>
  <w:num w:numId="115">
    <w:abstractNumId w:val="72"/>
  </w:num>
  <w:num w:numId="116">
    <w:abstractNumId w:val="18"/>
  </w:num>
  <w:num w:numId="117">
    <w:abstractNumId w:val="44"/>
  </w:num>
  <w:num w:numId="118">
    <w:abstractNumId w:val="41"/>
  </w:num>
  <w:num w:numId="119">
    <w:abstractNumId w:val="2"/>
  </w:num>
  <w:num w:numId="120">
    <w:abstractNumId w:val="100"/>
  </w:num>
  <w:num w:numId="121">
    <w:abstractNumId w:val="109"/>
  </w:num>
  <w:num w:numId="122">
    <w:abstractNumId w:val="106"/>
  </w:num>
  <w:num w:numId="123">
    <w:abstractNumId w:val="13"/>
  </w:num>
  <w:num w:numId="124">
    <w:abstractNumId w:val="58"/>
  </w:num>
  <w:num w:numId="125">
    <w:abstractNumId w:val="35"/>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A8"/>
    <w:rsid w:val="00371BA0"/>
    <w:rsid w:val="007960A8"/>
    <w:rsid w:val="00A26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4FC"/>
  <w15:docId w15:val="{FCD2060D-AD7A-432F-A830-9813BA9E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20"/>
      <w:outlineLvl w:val="0"/>
    </w:pPr>
    <w:rPr>
      <w:b/>
      <w:bCs/>
    </w:rPr>
  </w:style>
  <w:style w:type="paragraph" w:styleId="Heading2">
    <w:name w:val="heading 2"/>
    <w:basedOn w:val="Normal"/>
    <w:next w:val="Normal"/>
    <w:uiPriority w:val="9"/>
    <w:unhideWhenUsed/>
    <w:qFormat/>
    <w:pPr>
      <w:keepNext/>
      <w:keepLines/>
      <w:widowControl/>
      <w:spacing w:after="240"/>
      <w:jc w:val="both"/>
      <w:outlineLvl w:val="1"/>
    </w:pPr>
    <w:rPr>
      <w:rFonts w:ascii="Trebuchet MS" w:eastAsia="Trebuchet MS" w:hAnsi="Trebuchet MS" w:cs="Trebuchet MS"/>
      <w:b/>
      <w:bCs/>
      <w:color w:val="000000"/>
      <w:sz w:val="24"/>
      <w:szCs w:val="24"/>
    </w:rPr>
  </w:style>
  <w:style w:type="paragraph" w:styleId="Heading3">
    <w:name w:val="heading 3"/>
    <w:basedOn w:val="Normal"/>
    <w:next w:val="Normal"/>
    <w:uiPriority w:val="9"/>
    <w:unhideWhenUsed/>
    <w:qFormat/>
    <w:pPr>
      <w:keepLines/>
      <w:widowControl/>
      <w:spacing w:after="240"/>
      <w:jc w:val="both"/>
      <w:outlineLvl w:val="2"/>
    </w:pPr>
    <w:rPr>
      <w:rFonts w:ascii="Trebuchet MS" w:eastAsia="Trebuchet MS" w:hAnsi="Trebuchet MS" w:cs="Trebuchet MS"/>
      <w:color w:val="000000"/>
      <w:sz w:val="24"/>
      <w:szCs w:val="24"/>
    </w:rPr>
  </w:style>
  <w:style w:type="paragraph" w:styleId="Heading4">
    <w:name w:val="heading 4"/>
    <w:basedOn w:val="Normal"/>
    <w:next w:val="Normal"/>
    <w:uiPriority w:val="9"/>
    <w:unhideWhenUsed/>
    <w:qFormat/>
    <w:pPr>
      <w:keepNext/>
      <w:keepLines/>
      <w:spacing w:before="40"/>
      <w:outlineLvl w:val="3"/>
    </w:pPr>
    <w:rPr>
      <w:rFonts w:ascii="Calibri" w:eastAsia="Calibri" w:hAnsi="Calibri" w:cs="Calibri"/>
      <w:i/>
      <w:iCs/>
      <w:color w:val="2E75B5"/>
    </w:rPr>
  </w:style>
  <w:style w:type="paragraph" w:styleId="Heading5">
    <w:name w:val="heading 5"/>
    <w:basedOn w:val="Normal"/>
    <w:next w:val="Normal"/>
    <w:uiPriority w:val="9"/>
    <w:unhideWhenUsed/>
    <w:qFormat/>
    <w:pPr>
      <w:keepLines/>
      <w:widowControl/>
      <w:spacing w:after="240"/>
      <w:jc w:val="both"/>
      <w:outlineLvl w:val="4"/>
    </w:pPr>
    <w:rPr>
      <w:rFonts w:ascii="Trebuchet MS" w:eastAsia="Trebuchet MS" w:hAnsi="Trebuchet MS" w:cs="Trebuchet MS"/>
      <w:color w:val="000000"/>
      <w:sz w:val="24"/>
      <w:szCs w:val="24"/>
    </w:rPr>
  </w:style>
  <w:style w:type="paragraph" w:styleId="Heading6">
    <w:name w:val="heading 6"/>
    <w:basedOn w:val="Normal"/>
    <w:next w:val="Normal"/>
    <w:uiPriority w:val="9"/>
    <w:semiHidden/>
    <w:unhideWhenUsed/>
    <w:qFormat/>
    <w:pPr>
      <w:widowControl/>
      <w:spacing w:after="240" w:line="360" w:lineRule="auto"/>
      <w:jc w:val="both"/>
      <w:outlineLvl w:val="5"/>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spacing w:before="240" w:after="60" w:line="360" w:lineRule="auto"/>
      <w:jc w:val="center"/>
    </w:pPr>
    <w:rPr>
      <w:b/>
      <w:bCs/>
      <w:color w:val="000000"/>
      <w:sz w:val="32"/>
      <w:szCs w:val="32"/>
    </w:rPr>
  </w:style>
  <w:style w:type="paragraph" w:styleId="Subtitle">
    <w:name w:val="Subtitle"/>
    <w:basedOn w:val="Normal"/>
    <w:next w:val="Normal"/>
    <w:uiPriority w:val="11"/>
    <w:qFormat/>
    <w:pPr>
      <w:keepNext/>
      <w:keepLines/>
      <w:widowControl/>
      <w:spacing w:before="360" w:after="80"/>
      <w:jc w:val="both"/>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sc.gov.uk/cyberessentials/overview" TargetMode="Externa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eader" Target="header12.xml"/><Relationship Id="rId21" Type="http://schemas.openxmlformats.org/officeDocument/2006/relationships/footer" Target="footer4.xml"/><Relationship Id="rId34" Type="http://schemas.openxmlformats.org/officeDocument/2006/relationships/image" Target="media/image2.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determinations-of-the-uk-ets-carbon-price" TargetMode="External"/><Relationship Id="rId20" Type="http://schemas.openxmlformats.org/officeDocument/2006/relationships/footer" Target="footer3.xml"/><Relationship Id="rId29" Type="http://schemas.openxmlformats.org/officeDocument/2006/relationships/header" Target="head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830150/September_2019_Modern_Slavery_Guidance.pdf" TargetMode="Externa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odernslaveryhelpline.org/"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0.xml"/><Relationship Id="rId8"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protect-eu.mimecast.com/s/NShMCNxBzcXyxEVcmva1a?domain=gov.uk" TargetMode="External"/><Relationship Id="rId17" Type="http://schemas.openxmlformats.org/officeDocument/2006/relationships/hyperlink" Target="https://www.gov.uk/government/publications/determinations-of-the-uk-ets-carbon-price"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footer" Target="footer1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B9KhgFVfd1FwQ81g/wnD5/JI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zIOaC5ka3J3bnhxdTg4OXoyDmgub2g0cjd2dzVlZ3l0Mg5oLmNrYzN3eHE1ODhvcjIOaC40NW95dzc4eGx5a2syDmguN296cTZqMWM1ajE2Mg5oLnh5ZnF3a2F4ZWtybzIOaC5pMDczcnlkbGY2MTkyDmgucHRoMzAzbHpyczdjMg5oLjcyN2d0cXYwZWIyaDINaC44M3YwdnN1cTl0bzIOaC4yNmY3cnAzdmNibXcyDmgub2RlcHU1bnB4NTN4Mg5oLnFqaHdlMjJidnNkajIOaC5peTh2ZzZrM2w1NjAyDmgueTNvd3d5NWZseDAxMg5oLmY5NG1qMGFsNzZubzIIaC5namRneHMyCmlkLjFmb2I5dGUyCWguMzBqMHpsbD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88321</Words>
  <Characters>503432</Characters>
  <Application>Microsoft Office Word</Application>
  <DocSecurity>0</DocSecurity>
  <Lines>4195</Lines>
  <Paragraphs>1181</Paragraphs>
  <ScaleCrop>false</ScaleCrop>
  <Company/>
  <LinksUpToDate>false</LinksUpToDate>
  <CharactersWithSpaces>590572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Box</dc:creator>
  <cp:lastModifiedBy>Mark Box</cp:lastModifiedBy>
  <cp:revision>2</cp:revision>
  <dcterms:created xsi:type="dcterms:W3CDTF">2026-08-17T08:36:00Z</dcterms:created>
  <dcterms:modified xsi:type="dcterms:W3CDTF">2026-08-17T08:36:00Z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78068432v1</vt:lpwstr>
  </property>
  <property fmtid="{D5CDD505-2E9C-101B-9397-08002B2CF9AE}" pid="3" name="CUS_DocIDChunk0">
    <vt:lpwstr>CUS_DocIDChunk0</vt:lpwstr>
  </property>
</Properties>
</file>