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120" w:lineRule="auto"/>
        <w:rPr>
          <w:b w:val="1"/>
          <w:bCs w:val="1"/>
          <w:sz w:val="36"/>
          <w:szCs w:val="36"/>
        </w:rPr>
      </w:pPr>
      <w:r w:rsidDel="00000000" w:rsidR="00000000" w:rsidRPr="00000000">
        <w:rPr>
          <w:b w:val="1"/>
          <w:bCs w:val="1"/>
          <w:sz w:val="36"/>
          <w:szCs w:val="36"/>
          <w:rtl w:val="0"/>
        </w:rPr>
        <w:t xml:space="preserve">Call-Off Schedule 17 (MOD Terms) </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spacing w:after="120" w:before="120" w:lineRule="auto"/>
        <w:rPr>
          <w:b w:val="1"/>
          <w:bCs w:val="1"/>
          <w:smallCaps w:val="1"/>
        </w:rPr>
      </w:pPr>
      <w:bookmarkStart w:colFirst="0" w:colLast="0" w:name="_heading=h.hu5qlicnwcyx" w:id="0"/>
      <w:bookmarkEnd w:id="0"/>
      <w:r w:rsidDel="00000000" w:rsidR="00000000" w:rsidRPr="00000000">
        <w:rPr>
          <w:rtl w:val="0"/>
        </w:rPr>
      </w:r>
    </w:p>
    <w:p w:rsidR="00000000" w:rsidDel="00000000" w:rsidP="00000000" w:rsidRDefault="00000000" w:rsidRPr="00000000" w14:paraId="00000003">
      <w:pPr>
        <w:keepNext w:val="1"/>
        <w:numPr>
          <w:ilvl w:val="0"/>
          <w:numId w:val="1"/>
        </w:numPr>
        <w:pBdr>
          <w:top w:space="0" w:sz="0" w:val="nil"/>
          <w:left w:space="0" w:sz="0" w:val="nil"/>
          <w:bottom w:space="0" w:sz="0" w:val="nil"/>
          <w:right w:space="0" w:sz="0" w:val="nil"/>
          <w:between w:space="0" w:sz="0" w:val="nil"/>
        </w:pBdr>
        <w:spacing w:after="120" w:before="120" w:lineRule="auto"/>
        <w:ind w:left="426" w:hanging="426"/>
        <w:rPr>
          <w:b w:val="1"/>
          <w:bCs w:val="1"/>
          <w:smallCaps w:val="1"/>
        </w:rPr>
      </w:pPr>
      <w:r w:rsidDel="00000000" w:rsidR="00000000" w:rsidRPr="00000000">
        <w:rPr>
          <w:b w:val="1"/>
          <w:bCs w:val="1"/>
          <w:smallCaps w:val="1"/>
          <w:rtl w:val="0"/>
        </w:rPr>
        <w:t xml:space="preserve">D</w:t>
      </w:r>
      <w:r w:rsidDel="00000000" w:rsidR="00000000" w:rsidRPr="00000000">
        <w:rPr>
          <w:rFonts w:ascii="Arial" w:cs="Arial" w:eastAsia="Arial" w:hAnsi="Arial"/>
          <w:b w:val="1"/>
          <w:bCs w:val="1"/>
          <w:rtl w:val="0"/>
        </w:rPr>
        <w:t xml:space="preserve">efinitions</w:t>
      </w:r>
      <w:r w:rsidDel="00000000" w:rsidR="00000000" w:rsidRPr="00000000">
        <w:rPr>
          <w:rtl w:val="0"/>
        </w:rPr>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1"/>
        <w:tblW w:w="8018.0" w:type="dxa"/>
        <w:jc w:val="left"/>
        <w:tblInd w:w="9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422"/>
        <w:gridCol w:w="4596"/>
        <w:tblGridChange w:id="0">
          <w:tblGrid>
            <w:gridCol w:w="3422"/>
            <w:gridCol w:w="4596"/>
          </w:tblGrid>
        </w:tblGridChange>
      </w:tblGrid>
      <w:tr>
        <w:trPr>
          <w:cantSplit w:val="0"/>
          <w:tblHeader w:val="0"/>
        </w:trPr>
        <w:tc>
          <w:tcPr/>
          <w:p w:rsidR="00000000" w:rsidDel="00000000" w:rsidP="00000000" w:rsidRDefault="00000000" w:rsidRPr="00000000" w14:paraId="00000005">
            <w:pPr>
              <w:spacing w:after="120" w:before="120" w:lineRule="auto"/>
              <w:rPr>
                <w:b w:val="1"/>
                <w:bCs w:val="1"/>
              </w:rPr>
            </w:pPr>
            <w:r w:rsidDel="00000000" w:rsidR="00000000" w:rsidRPr="00000000">
              <w:rPr>
                <w:b w:val="1"/>
                <w:bCs w:val="1"/>
                <w:rtl w:val="0"/>
              </w:rPr>
              <w:t xml:space="preserve">"MOD Terms and Conditions"</w:t>
            </w:r>
          </w:p>
        </w:tc>
        <w:tc>
          <w:tcPr/>
          <w:p w:rsidR="00000000" w:rsidDel="00000000" w:rsidP="00000000" w:rsidRDefault="00000000" w:rsidRPr="00000000" w14:paraId="00000006">
            <w:pPr>
              <w:spacing w:after="120" w:before="120" w:lineRule="auto"/>
              <w:rPr/>
            </w:pPr>
            <w:r w:rsidDel="00000000" w:rsidR="00000000" w:rsidRPr="00000000">
              <w:rPr>
                <w:rtl w:val="0"/>
              </w:rPr>
              <w:t xml:space="preserve">the terms and conditions listed in this Schedule;</w:t>
            </w:r>
          </w:p>
        </w:tc>
      </w:tr>
      <w:tr>
        <w:trPr>
          <w:cantSplit w:val="0"/>
          <w:tblHeader w:val="0"/>
        </w:trPr>
        <w:tc>
          <w:tcPr/>
          <w:p w:rsidR="00000000" w:rsidDel="00000000" w:rsidP="00000000" w:rsidRDefault="00000000" w:rsidRPr="00000000" w14:paraId="00000007">
            <w:pPr>
              <w:spacing w:after="120" w:before="120" w:lineRule="auto"/>
              <w:rPr>
                <w:b w:val="1"/>
                <w:bCs w:val="1"/>
              </w:rPr>
            </w:pPr>
            <w:r w:rsidDel="00000000" w:rsidR="00000000" w:rsidRPr="00000000">
              <w:rPr>
                <w:b w:val="1"/>
                <w:bCs w:val="1"/>
                <w:rtl w:val="0"/>
              </w:rPr>
              <w:t xml:space="preserve">"MOD Site"</w:t>
            </w:r>
          </w:p>
        </w:tc>
        <w:tc>
          <w:tcPr/>
          <w:p w:rsidR="00000000" w:rsidDel="00000000" w:rsidP="00000000" w:rsidRDefault="00000000" w:rsidRPr="00000000" w14:paraId="00000008">
            <w:pPr>
              <w:spacing w:after="120" w:before="120" w:lineRule="auto"/>
              <w:rPr/>
            </w:pPr>
            <w:r w:rsidDel="00000000" w:rsidR="00000000" w:rsidRPr="00000000">
              <w:rPr>
                <w:rtl w:val="0"/>
              </w:rPr>
              <w:t xml:space="preserve">shall include any of His Majesty's Ships or Vessels and Service Stations; and</w:t>
            </w:r>
          </w:p>
        </w:tc>
      </w:tr>
      <w:tr>
        <w:trPr>
          <w:cantSplit w:val="0"/>
          <w:tblHeader w:val="0"/>
        </w:trPr>
        <w:tc>
          <w:tcPr/>
          <w:p w:rsidR="00000000" w:rsidDel="00000000" w:rsidP="00000000" w:rsidRDefault="00000000" w:rsidRPr="00000000" w14:paraId="00000009">
            <w:pPr>
              <w:spacing w:after="120" w:before="120" w:lineRule="auto"/>
              <w:rPr>
                <w:b w:val="1"/>
                <w:bCs w:val="1"/>
              </w:rPr>
            </w:pPr>
            <w:r w:rsidDel="00000000" w:rsidR="00000000" w:rsidRPr="00000000">
              <w:rPr>
                <w:b w:val="1"/>
                <w:bCs w:val="1"/>
                <w:rtl w:val="0"/>
              </w:rPr>
              <w:t xml:space="preserve">"Officer in charge"</w:t>
            </w:r>
          </w:p>
        </w:tc>
        <w:tc>
          <w:tcPr/>
          <w:p w:rsidR="00000000" w:rsidDel="00000000" w:rsidP="00000000" w:rsidRDefault="00000000" w:rsidRPr="00000000" w14:paraId="0000000A">
            <w:pPr>
              <w:spacing w:after="120" w:before="120" w:lineRule="auto"/>
              <w:rPr>
                <w:b w:val="1"/>
                <w:bCs w:val="1"/>
              </w:rPr>
            </w:pPr>
            <w:r w:rsidDel="00000000" w:rsidR="00000000" w:rsidRPr="00000000">
              <w:rPr>
                <w:rtl w:val="0"/>
              </w:rPr>
              <w:t xml:space="preserve">shall include Officers Commanding Service Stations, Ships' Masters or Senior Officers, and Officers superintending Government Establishments.</w:t>
            </w:r>
            <w:r w:rsidDel="00000000" w:rsidR="00000000" w:rsidRPr="00000000">
              <w:rPr>
                <w:rtl w:val="0"/>
              </w:rPr>
            </w:r>
          </w:p>
        </w:tc>
      </w:tr>
    </w:tbl>
    <w:p w:rsidR="00000000" w:rsidDel="00000000" w:rsidP="00000000" w:rsidRDefault="00000000" w:rsidRPr="00000000" w14:paraId="0000000B">
      <w:pPr>
        <w:keepNext w:val="1"/>
        <w:numPr>
          <w:ilvl w:val="0"/>
          <w:numId w:val="1"/>
        </w:numPr>
        <w:pBdr>
          <w:top w:space="0" w:sz="0" w:val="nil"/>
          <w:left w:space="0" w:sz="0" w:val="nil"/>
          <w:bottom w:space="0" w:sz="0" w:val="nil"/>
          <w:right w:space="0" w:sz="0" w:val="nil"/>
          <w:between w:space="0" w:sz="0" w:val="nil"/>
        </w:pBdr>
        <w:spacing w:after="120" w:before="120" w:lineRule="auto"/>
        <w:ind w:left="426" w:hanging="426"/>
        <w:rPr>
          <w:rFonts w:ascii="Arial" w:cs="Arial" w:eastAsia="Arial" w:hAnsi="Arial"/>
          <w:b w:val="1"/>
          <w:bCs w:val="1"/>
        </w:rPr>
      </w:pPr>
      <w:r w:rsidDel="00000000" w:rsidR="00000000" w:rsidRPr="00000000">
        <w:rPr>
          <w:rFonts w:ascii="Arial" w:cs="Arial" w:eastAsia="Arial" w:hAnsi="Arial"/>
          <w:b w:val="1"/>
          <w:bCs w:val="1"/>
          <w:rtl w:val="0"/>
        </w:rPr>
        <w:t xml:space="preserve">Access to MOD sites</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The Buyer shall issue passes for those representatives of the Supplier who are approved for admission to the MOD Site and a representative shall not be admitted unless in possession of such a pass. Passes shall remain the property of the Buyer and shall be surrendered on demand or on completion of the supply of the Deliverables.</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The Supplier's representatives when employed within the boundaries of a MOD Site, shall comply with such rules, regulations and requirements (including those relating to security arrangements) as may be in force for the time being for the conduct of staff at that MOD Site.  When on board ship, compliance shall be with the Ship's Regulations as interpreted by the Officer in charge.  Details of such rules, regulations and requirements shall be provided, on request, by the Officer in charge.</w:t>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The Supplier shall be responsible for the living accommodation and maintenance of its representatives while they are employed at a MOD Site.  Sleeping accommodation and messing facilities, if required, may be provided by the Buyer wherever possible, at the discretion of the Officer in charge, at a cost fixed in accordance with current Ministry of Defence regulations.  At MOD Sites overseas, accommodation and messing facilities, if required, shall be provided wherever possible.  The status to be accorded to the Supplier's staff for messing purposes shall be at the discretion of the Officer in charge who shall, wherever possible give his decision before the commencement of the Contract where so asked by the Supplier.  When sleeping accommodation and messing facilities are not available, a certificate to this effect may be required by the Buyer and shall be obtained by the Supplier from the Officer in charge. Such certificate shall be presented to the Buyer with other evidence relating to the costs of the Contract.</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Where the Supplier's representatives are required by the Contract to join or visit a Site overseas, transport between the United Kingdom and the place of duty (but excluding transport within the United Kingdom) shall be provided for them free of charge by the Ministry of Defence whenever possible, normally by Royal Air Force or by MOD chartered aircraft.  The Supplier shall make such arrangements through the Technical Branch named for this purpose in the Buyer Contract Details.  When such transport is not available within a reasonable time, or in circumstances where the Supplier wishes its representatives to accompany material for installation which it is to arrange to be delivered, the Supplier shall make its own transport arrangements.  The Buyer shall reimburse the Supplier's reasonable costs for such transport of its representatives on presentation of evidence supporting the use of alternative transport and of the costs involved.  Transport of the Supplier's representatives locally overseas which is necessary for the purpose of the Contract shall be provided wherever possible by the Ministry of Defence, or by the Officer in charge and, where so provided, shall be free of charge.</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Out-patient medical treatment given to the Supplier's representatives by a Service Medical Officer or other Government Medical Officer at a Site overseas shall be free of charge.  Treatment in a Service hospital or medical centre, dental treatment, the provision of dentures or spectacles, conveyance to and from a hospital, medical centre or surgery not within the Site and transportation of the Supplier's representatives back to the United Kingdom, or elsewhere, for medical reasons, shall be charged to the Supplier at rates fixed in accordance with current Ministry of Defence regulations.</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Accidents to the Supplier's representatives which ordinarily require to be reported in accordance with Health and Safety at Work etc. Act 1974, shall be reported to the Officer in charge so that the Inspector of Factories may be informed.</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No assistance from public funds, and no messing facilities, accommodation or transport overseas shall be provided for dependants or members of the families of the Supplier's representatives.  Medical or necessary dental treatment may, however, be provided for dependants or members of families on repayment at current Ministry of Defence rates.</w:t>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pPr>
      <w:r w:rsidDel="00000000" w:rsidR="00000000" w:rsidRPr="00000000">
        <w:rPr>
          <w:rtl w:val="0"/>
        </w:rPr>
        <w:t xml:space="preserve">The Supplier shall, wherever possible, arrange for funds to be provided to its representatives overseas through normal banking channels (e.g. by travellers' cheques).  If banking or other suitable facilities are not available, the Buyer shall, upon request by the Supplier and subject to any limitation required by the Supplier, make arrangements for payments, converted at the prevailing rate of exchange (where applicable), to be made at the Site to which the Supplier's representatives are attached.  All such advances made by the Buyer shall be recovered from the Supplier.</w:t>
      </w:r>
    </w:p>
    <w:p w:rsidR="00000000" w:rsidDel="00000000" w:rsidP="00000000" w:rsidRDefault="00000000" w:rsidRPr="00000000" w14:paraId="00000014">
      <w:pPr>
        <w:pStyle w:val="Heading1"/>
        <w:numPr>
          <w:ilvl w:val="0"/>
          <w:numId w:val="1"/>
        </w:numPr>
        <w:spacing w:after="120" w:before="120" w:lineRule="auto"/>
        <w:ind w:left="432" w:hanging="432"/>
        <w:rPr>
          <w:rFonts w:ascii="Arial" w:cs="Arial" w:eastAsia="Arial" w:hAnsi="Arial"/>
        </w:rPr>
      </w:pPr>
      <w:r w:rsidDel="00000000" w:rsidR="00000000" w:rsidRPr="00000000">
        <w:rPr>
          <w:rFonts w:ascii="Arial" w:cs="Arial" w:eastAsia="Arial" w:hAnsi="Arial"/>
          <w:rtl w:val="0"/>
        </w:rPr>
        <w:t xml:space="preserve">DEFCONS and DEFFORMS</w:t>
      </w:r>
    </w:p>
    <w:p w:rsidR="00000000" w:rsidDel="00000000" w:rsidP="00000000" w:rsidRDefault="00000000" w:rsidRPr="00000000" w14:paraId="00000015">
      <w:pPr>
        <w:pStyle w:val="Heading2"/>
        <w:numPr>
          <w:ilvl w:val="1"/>
          <w:numId w:val="1"/>
        </w:numPr>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The DEFCONS and DEFORMS listed in Annex 1 to this Schedule are incorporated into the Contract.  </w:t>
      </w:r>
    </w:p>
    <w:p w:rsidR="00000000" w:rsidDel="00000000" w:rsidP="00000000" w:rsidRDefault="00000000" w:rsidRPr="00000000" w14:paraId="00000016">
      <w:pPr>
        <w:pStyle w:val="Heading2"/>
        <w:numPr>
          <w:ilvl w:val="1"/>
          <w:numId w:val="1"/>
        </w:numPr>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Where a DEFCON or DEFORM is updated or replaced the reference shall be taken as referring to the updated or replacement DEFCON or DEFORM from time to time.</w:t>
      </w:r>
    </w:p>
    <w:p w:rsidR="00000000" w:rsidDel="00000000" w:rsidP="00000000" w:rsidRDefault="00000000" w:rsidRPr="00000000" w14:paraId="00000017">
      <w:pPr>
        <w:pStyle w:val="Heading2"/>
        <w:numPr>
          <w:ilvl w:val="1"/>
          <w:numId w:val="1"/>
        </w:numPr>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In the event of a conflict between any DEFCONs and DEFFORMS listed in the Order Form and the other terms in a Call-Off Contract, the DEFCONs and DEFFORMS shall prevail. </w:t>
      </w:r>
    </w:p>
    <w:p w:rsidR="00000000" w:rsidDel="00000000" w:rsidP="00000000" w:rsidRDefault="00000000" w:rsidRPr="00000000" w14:paraId="00000018">
      <w:pPr>
        <w:pStyle w:val="Heading1"/>
        <w:numPr>
          <w:ilvl w:val="0"/>
          <w:numId w:val="1"/>
        </w:numPr>
        <w:spacing w:after="120" w:before="120" w:lineRule="auto"/>
        <w:ind w:left="432" w:hanging="432"/>
        <w:rPr>
          <w:rFonts w:ascii="Arial" w:cs="Arial" w:eastAsia="Arial" w:hAnsi="Arial"/>
        </w:rPr>
      </w:pPr>
      <w:r w:rsidDel="00000000" w:rsidR="00000000" w:rsidRPr="00000000">
        <w:rPr>
          <w:rFonts w:ascii="Arial" w:cs="Arial" w:eastAsia="Arial" w:hAnsi="Arial"/>
          <w:rtl w:val="0"/>
        </w:rPr>
        <w:t xml:space="preserve">Authorisation by the Crown for use of third party intellectual property rights</w:t>
      </w:r>
    </w:p>
    <w:p w:rsidR="00000000" w:rsidDel="00000000" w:rsidP="00000000" w:rsidRDefault="00000000" w:rsidRPr="00000000" w14:paraId="00000019">
      <w:pPr>
        <w:pStyle w:val="Heading2"/>
        <w:numPr>
          <w:ilvl w:val="1"/>
          <w:numId w:val="1"/>
        </w:numPr>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Notwithstanding any other provisions of the Call-Off Contract and for the avoidance of doubt, award of the Call-Off Contract by the Buyer and placement of any contract task under it does not constitute an authorisation by the Crown under Sections 55 and 56 of the Patents Act 1977 or Section 12 of the Registered Designs Act 1949. The Supplier acknowledges that any such authorisation by the Buyer under its statutory powers must be expressly provided in writing, with reference to the acts authorised and the specific intellectual property involved.</w:t>
      </w:r>
    </w:p>
    <w:p w:rsidR="00000000" w:rsidDel="00000000" w:rsidP="00000000" w:rsidRDefault="00000000" w:rsidRPr="00000000" w14:paraId="0000001A">
      <w:pPr>
        <w:spacing w:after="120" w:before="12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after="120" w:before="120" w:lineRule="auto"/>
        <w:rPr>
          <w:b w:val="1"/>
          <w:bCs w:val="1"/>
          <w:sz w:val="36"/>
          <w:szCs w:val="36"/>
        </w:rPr>
      </w:pPr>
      <w:r w:rsidDel="00000000" w:rsidR="00000000" w:rsidRPr="00000000">
        <w:rPr>
          <w:rtl w:val="0"/>
        </w:rPr>
      </w:r>
    </w:p>
    <w:p w:rsidR="00000000" w:rsidDel="00000000" w:rsidP="00000000" w:rsidRDefault="00000000" w:rsidRPr="00000000" w14:paraId="0000001C">
      <w:pPr>
        <w:spacing w:after="120" w:before="120" w:lineRule="auto"/>
        <w:rPr>
          <w:b w:val="1"/>
          <w:bCs w:val="1"/>
          <w:sz w:val="36"/>
          <w:szCs w:val="36"/>
        </w:rPr>
      </w:pPr>
      <w:r w:rsidDel="00000000" w:rsidR="00000000" w:rsidRPr="00000000">
        <w:rPr>
          <w:b w:val="1"/>
          <w:bCs w:val="1"/>
          <w:sz w:val="36"/>
          <w:szCs w:val="36"/>
          <w:rtl w:val="0"/>
        </w:rPr>
        <w:t xml:space="preserve">ANNEX 1 - DEFCONS &amp; DEFFORMS</w:t>
      </w:r>
    </w:p>
    <w:p w:rsidR="00000000" w:rsidDel="00000000" w:rsidP="00000000" w:rsidRDefault="00000000" w:rsidRPr="00000000" w14:paraId="0000001D">
      <w:pPr>
        <w:spacing w:after="120" w:before="120" w:lineRule="auto"/>
        <w:ind w:left="720" w:firstLine="0"/>
        <w:rPr/>
      </w:pPr>
      <w:r w:rsidDel="00000000" w:rsidR="00000000" w:rsidRPr="00000000">
        <w:rPr>
          <w:rtl w:val="0"/>
        </w:rPr>
      </w:r>
    </w:p>
    <w:p w:rsidR="00000000" w:rsidDel="00000000" w:rsidP="00000000" w:rsidRDefault="00000000" w:rsidRPr="00000000" w14:paraId="0000001E">
      <w:pPr>
        <w:spacing w:after="120" w:before="120" w:lineRule="auto"/>
        <w:rPr/>
      </w:pPr>
      <w:bookmarkStart w:colFirst="0" w:colLast="0" w:name="_heading=h.gjdgxs" w:id="1"/>
      <w:bookmarkEnd w:id="1"/>
      <w:r w:rsidDel="00000000" w:rsidR="00000000" w:rsidRPr="00000000">
        <w:rPr>
          <w:rtl w:val="0"/>
        </w:rPr>
        <w:t xml:space="preserve">The full text of Defence Conditions (DEFCONs) and Defence Forms (DEFFORMS) are available electronically via </w:t>
      </w:r>
      <w:hyperlink r:id="rId7">
        <w:r w:rsidDel="00000000" w:rsidR="00000000" w:rsidRPr="00000000">
          <w:rPr>
            <w:color w:val="0000ff"/>
            <w:u w:val="single"/>
            <w:rtl w:val="0"/>
          </w:rPr>
          <w:t xml:space="preserve">https://www.gov.uk/guidance/knowledge-in-defence-kid</w:t>
        </w:r>
      </w:hyperlink>
      <w:r w:rsidDel="00000000" w:rsidR="00000000" w:rsidRPr="00000000">
        <w:rPr>
          <w:rtl w:val="0"/>
        </w:rPr>
        <w:t xml:space="preserve">.</w:t>
      </w:r>
    </w:p>
    <w:p w:rsidR="00000000" w:rsidDel="00000000" w:rsidP="00000000" w:rsidRDefault="00000000" w:rsidRPr="00000000" w14:paraId="0000001F">
      <w:pPr>
        <w:spacing w:after="120" w:before="120" w:lineRule="auto"/>
        <w:ind w:left="576" w:hanging="576"/>
        <w:rPr/>
      </w:pPr>
      <w:r w:rsidDel="00000000" w:rsidR="00000000" w:rsidRPr="00000000">
        <w:rPr>
          <w:rtl w:val="0"/>
        </w:rPr>
        <w:t xml:space="preserve">The following MOD DEFCONs and DEFFORMs form part of the Contract:</w:t>
      </w:r>
    </w:p>
    <w:p w:rsidR="00000000" w:rsidDel="00000000" w:rsidP="00000000" w:rsidRDefault="00000000" w:rsidRPr="00000000" w14:paraId="00000020">
      <w:pPr>
        <w:spacing w:after="120" w:before="120" w:lineRule="auto"/>
        <w:ind w:left="851" w:firstLine="0"/>
        <w:rPr/>
      </w:pPr>
      <w:r w:rsidDel="00000000" w:rsidR="00000000" w:rsidRPr="00000000">
        <w:rPr>
          <w:rtl w:val="0"/>
        </w:rPr>
        <w:t xml:space="preserve">DEFCONs</w:t>
      </w:r>
    </w:p>
    <w:p w:rsidR="00000000" w:rsidDel="00000000" w:rsidP="00000000" w:rsidRDefault="00000000" w:rsidRPr="00000000" w14:paraId="00000021">
      <w:pPr>
        <w:spacing w:after="120" w:before="120" w:lineRule="auto"/>
        <w:ind w:left="720" w:firstLine="0"/>
        <w:rPr/>
      </w:pPr>
      <w:r w:rsidDel="00000000" w:rsidR="00000000" w:rsidRPr="00000000">
        <w:rPr>
          <w:rtl w:val="0"/>
        </w:rPr>
      </w:r>
    </w:p>
    <w:tbl>
      <w:tblPr>
        <w:tblStyle w:val="Table2"/>
        <w:tblW w:w="865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0"/>
        <w:gridCol w:w="2861"/>
        <w:gridCol w:w="2928"/>
        <w:tblGridChange w:id="0">
          <w:tblGrid>
            <w:gridCol w:w="2870"/>
            <w:gridCol w:w="2861"/>
            <w:gridCol w:w="2928"/>
          </w:tblGrid>
        </w:tblGridChange>
      </w:tblGrid>
      <w:tr>
        <w:trPr>
          <w:cantSplit w:val="0"/>
          <w:tblHeader w:val="0"/>
        </w:trPr>
        <w:tc>
          <w:tcPr/>
          <w:p w:rsidR="00000000" w:rsidDel="00000000" w:rsidP="00000000" w:rsidRDefault="00000000" w:rsidRPr="00000000" w14:paraId="00000022">
            <w:pPr>
              <w:spacing w:after="120" w:before="120" w:lineRule="auto"/>
              <w:rPr>
                <w:b w:val="1"/>
                <w:bCs w:val="1"/>
              </w:rPr>
            </w:pPr>
            <w:r w:rsidDel="00000000" w:rsidR="00000000" w:rsidRPr="00000000">
              <w:rPr>
                <w:b w:val="1"/>
                <w:bCs w:val="1"/>
                <w:rtl w:val="0"/>
              </w:rPr>
              <w:t xml:space="preserve">DEFCON No</w:t>
            </w:r>
          </w:p>
        </w:tc>
        <w:tc>
          <w:tcPr/>
          <w:p w:rsidR="00000000" w:rsidDel="00000000" w:rsidP="00000000" w:rsidRDefault="00000000" w:rsidRPr="00000000" w14:paraId="00000023">
            <w:pPr>
              <w:spacing w:after="120" w:before="120" w:lineRule="auto"/>
              <w:rPr>
                <w:b w:val="1"/>
                <w:bCs w:val="1"/>
                <w:u w:val="single"/>
              </w:rPr>
            </w:pPr>
            <w:r w:rsidDel="00000000" w:rsidR="00000000" w:rsidRPr="00000000">
              <w:rPr>
                <w:b w:val="1"/>
                <w:bCs w:val="1"/>
                <w:rtl w:val="0"/>
              </w:rPr>
              <w:t xml:space="preserve">Version</w:t>
            </w:r>
            <w:r w:rsidDel="00000000" w:rsidR="00000000" w:rsidRPr="00000000">
              <w:rPr>
                <w:rtl w:val="0"/>
              </w:rPr>
            </w:r>
          </w:p>
        </w:tc>
        <w:tc>
          <w:tcPr/>
          <w:p w:rsidR="00000000" w:rsidDel="00000000" w:rsidP="00000000" w:rsidRDefault="00000000" w:rsidRPr="00000000" w14:paraId="00000024">
            <w:pPr>
              <w:spacing w:after="120" w:before="120" w:lineRule="auto"/>
              <w:rPr>
                <w:b w:val="1"/>
                <w:bCs w:val="1"/>
                <w:u w:val="single"/>
              </w:rPr>
            </w:pPr>
            <w:r w:rsidDel="00000000" w:rsidR="00000000" w:rsidRPr="00000000">
              <w:rPr>
                <w:b w:val="1"/>
                <w:bCs w:val="1"/>
                <w:rtl w:val="0"/>
              </w:rPr>
              <w:t xml:space="preserve">Description</w:t>
            </w:r>
            <w:r w:rsidDel="00000000" w:rsidR="00000000" w:rsidRPr="00000000">
              <w:rPr>
                <w:rtl w:val="0"/>
              </w:rPr>
            </w:r>
          </w:p>
        </w:tc>
      </w:tr>
      <w:tr>
        <w:trPr>
          <w:cantSplit w:val="0"/>
          <w:tblHeader w:val="0"/>
        </w:trPr>
        <w:tc>
          <w:tcPr/>
          <w:p w:rsidR="00000000" w:rsidDel="00000000" w:rsidP="00000000" w:rsidRDefault="00000000" w:rsidRPr="00000000" w14:paraId="00000025">
            <w:pPr>
              <w:spacing w:after="120" w:before="120" w:lineRule="auto"/>
              <w:rPr>
                <w:b w:val="1"/>
                <w:bCs w:val="1"/>
              </w:rPr>
            </w:pPr>
            <w:r w:rsidDel="00000000" w:rsidR="00000000" w:rsidRPr="00000000">
              <w:rPr>
                <w:rtl w:val="0"/>
              </w:rPr>
            </w:r>
          </w:p>
        </w:tc>
        <w:tc>
          <w:tcPr/>
          <w:p w:rsidR="00000000" w:rsidDel="00000000" w:rsidP="00000000" w:rsidRDefault="00000000" w:rsidRPr="00000000" w14:paraId="00000026">
            <w:pPr>
              <w:spacing w:after="120" w:before="120" w:lineRule="auto"/>
              <w:rPr>
                <w:b w:val="1"/>
                <w:bCs w:val="1"/>
              </w:rPr>
            </w:pPr>
            <w:r w:rsidDel="00000000" w:rsidR="00000000" w:rsidRPr="00000000">
              <w:rPr>
                <w:rtl w:val="0"/>
              </w:rPr>
            </w:r>
          </w:p>
        </w:tc>
        <w:tc>
          <w:tcPr/>
          <w:p w:rsidR="00000000" w:rsidDel="00000000" w:rsidP="00000000" w:rsidRDefault="00000000" w:rsidRPr="00000000" w14:paraId="00000027">
            <w:pPr>
              <w:spacing w:after="120" w:before="120" w:lineRule="auto"/>
              <w:rPr>
                <w:b w:val="1"/>
                <w:bCs w:val="1"/>
              </w:rPr>
            </w:pPr>
            <w:r w:rsidDel="00000000" w:rsidR="00000000" w:rsidRPr="00000000">
              <w:rPr>
                <w:rtl w:val="0"/>
              </w:rPr>
            </w:r>
          </w:p>
        </w:tc>
      </w:tr>
    </w:tbl>
    <w:p w:rsidR="00000000" w:rsidDel="00000000" w:rsidP="00000000" w:rsidRDefault="00000000" w:rsidRPr="00000000" w14:paraId="00000028">
      <w:pPr>
        <w:spacing w:after="120" w:before="120" w:lineRule="auto"/>
        <w:ind w:left="720" w:firstLine="0"/>
        <w:rPr/>
      </w:pPr>
      <w:r w:rsidDel="00000000" w:rsidR="00000000" w:rsidRPr="00000000">
        <w:rPr>
          <w:rtl w:val="0"/>
        </w:rPr>
      </w:r>
    </w:p>
    <w:p w:rsidR="00000000" w:rsidDel="00000000" w:rsidP="00000000" w:rsidRDefault="00000000" w:rsidRPr="00000000" w14:paraId="00000029">
      <w:pPr>
        <w:spacing w:after="120" w:before="120" w:lineRule="auto"/>
        <w:ind w:left="720" w:firstLine="0"/>
        <w:rPr/>
      </w:pPr>
      <w:r w:rsidDel="00000000" w:rsidR="00000000" w:rsidRPr="00000000">
        <w:rPr>
          <w:rtl w:val="0"/>
        </w:rPr>
      </w:r>
    </w:p>
    <w:p w:rsidR="00000000" w:rsidDel="00000000" w:rsidP="00000000" w:rsidRDefault="00000000" w:rsidRPr="00000000" w14:paraId="0000002A">
      <w:pPr>
        <w:spacing w:after="120" w:before="120" w:lineRule="auto"/>
        <w:ind w:left="720" w:firstLine="0"/>
        <w:rPr/>
      </w:pPr>
      <w:r w:rsidDel="00000000" w:rsidR="00000000" w:rsidRPr="00000000">
        <w:rPr>
          <w:rtl w:val="0"/>
        </w:rPr>
      </w:r>
    </w:p>
    <w:p w:rsidR="00000000" w:rsidDel="00000000" w:rsidP="00000000" w:rsidRDefault="00000000" w:rsidRPr="00000000" w14:paraId="0000002B">
      <w:pPr>
        <w:keepNext w:val="1"/>
        <w:spacing w:after="120" w:before="120" w:lineRule="auto"/>
        <w:ind w:left="720" w:firstLine="0"/>
        <w:rPr/>
      </w:pPr>
      <w:r w:rsidDel="00000000" w:rsidR="00000000" w:rsidRPr="00000000">
        <w:rPr>
          <w:rtl w:val="0"/>
        </w:rPr>
        <w:t xml:space="preserve">DEFFORMs (Ministry of Defence Forms)</w:t>
      </w:r>
    </w:p>
    <w:p w:rsidR="00000000" w:rsidDel="00000000" w:rsidP="00000000" w:rsidRDefault="00000000" w:rsidRPr="00000000" w14:paraId="0000002C">
      <w:pPr>
        <w:keepNext w:val="1"/>
        <w:spacing w:after="120" w:before="120" w:lineRule="auto"/>
        <w:rPr/>
      </w:pPr>
      <w:r w:rsidDel="00000000" w:rsidR="00000000" w:rsidRPr="00000000">
        <w:rPr>
          <w:rtl w:val="0"/>
        </w:rPr>
      </w:r>
    </w:p>
    <w:tbl>
      <w:tblPr>
        <w:tblStyle w:val="Table3"/>
        <w:tblW w:w="88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6"/>
        <w:gridCol w:w="2975"/>
        <w:gridCol w:w="2899"/>
        <w:tblGridChange w:id="0">
          <w:tblGrid>
            <w:gridCol w:w="2976"/>
            <w:gridCol w:w="2975"/>
            <w:gridCol w:w="2899"/>
          </w:tblGrid>
        </w:tblGridChange>
      </w:tblGrid>
      <w:tr>
        <w:trPr>
          <w:cantSplit w:val="0"/>
          <w:tblHeader w:val="0"/>
        </w:trPr>
        <w:tc>
          <w:tcPr/>
          <w:p w:rsidR="00000000" w:rsidDel="00000000" w:rsidP="00000000" w:rsidRDefault="00000000" w:rsidRPr="00000000" w14:paraId="0000002D">
            <w:pPr>
              <w:spacing w:after="120" w:before="120" w:lineRule="auto"/>
              <w:rPr>
                <w:b w:val="1"/>
                <w:bCs w:val="1"/>
              </w:rPr>
            </w:pPr>
            <w:r w:rsidDel="00000000" w:rsidR="00000000" w:rsidRPr="00000000">
              <w:rPr>
                <w:b w:val="1"/>
                <w:bCs w:val="1"/>
                <w:rtl w:val="0"/>
              </w:rPr>
              <w:t xml:space="preserve">DEFFORM No</w:t>
            </w:r>
          </w:p>
        </w:tc>
        <w:tc>
          <w:tcPr/>
          <w:p w:rsidR="00000000" w:rsidDel="00000000" w:rsidP="00000000" w:rsidRDefault="00000000" w:rsidRPr="00000000" w14:paraId="0000002E">
            <w:pPr>
              <w:spacing w:after="120" w:before="120" w:lineRule="auto"/>
              <w:rPr>
                <w:b w:val="1"/>
                <w:bCs w:val="1"/>
                <w:u w:val="single"/>
              </w:rPr>
            </w:pPr>
            <w:r w:rsidDel="00000000" w:rsidR="00000000" w:rsidRPr="00000000">
              <w:rPr>
                <w:b w:val="1"/>
                <w:bCs w:val="1"/>
                <w:rtl w:val="0"/>
              </w:rPr>
              <w:t xml:space="preserve">Version</w:t>
            </w:r>
            <w:r w:rsidDel="00000000" w:rsidR="00000000" w:rsidRPr="00000000">
              <w:rPr>
                <w:rtl w:val="0"/>
              </w:rPr>
            </w:r>
          </w:p>
        </w:tc>
        <w:tc>
          <w:tcPr/>
          <w:p w:rsidR="00000000" w:rsidDel="00000000" w:rsidP="00000000" w:rsidRDefault="00000000" w:rsidRPr="00000000" w14:paraId="0000002F">
            <w:pPr>
              <w:spacing w:after="120" w:before="120" w:lineRule="auto"/>
              <w:rPr>
                <w:b w:val="1"/>
                <w:bCs w:val="1"/>
                <w:u w:val="single"/>
              </w:rPr>
            </w:pPr>
            <w:r w:rsidDel="00000000" w:rsidR="00000000" w:rsidRPr="00000000">
              <w:rPr>
                <w:b w:val="1"/>
                <w:bCs w:val="1"/>
                <w:rtl w:val="0"/>
              </w:rPr>
              <w:t xml:space="preserve">Description</w:t>
            </w:r>
            <w:r w:rsidDel="00000000" w:rsidR="00000000" w:rsidRPr="00000000">
              <w:rPr>
                <w:rtl w:val="0"/>
              </w:rPr>
            </w:r>
          </w:p>
        </w:tc>
      </w:tr>
      <w:tr>
        <w:trPr>
          <w:cantSplit w:val="0"/>
          <w:tblHeader w:val="0"/>
        </w:trPr>
        <w:tc>
          <w:tcPr/>
          <w:p w:rsidR="00000000" w:rsidDel="00000000" w:rsidP="00000000" w:rsidRDefault="00000000" w:rsidRPr="00000000" w14:paraId="00000030">
            <w:pPr>
              <w:spacing w:after="120" w:before="120" w:lineRule="auto"/>
              <w:rPr>
                <w:b w:val="1"/>
                <w:bCs w:val="1"/>
              </w:rPr>
            </w:pPr>
            <w:r w:rsidDel="00000000" w:rsidR="00000000" w:rsidRPr="00000000">
              <w:rPr>
                <w:rtl w:val="0"/>
              </w:rPr>
            </w:r>
          </w:p>
        </w:tc>
        <w:tc>
          <w:tcPr/>
          <w:p w:rsidR="00000000" w:rsidDel="00000000" w:rsidP="00000000" w:rsidRDefault="00000000" w:rsidRPr="00000000" w14:paraId="00000031">
            <w:pPr>
              <w:spacing w:after="120" w:before="120" w:lineRule="auto"/>
              <w:rPr>
                <w:b w:val="1"/>
                <w:bCs w:val="1"/>
              </w:rPr>
            </w:pPr>
            <w:r w:rsidDel="00000000" w:rsidR="00000000" w:rsidRPr="00000000">
              <w:rPr>
                <w:rtl w:val="0"/>
              </w:rPr>
            </w:r>
          </w:p>
        </w:tc>
        <w:tc>
          <w:tcPr/>
          <w:p w:rsidR="00000000" w:rsidDel="00000000" w:rsidP="00000000" w:rsidRDefault="00000000" w:rsidRPr="00000000" w14:paraId="00000032">
            <w:pPr>
              <w:spacing w:after="120" w:before="120" w:lineRule="auto"/>
              <w:rPr>
                <w:b w:val="1"/>
                <w:bCs w:val="1"/>
              </w:rPr>
            </w:pPr>
            <w:r w:rsidDel="00000000" w:rsidR="00000000" w:rsidRPr="00000000">
              <w:rPr>
                <w:rtl w:val="0"/>
              </w:rPr>
            </w:r>
          </w:p>
        </w:tc>
      </w:tr>
    </w:tbl>
    <w:p w:rsidR="00000000" w:rsidDel="00000000" w:rsidP="00000000" w:rsidRDefault="00000000" w:rsidRPr="00000000" w14:paraId="00000033">
      <w:pPr>
        <w:spacing w:after="120" w:before="120" w:lineRule="auto"/>
        <w:rPr/>
      </w:pPr>
      <w:r w:rsidDel="00000000" w:rsidR="00000000" w:rsidRPr="00000000">
        <w:rPr>
          <w:rtl w:val="0"/>
        </w:rPr>
      </w:r>
    </w:p>
    <w:sectPr>
      <w:headerReference r:id="rId8" w:type="defaul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center" w:leader="none" w:pos="4513"/>
        <w:tab w:val="right" w:leader="none" w:pos="9026"/>
      </w:tabs>
      <w:spacing w:after="0" w:lineRule="auto"/>
      <w:rPr/>
    </w:pPr>
    <w:r w:rsidDel="00000000" w:rsidR="00000000" w:rsidRPr="00000000">
      <w:rPr>
        <w:rtl w:val="0"/>
      </w:rPr>
    </w:r>
  </w:p>
  <w:p w:rsidR="00000000" w:rsidDel="00000000" w:rsidP="00000000" w:rsidRDefault="00000000" w:rsidRPr="00000000" w14:paraId="00000039">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3A">
    <w:pP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B">
    <w:pPr>
      <w:spacing w:after="0" w:lineRule="auto"/>
      <w:jc w:val="both"/>
      <w:rPr>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center" w:leader="none" w:pos="4513"/>
        <w:tab w:val="right" w:leader="none" w:pos="9026"/>
      </w:tabs>
      <w:spacing w:after="0" w:lineRule="auto"/>
      <w:rPr/>
    </w:pPr>
    <w:r w:rsidDel="00000000" w:rsidR="00000000" w:rsidRPr="00000000">
      <w:rPr>
        <w:rtl w:val="0"/>
      </w:rPr>
    </w:r>
  </w:p>
  <w:p w:rsidR="00000000" w:rsidDel="00000000" w:rsidP="00000000" w:rsidRDefault="00000000" w:rsidRPr="00000000" w14:paraId="0000003D">
    <w:pPr>
      <w:tabs>
        <w:tab w:val="center" w:leader="none" w:pos="4513"/>
        <w:tab w:val="right" w:leader="none" w:pos="9026"/>
      </w:tabs>
      <w:spacing w:after="0" w:lineRule="auto"/>
      <w:rPr/>
    </w:pPr>
    <w:r w:rsidDel="00000000" w:rsidR="00000000" w:rsidRPr="00000000">
      <w:rPr>
        <w:rtl w:val="0"/>
      </w:rPr>
      <w:t xml:space="preserve">Framework Ref: RM</w:t>
      <w:tab/>
      <w:t xml:space="preserve">                                           </w:t>
    </w:r>
  </w:p>
  <w:p w:rsidR="00000000" w:rsidDel="00000000" w:rsidP="00000000" w:rsidRDefault="00000000" w:rsidRPr="00000000" w14:paraId="0000003E">
    <w:pPr>
      <w:tabs>
        <w:tab w:val="center" w:leader="none" w:pos="4513"/>
        <w:tab w:val="right" w:leader="none" w:pos="9026"/>
      </w:tabs>
      <w:spacing w:after="0" w:lineRule="auto"/>
      <w:rPr/>
    </w:pPr>
    <w:r w:rsidDel="00000000" w:rsidR="00000000" w:rsidRPr="00000000">
      <w:rPr>
        <w:rtl w:val="0"/>
      </w:rPr>
      <w:t xml:space="preserve">Project Version: v1.0</w:t>
      <w:tab/>
      <w:tab/>
      <w:tab/>
      <w:t xml:space="preserve"> -1-</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t xml:space="preserve">Model Version : v2.9</w:t>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b w:val="1"/>
        <w:bCs w:val="1"/>
        <w:sz w:val="22"/>
        <w:szCs w:val="22"/>
        <w:rtl w:val="0"/>
      </w:rPr>
      <w:t xml:space="preserve">Call-Off Schedule 17 (MOD Terms) </w:t>
    </w:r>
    <w:r w:rsidDel="00000000" w:rsidR="00000000" w:rsidRPr="00000000">
      <w:rPr>
        <w:rtl w:val="0"/>
      </w:rPr>
    </w:r>
  </w:p>
  <w:p w:rsidR="00000000" w:rsidDel="00000000" w:rsidP="00000000" w:rsidRDefault="00000000" w:rsidRPr="00000000" w14:paraId="00000035">
    <w:pPr>
      <w:spacing w:after="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36">
    <w:pPr>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37">
    <w:pPr>
      <w:spacing w:after="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lineRule="auto"/>
      <w:ind w:left="720" w:hanging="720"/>
    </w:pPr>
    <w:rPr>
      <w:rFonts w:ascii="Calibri" w:cs="Calibri" w:eastAsia="Calibri" w:hAnsi="Calibri"/>
      <w:b w:val="1"/>
      <w:bCs w:val="1"/>
    </w:rPr>
  </w:style>
  <w:style w:type="paragraph" w:styleId="Heading2">
    <w:name w:val="heading 2"/>
    <w:basedOn w:val="Normal"/>
    <w:next w:val="Normal"/>
    <w:pPr>
      <w:keepNext w:val="1"/>
      <w:keepLines w:val="1"/>
      <w:spacing w:after="240" w:lineRule="auto"/>
      <w:ind w:left="1440" w:hanging="720"/>
      <w:jc w:val="both"/>
    </w:pPr>
    <w:rPr>
      <w:rFonts w:ascii="Calibri" w:cs="Calibri" w:eastAsia="Calibri" w:hAnsi="Calibri"/>
    </w:rPr>
  </w:style>
  <w:style w:type="paragraph" w:styleId="Heading3">
    <w:name w:val="heading 3"/>
    <w:basedOn w:val="Normal"/>
    <w:next w:val="Normal"/>
    <w:pPr>
      <w:keepNext w:val="1"/>
      <w:keepLines w:val="1"/>
      <w:spacing w:after="0" w:before="200" w:lineRule="auto"/>
      <w:ind w:left="2160" w:hanging="720"/>
    </w:pPr>
    <w:rPr>
      <w:rFonts w:ascii="Cambria" w:cs="Cambria" w:eastAsia="Cambria" w:hAnsi="Cambria"/>
      <w:b w:val="1"/>
      <w:bCs w:val="1"/>
      <w:color w:val="4f81bd"/>
    </w:rPr>
  </w:style>
  <w:style w:type="paragraph" w:styleId="Heading4">
    <w:name w:val="heading 4"/>
    <w:basedOn w:val="Normal"/>
    <w:next w:val="Normal"/>
    <w:pPr>
      <w:keepNext w:val="1"/>
      <w:keepLines w:val="1"/>
      <w:spacing w:after="0" w:before="200" w:lineRule="auto"/>
      <w:ind w:left="2880" w:hanging="720"/>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after="0" w:before="200" w:lineRule="auto"/>
      <w:ind w:left="3600" w:hanging="720"/>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ind w:left="4320" w:hanging="720"/>
    </w:pPr>
    <w:rPr>
      <w:rFonts w:ascii="Cambria" w:cs="Cambria" w:eastAsia="Cambria" w:hAnsi="Cambria"/>
      <w:i w:val="1"/>
      <w:iCs w:val="1"/>
      <w:color w:val="243f6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pPr>
      <w:keepNext w:val="1"/>
      <w:keepLines w:val="1"/>
      <w:numPr>
        <w:ilvl w:val="6"/>
        <w:numId w:val="2"/>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pPr>
      <w:keepNext w:val="1"/>
      <w:keepLines w:val="1"/>
      <w:numPr>
        <w:ilvl w:val="7"/>
        <w:numId w:val="2"/>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pPr>
      <w:keepNext w:val="1"/>
      <w:keepLines w:val="1"/>
      <w:numPr>
        <w:ilvl w:val="8"/>
        <w:numId w:val="2"/>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PSL1CLAUSEHEADING" w:customStyle="1">
    <w:name w:val="GPS L1 CLAUSE HEADING"/>
    <w:basedOn w:val="Normal"/>
    <w:next w:val="Normal"/>
    <w:qFormat w:val="1"/>
    <w:pPr>
      <w:adjustRightInd w:val="0"/>
      <w:spacing w:after="240" w:before="120"/>
      <w:ind w:firstLine="360"/>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tabs>
        <w:tab w:val="left" w:pos="1985"/>
      </w:tabs>
      <w:adjustRightInd w:val="0"/>
      <w:spacing w:after="120" w:before="120"/>
      <w:jc w:val="both"/>
    </w:pPr>
    <w:rPr>
      <w:rFonts w:eastAsia="Times New Roman"/>
      <w:lang w:eastAsia="zh-CN"/>
    </w:rPr>
  </w:style>
  <w:style w:type="paragraph" w:styleId="GPSL4numberedclause" w:customStyle="1">
    <w:name w:val="GPS L4 numbered clause"/>
    <w:basedOn w:val="GPSL3numberedclause"/>
    <w:qFormat w:val="1"/>
    <w:pPr>
      <w:numPr>
        <w:ilvl w:val="3"/>
      </w:numPr>
      <w:tabs>
        <w:tab w:val="num" w:pos="360"/>
        <w:tab w:val="left" w:pos="2552"/>
      </w:tabs>
      <w:ind w:left="2552" w:hanging="567"/>
    </w:p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qFormat w:val="1"/>
    <w:pPr>
      <w:tabs>
        <w:tab w:val="left" w:pos="1134"/>
      </w:tabs>
      <w:adjustRightInd w:val="0"/>
      <w:spacing w:after="120" w:before="120"/>
      <w:jc w:val="both"/>
    </w:pPr>
    <w:rPr>
      <w:rFonts w:eastAsia="Times New Roman"/>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ORDERFORML1PraraNo" w:customStyle="1">
    <w:name w:val="ORDER FORM L1 Prara No"/>
    <w:basedOn w:val="Normal"/>
    <w:qFormat w:val="1"/>
    <w:pPr>
      <w:tabs>
        <w:tab w:val="num" w:pos="720"/>
      </w:tabs>
      <w:adjustRightInd w:val="0"/>
      <w:spacing w:after="0"/>
      <w:ind w:left="426" w:hanging="426"/>
      <w:jc w:val="both"/>
    </w:pPr>
    <w:rPr>
      <w:rFonts w:eastAsia="STZhongsong"/>
      <w:b w:val="1"/>
      <w:caps w:val="1"/>
      <w:lang w:eastAsia="zh-CN"/>
    </w:rPr>
  </w:style>
  <w:style w:type="paragraph" w:styleId="ORDERFORML2Title" w:customStyle="1">
    <w:name w:val="ORDER FORM L2 Title"/>
    <w:basedOn w:val="Normal"/>
    <w:qFormat w:val="1"/>
    <w:pPr>
      <w:tabs>
        <w:tab w:val="num" w:pos="1440"/>
      </w:tabs>
      <w:adjustRightInd w:val="0"/>
      <w:spacing w:after="120"/>
      <w:ind w:left="993" w:hanging="567"/>
      <w:jc w:val="both"/>
    </w:pPr>
    <w:rPr>
      <w:rFonts w:eastAsia="STZhongsong"/>
      <w:b w:val="1"/>
      <w:lang w:eastAsia="zh-CN"/>
    </w:rPr>
  </w:style>
  <w:style w:type="paragraph" w:styleId="GPSL2numberedclause" w:customStyle="1">
    <w:name w:val="GPS L2 numbered clause"/>
    <w:basedOn w:val="Normal"/>
    <w:link w:val="GPSL2numberedclauseChar1"/>
    <w:qFormat w:val="1"/>
    <w:pPr>
      <w:tabs>
        <w:tab w:val="left" w:pos="1134"/>
      </w:tabs>
      <w:adjustRightInd w:val="0"/>
      <w:spacing w:after="120" w:before="120"/>
      <w:ind w:left="1134" w:hanging="567"/>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paragraph" w:styleId="GPSL1SCHEDULEHeading" w:customStyle="1">
    <w:name w:val="GPS L1 SCHEDULE Heading"/>
    <w:basedOn w:val="GPSL1CLAUSEHEADING"/>
    <w:link w:val="GPSL1SCHEDULEHeadingChar"/>
    <w:qFormat w:val="1"/>
    <w:pPr>
      <w:tabs>
        <w:tab w:val="left" w:pos="0"/>
      </w:tabs>
      <w:spacing w:before="240"/>
      <w:outlineLvl w:val="9"/>
    </w:p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rPr>
      <w:rFonts w:ascii="Calibri" w:cs="Times New Roman" w:eastAsia="Calibri" w:hAnsi="Calibri"/>
    </w:rPr>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rPr>
      <w:rFonts w:ascii="Calibri" w:cs="Times New Roman" w:eastAsia="Calibri" w:hAnsi="Calibri"/>
    </w:rPr>
  </w:style>
  <w:style w:type="character" w:styleId="Emphasis">
    <w:name w:val="Emphasis"/>
    <w:basedOn w:val="DefaultParagraphFont"/>
    <w:rPr>
      <w:i w:val="1"/>
      <w:iCs w:val="1"/>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Calibri"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table" w:styleId="TableGrid">
    <w:name w:val="Table Grid"/>
    <w:basedOn w:val="TableNormal"/>
    <w:uiPriority w:val="59"/>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Pr>
      <w:rFonts w:cstheme="majorBidi" w:eastAsiaTheme="majorEastAsia"/>
      <w:b w:val="1"/>
      <w:bCs w:val="1"/>
      <w:szCs w:val="28"/>
    </w:rPr>
  </w:style>
  <w:style w:type="character" w:styleId="Heading2Char" w:customStyle="1">
    <w:name w:val="Heading 2 Char"/>
    <w:basedOn w:val="DefaultParagraphFont"/>
    <w:link w:val="Heading2"/>
    <w:uiPriority w:val="9"/>
    <w:rPr>
      <w:rFonts w:cstheme="majorBidi" w:eastAsiaTheme="majorEastAsia"/>
      <w:bCs w:val="1"/>
      <w:szCs w:val="26"/>
    </w:rPr>
  </w:style>
  <w:style w:type="character" w:styleId="Heading3Char" w:customStyle="1">
    <w:name w:val="Heading 3 Char"/>
    <w:basedOn w:val="DefaultParagraphFont"/>
    <w:link w:val="Heading3"/>
    <w:uiPriority w:val="9"/>
    <w:semiHidden w:val="1"/>
    <w:rPr>
      <w:rFonts w:asciiTheme="majorHAnsi" w:cstheme="majorBidi" w:eastAsiaTheme="majorEastAsia" w:hAnsiTheme="majorHAnsi"/>
      <w:b w:val="1"/>
      <w:bCs w:val="1"/>
      <w:color w:val="4f81bd" w:themeColor="accent1"/>
    </w:rPr>
  </w:style>
  <w:style w:type="character" w:styleId="Heading4Char" w:customStyle="1">
    <w:name w:val="Heading 4 Char"/>
    <w:basedOn w:val="DefaultParagraphFont"/>
    <w:link w:val="Heading4"/>
    <w:uiPriority w:val="9"/>
    <w:semiHidden w:val="1"/>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Pr>
      <w:rFonts w:asciiTheme="majorHAnsi" w:cstheme="majorBidi" w:eastAsiaTheme="majorEastAsia" w:hAnsiTheme="majorHAnsi"/>
      <w:i w:val="1"/>
      <w:iCs w:val="1"/>
      <w:color w:val="404040" w:themeColor="text1" w:themeTint="0000BF"/>
      <w:sz w:val="20"/>
      <w:szCs w:val="20"/>
    </w:rPr>
  </w:style>
  <w:style w:type="paragraph" w:styleId="GPSL2Numbered" w:customStyle="1">
    <w:name w:val="GPS L2 Numbered"/>
    <w:basedOn w:val="GPSL2NumberedBoldHeading"/>
    <w:link w:val="GPSL2NumberedChar"/>
    <w:qFormat w:val="1"/>
    <w:pPr>
      <w:tabs>
        <w:tab w:val="left" w:pos="709"/>
      </w:tabs>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Hyperlink">
    <w:name w:val="Hyperlink"/>
    <w:basedOn w:val="DefaultParagraphFont"/>
    <w:uiPriority w:val="99"/>
    <w:unhideWhenUsed w:val="1"/>
    <w:rPr>
      <w:color w:val="0000ff" w:themeColor="hyperlink"/>
      <w:u w:val="single"/>
    </w:rPr>
  </w:style>
  <w:style w:type="paragraph" w:styleId="GPSSchTitleandNumber" w:customStyle="1">
    <w:name w:val="GPS Sch Title and Number"/>
    <w:basedOn w:val="Normal"/>
    <w:link w:val="GPSSchTitleandNumberChar"/>
    <w:qFormat w:val="1"/>
    <w:rsid w:val="003E62C4"/>
    <w:pPr>
      <w:keepNext w:val="1"/>
      <w:adjustRightInd w:val="0"/>
      <w:spacing w:after="240"/>
      <w:jc w:val="center"/>
      <w:outlineLvl w:val="0"/>
    </w:pPr>
    <w:rPr>
      <w:rFonts w:ascii="Arial Bold" w:eastAsia="STZhongsong" w:hAnsi="Arial Bold"/>
      <w:b w:val="1"/>
      <w:caps w:val="1"/>
      <w:lang w:eastAsia="zh-CN"/>
    </w:rPr>
  </w:style>
  <w:style w:type="character" w:styleId="GPSSchTitleandNumberChar" w:customStyle="1">
    <w:name w:val="GPS Sch Title and Number Char"/>
    <w:link w:val="GPSSchTitleandNumber"/>
    <w:rsid w:val="003E62C4"/>
    <w:rPr>
      <w:rFonts w:ascii="Arial Bold" w:cs="Times New Roman" w:eastAsia="STZhongsong" w:hAnsi="Arial Bold"/>
      <w:b w:val="1"/>
      <w:caps w:val="1"/>
      <w:lang w:eastAsia="zh-CN"/>
    </w:rPr>
  </w:style>
  <w:style w:type="table" w:styleId="a" w:customStyle="1">
    <w:basedOn w:val="TableNormal"/>
    <w:pPr>
      <w:spacing w:after="0"/>
    </w:pPr>
    <w:tblPr>
      <w:tblStyleRowBandSize w:val="1"/>
      <w:tblStyleColBandSize w:val="1"/>
    </w:tblPr>
  </w:style>
  <w:style w:type="table" w:styleId="a0" w:customStyle="1">
    <w:basedOn w:val="TableNormal"/>
    <w:pPr>
      <w:spacing w:after="0"/>
    </w:pPr>
    <w:tblPr>
      <w:tblStyleRowBandSize w:val="1"/>
      <w:tblStyleColBandSize w:val="1"/>
    </w:tblPr>
  </w:style>
  <w:style w:type="table" w:styleId="a1" w:customStyle="1">
    <w:basedOn w:val="TableNormal"/>
    <w:pPr>
      <w:spacing w:after="0"/>
    </w:pPr>
    <w:tblPr>
      <w:tblStyleRowBandSize w:val="1"/>
      <w:tblStyleColBandSize w:val="1"/>
    </w:tblPr>
  </w:style>
  <w:style w:type="paragraph" w:styleId="ListParagraph">
    <w:name w:val="List Paragraph"/>
    <w:basedOn w:val="Normal"/>
    <w:uiPriority w:val="34"/>
    <w:qFormat w:val="1"/>
    <w:rsid w:val="007752E4"/>
    <w:pPr>
      <w:spacing w:line="276" w:lineRule="auto"/>
      <w:ind w:left="720"/>
      <w:contextualSpacing w:val="1"/>
    </w:pPr>
    <w:rPr>
      <w:rFonts w:cs="Calibri"/>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uidance/knowledge-in-defence-kid"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DhvZSOONfIdcYCnK3DboDQRPlg==">CgMxLjAyDmguaHU1cWxpY253Y3l4MghoLmdqZGd4czgAciExdGR3YTZ3MnhONXkzQUMyQUVWUHBqcFBsdkZOMElWV2I=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2020-02-27T11:34:00Z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20 November 2017 D1V8</vt:lpwstr>
  </property>
</Properties>
</file>