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jc w:val="left"/>
        <w:rPr>
          <w:b w:val="1"/>
          <w:bCs w:val="1"/>
          <w:sz w:val="36"/>
          <w:szCs w:val="36"/>
        </w:rPr>
      </w:pPr>
      <w:bookmarkStart w:colFirst="0" w:colLast="0" w:name="_heading=h.gjdgxs" w:id="0"/>
      <w:bookmarkEnd w:id="0"/>
      <w:r w:rsidDel="00000000" w:rsidR="00000000" w:rsidRPr="00000000">
        <w:rPr>
          <w:b w:val="1"/>
          <w:bCs w:val="1"/>
          <w:sz w:val="36"/>
          <w:szCs w:val="36"/>
          <w:rtl w:val="0"/>
        </w:rPr>
        <w:t xml:space="preserve">Call-Off Schedule 2 (Staff Transfer)</w:t>
      </w:r>
    </w:p>
    <w:p w:rsidR="00000000" w:rsidDel="00000000" w:rsidP="00000000" w:rsidRDefault="00000000" w:rsidRPr="00000000" w14:paraId="00000002">
      <w:pPr>
        <w:spacing w:after="120" w:before="120" w:lineRule="auto"/>
        <w:jc w:val="left"/>
        <w:rPr>
          <w:highlight w:val="yellow"/>
        </w:rPr>
      </w:pPr>
      <w:r w:rsidDel="00000000" w:rsidR="00000000" w:rsidRPr="00000000">
        <w:rPr>
          <w:rtl w:val="0"/>
        </w:rPr>
      </w:r>
    </w:p>
    <w:p w:rsidR="00000000" w:rsidDel="00000000" w:rsidP="00000000" w:rsidRDefault="00000000" w:rsidRPr="00000000" w14:paraId="00000003">
      <w:pPr>
        <w:spacing w:after="120" w:before="120" w:lineRule="auto"/>
        <w:jc w:val="left"/>
        <w:rPr>
          <w:b w:val="1"/>
          <w:bCs w:val="1"/>
          <w:highlight w:val="yellow"/>
        </w:rPr>
      </w:pPr>
      <w:r w:rsidDel="00000000" w:rsidR="00000000" w:rsidRPr="00000000">
        <w:rPr>
          <w:i w:val="1"/>
          <w:iCs w:val="1"/>
          <w:highlight w:val="yellow"/>
          <w:rtl w:val="0"/>
        </w:rPr>
        <w:t xml:space="preserve">[</w:t>
      </w:r>
      <w:r w:rsidDel="00000000" w:rsidR="00000000" w:rsidRPr="00000000">
        <w:rPr>
          <w:b w:val="1"/>
          <w:bCs w:val="1"/>
          <w:i w:val="1"/>
          <w:iCs w:val="1"/>
          <w:highlight w:val="yellow"/>
          <w:rtl w:val="0"/>
        </w:rPr>
        <w:t xml:space="preserve">Buyer</w:t>
      </w:r>
      <w:r w:rsidDel="00000000" w:rsidR="00000000" w:rsidRPr="00000000">
        <w:rPr>
          <w:i w:val="1"/>
          <w:iCs w:val="1"/>
          <w:highlight w:val="yellow"/>
          <w:rtl w:val="0"/>
        </w:rPr>
        <w:t xml:space="preserve"> </w:t>
      </w:r>
      <w:r w:rsidDel="00000000" w:rsidR="00000000" w:rsidRPr="00000000">
        <w:rPr>
          <w:b w:val="1"/>
          <w:bCs w:val="1"/>
          <w:i w:val="1"/>
          <w:iCs w:val="1"/>
          <w:highlight w:val="yellow"/>
          <w:rtl w:val="0"/>
        </w:rPr>
        <w:t xml:space="preserve">Guidance</w:t>
      </w:r>
      <w:r w:rsidDel="00000000" w:rsidR="00000000" w:rsidRPr="00000000">
        <w:rPr>
          <w:b w:val="1"/>
          <w:bCs w:val="1"/>
          <w:highlight w:val="yellow"/>
          <w:rtl w:val="0"/>
        </w:rPr>
        <w:t xml:space="preserve">: </w:t>
      </w:r>
      <w:r w:rsidDel="00000000" w:rsidR="00000000" w:rsidRPr="00000000">
        <w:rPr>
          <w:b w:val="1"/>
          <w:bCs w:val="1"/>
          <w:i w:val="1"/>
          <w:iCs w:val="1"/>
          <w:highlight w:val="yellow"/>
          <w:rtl w:val="0"/>
        </w:rPr>
        <w:t xml:space="preserve">Buyers will need to ensure that appropriate provisions are included to deal with staff transfer on both entry and exit. In addition, and irrespective of whether TUPE does apply on entry, if there are employees eligible for New Fair Deal pension protection, then the appropriate pensions provisions will also need to be selected.</w:t>
      </w:r>
      <w:r w:rsidDel="00000000" w:rsidR="00000000" w:rsidRPr="00000000">
        <w:rPr>
          <w:rtl w:val="0"/>
        </w:rPr>
      </w:r>
    </w:p>
    <w:p w:rsidR="00000000" w:rsidDel="00000000" w:rsidP="00000000" w:rsidRDefault="00000000" w:rsidRPr="00000000" w14:paraId="00000004">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If there is a staff transfer from the Buyer on entry (1st generation) then Part A shall apply.</w:t>
      </w:r>
    </w:p>
    <w:p w:rsidR="00000000" w:rsidDel="00000000" w:rsidP="00000000" w:rsidRDefault="00000000" w:rsidRPr="00000000" w14:paraId="00000005">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If there is a staff transfer from former/incumbent supplier on entry (2nd generation), Part B shall apply. Part B contains an obligation on the Buyer to procure indemnities from a Former Supplier in so far as it is reasonably able to do. Legal advice is recommended if using Part B.</w:t>
      </w:r>
    </w:p>
    <w:p w:rsidR="00000000" w:rsidDel="00000000" w:rsidP="00000000" w:rsidRDefault="00000000" w:rsidRPr="00000000" w14:paraId="00000006">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If there is both a 1st and 2nd generation staff transfer on entry, then both Part A and Part B shall apply. </w:t>
      </w:r>
    </w:p>
    <w:p w:rsidR="00000000" w:rsidDel="00000000" w:rsidP="00000000" w:rsidRDefault="00000000" w:rsidRPr="00000000" w14:paraId="00000007">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If the Parties agree that TUPE is not expected to apply at the Start Date, on either a 1</w:t>
      </w:r>
      <w:r w:rsidDel="00000000" w:rsidR="00000000" w:rsidRPr="00000000">
        <w:rPr>
          <w:b w:val="1"/>
          <w:bCs w:val="1"/>
          <w:i w:val="1"/>
          <w:iCs w:val="1"/>
          <w:highlight w:val="yellow"/>
          <w:vertAlign w:val="superscript"/>
          <w:rtl w:val="0"/>
        </w:rPr>
        <w:t xml:space="preserve">st</w:t>
      </w:r>
      <w:r w:rsidDel="00000000" w:rsidR="00000000" w:rsidRPr="00000000">
        <w:rPr>
          <w:b w:val="1"/>
          <w:bCs w:val="1"/>
          <w:i w:val="1"/>
          <w:iCs w:val="1"/>
          <w:highlight w:val="yellow"/>
          <w:rtl w:val="0"/>
        </w:rPr>
        <w:t xml:space="preserve"> or 2</w:t>
      </w:r>
      <w:r w:rsidDel="00000000" w:rsidR="00000000" w:rsidRPr="00000000">
        <w:rPr>
          <w:b w:val="1"/>
          <w:bCs w:val="1"/>
          <w:i w:val="1"/>
          <w:iCs w:val="1"/>
          <w:highlight w:val="yellow"/>
          <w:vertAlign w:val="superscript"/>
          <w:rtl w:val="0"/>
        </w:rPr>
        <w:t xml:space="preserve">nd</w:t>
      </w:r>
      <w:r w:rsidDel="00000000" w:rsidR="00000000" w:rsidRPr="00000000">
        <w:rPr>
          <w:b w:val="1"/>
          <w:bCs w:val="1"/>
          <w:i w:val="1"/>
          <w:iCs w:val="1"/>
          <w:highlight w:val="yellow"/>
          <w:rtl w:val="0"/>
        </w:rPr>
        <w:t xml:space="preserve"> generation transfer, Part C shall apply. In Part C, the Buyer is stating that it believes TUPE will not apply and is both (i) giving indemnities and (ii) agreeing to procure indemnities from the Former Supplier, should this prove incorrect and TUPE does apply. Legal Advice should be sought before the Buyer gives such indemnities/uses Part C.</w:t>
      </w:r>
    </w:p>
    <w:p w:rsidR="00000000" w:rsidDel="00000000" w:rsidP="00000000" w:rsidRDefault="00000000" w:rsidRPr="00000000" w14:paraId="00000008">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Part D (Pensions) may also apply should staff transfer or claim to have transferred.</w:t>
      </w:r>
    </w:p>
    <w:p w:rsidR="00000000" w:rsidDel="00000000" w:rsidP="00000000" w:rsidRDefault="00000000" w:rsidRPr="00000000" w14:paraId="00000009">
      <w:pPr>
        <w:spacing w:after="120" w:before="120" w:lineRule="auto"/>
        <w:jc w:val="left"/>
        <w:rPr>
          <w:rFonts w:ascii="Arial" w:cs="Arial" w:eastAsia="Arial" w:hAnsi="Arial"/>
          <w:b w:val="1"/>
          <w:bCs w:val="1"/>
          <w:i w:val="1"/>
          <w:iCs w:val="1"/>
          <w:highlight w:val="yellow"/>
        </w:rPr>
      </w:pPr>
      <w:r w:rsidDel="00000000" w:rsidR="00000000" w:rsidRPr="00000000">
        <w:rPr>
          <w:b w:val="1"/>
          <w:bCs w:val="1"/>
          <w:i w:val="1"/>
          <w:iCs w:val="1"/>
          <w:highlight w:val="yellow"/>
          <w:rtl w:val="0"/>
        </w:rPr>
        <w:t xml:space="preserve">Part D will apply where Part A applies, is likely to apply where Part B applies, and may apply where Part C applies. </w:t>
      </w:r>
      <w:r w:rsidDel="00000000" w:rsidR="00000000" w:rsidRPr="00000000">
        <w:rPr>
          <w:rFonts w:ascii="Arial" w:cs="Arial" w:eastAsia="Arial" w:hAnsi="Arial"/>
          <w:b w:val="1"/>
          <w:bCs w:val="1"/>
          <w:i w:val="1"/>
          <w:iCs w:val="1"/>
          <w:highlight w:val="yellow"/>
          <w:rtl w:val="0"/>
        </w:rPr>
        <w:t xml:space="preserve">Please note that Part D may also apply where there is not a TUPE transfer, for example, where the incumbent provider is successful and becomes the new Supplier. Buyers will need to select which Annexes shall apply (either D1 (CSPS), D2 (NHSPS), D3 (LGPS) or D4 (Other schemes)).</w:t>
      </w:r>
    </w:p>
    <w:p w:rsidR="00000000" w:rsidDel="00000000" w:rsidP="00000000" w:rsidRDefault="00000000" w:rsidRPr="00000000" w14:paraId="0000000A">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Please note that the Buyer is giving indemnities in Parts A and C, and is agreeing to procure indemnities in Parts B, C, and E. Legal advice is required, therefore, to ensure that the Buyer understands the scope of its liability under these indemnities. </w:t>
      </w:r>
    </w:p>
    <w:p w:rsidR="00000000" w:rsidDel="00000000" w:rsidP="00000000" w:rsidRDefault="00000000" w:rsidRPr="00000000" w14:paraId="0000000B">
      <w:pPr>
        <w:spacing w:after="120" w:before="120" w:lineRule="auto"/>
        <w:jc w:val="left"/>
        <w:rPr>
          <w:rFonts w:ascii="Arial" w:cs="Arial" w:eastAsia="Arial" w:hAnsi="Arial"/>
          <w:b w:val="1"/>
          <w:bCs w:val="1"/>
          <w:i w:val="1"/>
          <w:iCs w:val="1"/>
          <w:highlight w:val="yellow"/>
        </w:rPr>
      </w:pPr>
      <w:r w:rsidDel="00000000" w:rsidR="00000000" w:rsidRPr="00000000">
        <w:rPr>
          <w:rFonts w:ascii="Arial" w:cs="Arial" w:eastAsia="Arial" w:hAnsi="Arial"/>
          <w:b w:val="1"/>
          <w:bCs w:val="1"/>
          <w:i w:val="1"/>
          <w:iCs w:val="1"/>
          <w:highlight w:val="yellow"/>
          <w:rtl w:val="0"/>
        </w:rPr>
        <w:t xml:space="preserve">Please note Part C can be amended so that the indemnities are only given in respect of Buyer employees; again legal advice should be taken.</w:t>
      </w:r>
    </w:p>
    <w:p w:rsidR="00000000" w:rsidDel="00000000" w:rsidP="00000000" w:rsidRDefault="00000000" w:rsidRPr="00000000" w14:paraId="0000000C">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Please note that the PSC at Part E contains exit provisions and indemnities including, at Part E paragraph 2.11, the obligation on the Buyer to procure indemnities from a Replacement Supplier in favour of the Supplier. If the Buyer is co-commissioning these Services or commissioning on behalf of another part of the Crown, consideration should be given as to whether the Buyer will be able to procure such indemnities or whether the obligation should be to use "reasonable endeavours" to procure. </w:t>
      </w:r>
    </w:p>
    <w:p w:rsidR="00000000" w:rsidDel="00000000" w:rsidP="00000000" w:rsidRDefault="00000000" w:rsidRPr="00000000" w14:paraId="0000000D">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Part E (dealing with staff transfer on exit) is required for every contract for services, irrespective of whether TUPE or New Fair Deal applies at the start of the contract. Part E is required to give employment protection on termination and/or expiry of the contract.</w:t>
      </w:r>
    </w:p>
    <w:p w:rsidR="00000000" w:rsidDel="00000000" w:rsidP="00000000" w:rsidRDefault="00000000" w:rsidRPr="00000000" w14:paraId="0000000E">
      <w:pPr>
        <w:spacing w:after="120" w:before="120" w:lineRule="auto"/>
        <w:jc w:val="left"/>
        <w:rPr>
          <w:rFonts w:ascii="Arial" w:cs="Arial" w:eastAsia="Arial" w:hAnsi="Arial"/>
          <w:b w:val="1"/>
          <w:bCs w:val="1"/>
          <w:i w:val="1"/>
          <w:iCs w:val="1"/>
          <w:highlight w:val="yellow"/>
        </w:rPr>
      </w:pPr>
      <w:r w:rsidDel="00000000" w:rsidR="00000000" w:rsidRPr="00000000">
        <w:rPr>
          <w:rFonts w:ascii="Arial" w:cs="Arial" w:eastAsia="Arial" w:hAnsi="Arial"/>
          <w:b w:val="1"/>
          <w:bCs w:val="1"/>
          <w:i w:val="1"/>
          <w:iCs w:val="1"/>
          <w:highlight w:val="yellow"/>
          <w:rtl w:val="0"/>
        </w:rPr>
        <w:t xml:space="preserve">Note that some paragraphs of this Schedule are referred to in the "Third Party Rights" section of the General Terms, and care should be taken to update these references if there is any renumbering in this Schedule.]</w:t>
      </w:r>
    </w:p>
    <w:p w:rsidR="00000000" w:rsidDel="00000000" w:rsidP="00000000" w:rsidRDefault="00000000" w:rsidRPr="00000000" w14:paraId="0000000F">
      <w:pPr>
        <w:keepNext w:val="1"/>
        <w:numPr>
          <w:ilvl w:val="0"/>
          <w:numId w:val="8"/>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Definitions</w:t>
      </w:r>
    </w:p>
    <w:p w:rsidR="00000000" w:rsidDel="00000000" w:rsidP="00000000" w:rsidRDefault="00000000" w:rsidRPr="00000000" w14:paraId="00000010">
      <w:pPr>
        <w:keepNext w:val="1"/>
        <w:numPr>
          <w:ilvl w:val="1"/>
          <w:numId w:val="8"/>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In this Schedule, the following words have the following meanings and they shall supplement Joint Schedule 1 </w:t>
      </w:r>
      <w:r w:rsidDel="00000000" w:rsidR="00000000" w:rsidRPr="00000000">
        <w:rPr>
          <w:i w:val="1"/>
          <w:iCs w:val="1"/>
          <w:color w:val="000000"/>
          <w:rtl w:val="0"/>
        </w:rPr>
        <w:t xml:space="preserve">(Definitions)</w:t>
      </w:r>
      <w:r w:rsidDel="00000000" w:rsidR="00000000" w:rsidRPr="00000000">
        <w:rPr>
          <w:color w:val="000000"/>
          <w:rtl w:val="0"/>
        </w:rPr>
        <w:t xml:space="preserve">:</w:t>
      </w:r>
    </w:p>
    <w:tbl>
      <w:tblPr>
        <w:tblStyle w:val="Table1"/>
        <w:tblW w:w="8485.0" w:type="dxa"/>
        <w:jc w:val="left"/>
        <w:tblInd w:w="426.0" w:type="dxa"/>
        <w:tblLayout w:type="fixed"/>
        <w:tblLook w:val="0400"/>
      </w:tblPr>
      <w:tblGrid>
        <w:gridCol w:w="2835"/>
        <w:gridCol w:w="5650"/>
        <w:tblGridChange w:id="0">
          <w:tblGrid>
            <w:gridCol w:w="2835"/>
            <w:gridCol w:w="5650"/>
          </w:tblGrid>
        </w:tblGridChange>
      </w:tblGrid>
      <w:tr>
        <w:trPr>
          <w:cantSplit w:val="0"/>
          <w:tblHeader w:val="0"/>
        </w:trPr>
        <w:tc>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before="120" w:lineRule="auto"/>
              <w:ind w:left="706" w:firstLine="0"/>
              <w:jc w:val="left"/>
              <w:rPr>
                <w:b w:val="1"/>
                <w:bCs w:val="1"/>
                <w:color w:val="000000"/>
              </w:rPr>
            </w:pPr>
            <w:r w:rsidDel="00000000" w:rsidR="00000000" w:rsidRPr="00000000">
              <w:rPr>
                <w:b w:val="1"/>
                <w:bCs w:val="1"/>
                <w:color w:val="000000"/>
                <w:rtl w:val="0"/>
              </w:rPr>
              <w:t xml:space="preserve">“Admission Agreement” </w:t>
            </w:r>
          </w:p>
        </w:tc>
        <w:tc>
          <w:tcPr/>
          <w:p w:rsidR="00000000" w:rsidDel="00000000" w:rsidP="00000000" w:rsidRDefault="00000000" w:rsidRPr="00000000" w14:paraId="00000012">
            <w:pPr>
              <w:spacing w:after="120" w:before="120" w:lineRule="auto"/>
              <w:ind w:left="170" w:firstLine="0"/>
              <w:jc w:val="left"/>
              <w:rPr/>
            </w:pPr>
            <w:r w:rsidDel="00000000" w:rsidR="00000000" w:rsidRPr="00000000">
              <w:rPr>
                <w:rtl w:val="0"/>
              </w:rPr>
              <w:t xml:space="preserve">either or both of the CSPS Admission Agreement (as defined in Annex D1: CSPS) or the LGPS Admission Agreement) as defined in Annex D3: LGPS), as the context requires;</w:t>
            </w:r>
          </w:p>
        </w:tc>
      </w:tr>
      <w:tr>
        <w:trPr>
          <w:cantSplit w:val="0"/>
          <w:tblHeader w:val="0"/>
        </w:trPr>
        <w:tc>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before="120" w:lineRule="auto"/>
              <w:ind w:left="706" w:firstLine="0"/>
              <w:jc w:val="left"/>
              <w:rPr>
                <w:b w:val="1"/>
                <w:bCs w:val="1"/>
                <w:color w:val="000000"/>
              </w:rPr>
            </w:pPr>
            <w:r w:rsidDel="00000000" w:rsidR="00000000" w:rsidRPr="00000000">
              <w:rPr>
                <w:b w:val="1"/>
                <w:bCs w:val="1"/>
                <w:color w:val="000000"/>
                <w:rtl w:val="0"/>
              </w:rPr>
              <w:t xml:space="preserve">"Employee Liability"</w:t>
            </w:r>
          </w:p>
        </w:tc>
        <w:tc>
          <w:tcPr/>
          <w:p w:rsidR="00000000" w:rsidDel="00000000" w:rsidP="00000000" w:rsidRDefault="00000000" w:rsidRPr="00000000" w14:paraId="00000014">
            <w:pPr>
              <w:spacing w:after="120" w:before="120" w:lineRule="auto"/>
              <w:ind w:left="170" w:firstLine="0"/>
              <w:jc w:val="left"/>
              <w:rPr>
                <w:b w:val="1"/>
                <w:bCs w:val="1"/>
              </w:rPr>
            </w:pPr>
            <w:r w:rsidDel="00000000" w:rsidR="00000000" w:rsidRPr="00000000">
              <w:rPr>
                <w:rtl w:val="0"/>
              </w:rPr>
              <w:t xml:space="preserve">all claims, actions, proceedings, orders, demands, complaints, investigations (save for any claims for personal injury which are covered by insurance) and any award, compensation, damages, tribunal awards, fine, loss, order, penalty, disbursement, payment made by way of settlement and costs, expenses and legal costs reasonably incurred in connection with a claim or investigation including in relation to the following:</w:t>
            </w:r>
            <w:r w:rsidDel="00000000" w:rsidR="00000000" w:rsidRPr="00000000">
              <w:rPr>
                <w:rtl w:val="0"/>
              </w:rPr>
            </w:r>
          </w:p>
          <w:p w:rsidR="00000000" w:rsidDel="00000000" w:rsidP="00000000" w:rsidRDefault="00000000" w:rsidRPr="00000000" w14:paraId="00000015">
            <w:pPr>
              <w:numPr>
                <w:ilvl w:val="1"/>
                <w:numId w:val="3"/>
              </w:numPr>
              <w:spacing w:after="120" w:before="120" w:lineRule="auto"/>
              <w:ind w:left="720" w:hanging="545"/>
              <w:jc w:val="left"/>
              <w:rPr/>
            </w:pPr>
            <w:r w:rsidDel="00000000" w:rsidR="00000000" w:rsidRPr="00000000">
              <w:rPr>
                <w:color w:val="000000"/>
                <w:rtl w:val="0"/>
              </w:rPr>
              <w:t xml:space="preserve">redundancy</w:t>
            </w:r>
            <w:r w:rsidDel="00000000" w:rsidR="00000000" w:rsidRPr="00000000">
              <w:rPr>
                <w:rtl w:val="0"/>
              </w:rPr>
              <w:t xml:space="preserve"> payments including contractual or enhanced redundancy costs, termination costs and notice payments; </w:t>
            </w:r>
            <w:r w:rsidDel="00000000" w:rsidR="00000000" w:rsidRPr="00000000">
              <w:rPr>
                <w:rtl w:val="0"/>
              </w:rPr>
            </w:r>
          </w:p>
        </w:tc>
      </w:tr>
      <w:tr>
        <w:trPr>
          <w:cantSplit w:val="0"/>
          <w:tblHeader w:val="0"/>
        </w:trPr>
        <w:tc>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Rule="auto"/>
              <w:ind w:left="706" w:firstLine="0"/>
              <w:jc w:val="left"/>
              <w:rPr>
                <w:b w:val="1"/>
                <w:bCs w:val="1"/>
                <w:color w:val="000000"/>
              </w:rPr>
            </w:pPr>
            <w:r w:rsidDel="00000000" w:rsidR="00000000" w:rsidRPr="00000000">
              <w:rPr>
                <w:rtl w:val="0"/>
              </w:rPr>
            </w:r>
          </w:p>
        </w:tc>
        <w:tc>
          <w:tcPr/>
          <w:p w:rsidR="00000000" w:rsidDel="00000000" w:rsidP="00000000" w:rsidRDefault="00000000" w:rsidRPr="00000000" w14:paraId="00000017">
            <w:pPr>
              <w:numPr>
                <w:ilvl w:val="1"/>
                <w:numId w:val="3"/>
              </w:numPr>
              <w:spacing w:after="120" w:before="120" w:lineRule="auto"/>
              <w:ind w:left="720" w:hanging="545"/>
              <w:jc w:val="left"/>
              <w:rPr/>
            </w:pPr>
            <w:r w:rsidDel="00000000" w:rsidR="00000000" w:rsidRPr="00000000">
              <w:rPr>
                <w:rtl w:val="0"/>
              </w:rPr>
              <w:t xml:space="preserve">unfair, wrongful or constructive dismissal </w:t>
            </w:r>
            <w:r w:rsidDel="00000000" w:rsidR="00000000" w:rsidRPr="00000000">
              <w:rPr>
                <w:color w:val="000000"/>
                <w:rtl w:val="0"/>
              </w:rPr>
              <w:t xml:space="preserve">compensation</w:t>
            </w:r>
            <w:r w:rsidDel="00000000" w:rsidR="00000000" w:rsidRPr="00000000">
              <w:rPr>
                <w:rtl w:val="0"/>
              </w:rPr>
              <w:t xml:space="preserve">;</w:t>
            </w:r>
          </w:p>
        </w:tc>
      </w:tr>
      <w:tr>
        <w:trPr>
          <w:cantSplit w:val="0"/>
          <w:tblHeader w:val="0"/>
        </w:trPr>
        <w:tc>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before="120" w:lineRule="auto"/>
              <w:ind w:left="706" w:firstLine="0"/>
              <w:jc w:val="left"/>
              <w:rPr>
                <w:b w:val="1"/>
                <w:bCs w:val="1"/>
                <w:color w:val="000000"/>
              </w:rPr>
            </w:pPr>
            <w:r w:rsidDel="00000000" w:rsidR="00000000" w:rsidRPr="00000000">
              <w:rPr>
                <w:rtl w:val="0"/>
              </w:rPr>
            </w:r>
          </w:p>
        </w:tc>
        <w:tc>
          <w:tcPr/>
          <w:p w:rsidR="00000000" w:rsidDel="00000000" w:rsidP="00000000" w:rsidRDefault="00000000" w:rsidRPr="00000000" w14:paraId="00000019">
            <w:pPr>
              <w:numPr>
                <w:ilvl w:val="1"/>
                <w:numId w:val="3"/>
              </w:numPr>
              <w:spacing w:after="120" w:before="120" w:lineRule="auto"/>
              <w:ind w:left="720" w:hanging="545"/>
              <w:jc w:val="left"/>
              <w:rPr/>
            </w:pPr>
            <w:r w:rsidDel="00000000" w:rsidR="00000000" w:rsidRPr="00000000">
              <w:rPr>
                <w:rtl w:val="0"/>
              </w:rPr>
              <w:t xml:space="preserve">compensation for discrimination on grounds of sex, race, disability, age, religion or belief, gender reassignment, marriage or civil partnership, pregnancy and maternity or sexual orientation or claims for equal pay; </w:t>
            </w:r>
          </w:p>
        </w:tc>
      </w:tr>
      <w:tr>
        <w:trPr>
          <w:cantSplit w:val="0"/>
          <w:tblHeader w:val="0"/>
        </w:trPr>
        <w:tc>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before="120" w:lineRule="auto"/>
              <w:ind w:left="706" w:firstLine="0"/>
              <w:jc w:val="left"/>
              <w:rPr>
                <w:b w:val="1"/>
                <w:bCs w:val="1"/>
                <w:color w:val="000000"/>
              </w:rPr>
            </w:pPr>
            <w:r w:rsidDel="00000000" w:rsidR="00000000" w:rsidRPr="00000000">
              <w:rPr>
                <w:rtl w:val="0"/>
              </w:rPr>
            </w:r>
          </w:p>
        </w:tc>
        <w:tc>
          <w:tcPr/>
          <w:p w:rsidR="00000000" w:rsidDel="00000000" w:rsidP="00000000" w:rsidRDefault="00000000" w:rsidRPr="00000000" w14:paraId="0000001B">
            <w:pPr>
              <w:numPr>
                <w:ilvl w:val="1"/>
                <w:numId w:val="3"/>
              </w:numPr>
              <w:spacing w:after="120" w:before="120" w:lineRule="auto"/>
              <w:ind w:left="720" w:hanging="545"/>
              <w:jc w:val="left"/>
              <w:rPr/>
            </w:pPr>
            <w:r w:rsidDel="00000000" w:rsidR="00000000" w:rsidRPr="00000000">
              <w:rPr>
                <w:rtl w:val="0"/>
              </w:rPr>
              <w:t xml:space="preserve">compensation for less favourable treatment of part-time workers or fixed term employees;</w:t>
            </w:r>
          </w:p>
        </w:tc>
      </w:tr>
      <w:tr>
        <w:trPr>
          <w:cantSplit w:val="0"/>
          <w:tblHeader w:val="0"/>
        </w:trPr>
        <w:tc>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20" w:before="120" w:lineRule="auto"/>
              <w:ind w:left="706" w:firstLine="0"/>
              <w:jc w:val="left"/>
              <w:rPr>
                <w:b w:val="1"/>
                <w:bCs w:val="1"/>
                <w:color w:val="000000"/>
              </w:rPr>
            </w:pPr>
            <w:r w:rsidDel="00000000" w:rsidR="00000000" w:rsidRPr="00000000">
              <w:rPr>
                <w:rtl w:val="0"/>
              </w:rPr>
            </w:r>
          </w:p>
        </w:tc>
        <w:tc>
          <w:tcPr/>
          <w:p w:rsidR="00000000" w:rsidDel="00000000" w:rsidP="00000000" w:rsidRDefault="00000000" w:rsidRPr="00000000" w14:paraId="0000001D">
            <w:pPr>
              <w:numPr>
                <w:ilvl w:val="1"/>
                <w:numId w:val="3"/>
              </w:numPr>
              <w:spacing w:after="120" w:before="120" w:lineRule="auto"/>
              <w:ind w:left="720" w:hanging="545"/>
              <w:jc w:val="left"/>
              <w:rPr/>
            </w:pPr>
            <w:r w:rsidDel="00000000" w:rsidR="00000000" w:rsidRPr="00000000">
              <w:rPr>
                <w:rtl w:val="0"/>
              </w:rPr>
              <w:t xml:space="preserve">outstanding debts and unlawful deduction of wages </w:t>
            </w:r>
            <w:r w:rsidDel="00000000" w:rsidR="00000000" w:rsidRPr="00000000">
              <w:rPr>
                <w:color w:val="000000"/>
                <w:rtl w:val="0"/>
              </w:rPr>
              <w:t xml:space="preserve">including</w:t>
            </w:r>
            <w:r w:rsidDel="00000000" w:rsidR="00000000" w:rsidRPr="00000000">
              <w:rPr>
                <w:rtl w:val="0"/>
              </w:rPr>
              <w:t xml:space="preserve"> any PAYE and National Insurance Contributions in relation to payments made by the Buyer or the Replacement Supplier to a Transferring Supplier Employee which would have been payable by the Supplier or the Subcontractor if such payment should have been made prior to the Service Transfer Date and also including any payments arising in respect of pensions;</w:t>
            </w:r>
            <w:r w:rsidDel="00000000" w:rsidR="00000000" w:rsidRPr="00000000">
              <w:rPr>
                <w:rtl w:val="0"/>
              </w:rPr>
            </w:r>
          </w:p>
        </w:tc>
      </w:tr>
      <w:tr>
        <w:trPr>
          <w:cantSplit w:val="0"/>
          <w:tblHeader w:val="0"/>
        </w:trPr>
        <w:tc>
          <w:tcPr/>
          <w:p w:rsidR="00000000" w:rsidDel="00000000" w:rsidP="00000000" w:rsidRDefault="00000000" w:rsidRPr="00000000" w14:paraId="0000001E">
            <w:pPr>
              <w:keepNext w:val="1"/>
              <w:pBdr>
                <w:top w:space="0" w:sz="0" w:val="nil"/>
                <w:left w:space="0" w:sz="0" w:val="nil"/>
                <w:bottom w:space="0" w:sz="0" w:val="nil"/>
                <w:right w:space="0" w:sz="0" w:val="nil"/>
                <w:between w:space="0" w:sz="0" w:val="nil"/>
              </w:pBdr>
              <w:spacing w:after="120" w:before="120" w:lineRule="auto"/>
              <w:ind w:left="706" w:firstLine="0"/>
              <w:jc w:val="left"/>
              <w:rPr>
                <w:b w:val="1"/>
                <w:bCs w:val="1"/>
                <w:color w:val="000000"/>
              </w:rPr>
            </w:pPr>
            <w:r w:rsidDel="00000000" w:rsidR="00000000" w:rsidRPr="00000000">
              <w:rPr>
                <w:rtl w:val="0"/>
              </w:rPr>
            </w:r>
          </w:p>
        </w:tc>
        <w:tc>
          <w:tcPr/>
          <w:p w:rsidR="00000000" w:rsidDel="00000000" w:rsidP="00000000" w:rsidRDefault="00000000" w:rsidRPr="00000000" w14:paraId="0000001F">
            <w:pPr>
              <w:numPr>
                <w:ilvl w:val="1"/>
                <w:numId w:val="3"/>
              </w:numPr>
              <w:spacing w:after="120" w:before="120" w:lineRule="auto"/>
              <w:ind w:left="720" w:hanging="545"/>
              <w:jc w:val="left"/>
              <w:rPr/>
            </w:pPr>
            <w:r w:rsidDel="00000000" w:rsidR="00000000" w:rsidRPr="00000000">
              <w:rPr>
                <w:rtl w:val="0"/>
              </w:rPr>
              <w:t xml:space="preserve">claims whether in tort, contract or statute or otherwise;</w:t>
            </w:r>
            <w:r w:rsidDel="00000000" w:rsidR="00000000" w:rsidRPr="00000000">
              <w:rPr>
                <w:rtl w:val="0"/>
              </w:rPr>
            </w:r>
          </w:p>
        </w:tc>
      </w:tr>
      <w:tr>
        <w:trPr>
          <w:cantSplit w:val="0"/>
          <w:tblHeader w:val="0"/>
        </w:trPr>
        <w:tc>
          <w:tcPr/>
          <w:p w:rsidR="00000000" w:rsidDel="00000000" w:rsidP="00000000" w:rsidRDefault="00000000" w:rsidRPr="00000000" w14:paraId="00000020">
            <w:pPr>
              <w:keepNext w:val="1"/>
              <w:pBdr>
                <w:top w:space="0" w:sz="0" w:val="nil"/>
                <w:left w:space="0" w:sz="0" w:val="nil"/>
                <w:bottom w:space="0" w:sz="0" w:val="nil"/>
                <w:right w:space="0" w:sz="0" w:val="nil"/>
                <w:between w:space="0" w:sz="0" w:val="nil"/>
              </w:pBdr>
              <w:spacing w:after="120" w:before="120" w:lineRule="auto"/>
              <w:ind w:left="706" w:firstLine="0"/>
              <w:jc w:val="left"/>
              <w:rPr>
                <w:b w:val="1"/>
                <w:bCs w:val="1"/>
                <w:color w:val="000000"/>
              </w:rPr>
            </w:pPr>
            <w:r w:rsidDel="00000000" w:rsidR="00000000" w:rsidRPr="00000000">
              <w:rPr>
                <w:rtl w:val="0"/>
              </w:rPr>
            </w:r>
          </w:p>
        </w:tc>
        <w:tc>
          <w:tcPr/>
          <w:p w:rsidR="00000000" w:rsidDel="00000000" w:rsidP="00000000" w:rsidRDefault="00000000" w:rsidRPr="00000000" w14:paraId="00000021">
            <w:pPr>
              <w:numPr>
                <w:ilvl w:val="1"/>
                <w:numId w:val="3"/>
              </w:numPr>
              <w:spacing w:after="120" w:before="120" w:lineRule="auto"/>
              <w:ind w:left="720" w:hanging="545"/>
              <w:jc w:val="left"/>
              <w:rPr/>
            </w:pPr>
            <w:r w:rsidDel="00000000" w:rsidR="00000000" w:rsidRPr="00000000">
              <w:rPr>
                <w:rtl w:val="0"/>
              </w:rPr>
              <w:t xml:space="preserve">any investigation by the Equality and Human Rights Commission or other enforcement, regulatory or supervisory body and of implementing any requirements which may arise from such investigation;</w:t>
            </w:r>
            <w:r w:rsidDel="00000000" w:rsidR="00000000" w:rsidRPr="00000000">
              <w:rPr>
                <w:rtl w:val="0"/>
              </w:rPr>
            </w:r>
          </w:p>
        </w:tc>
      </w:tr>
      <w:tr>
        <w:trPr>
          <w:cantSplit w:val="0"/>
          <w:tblHeader w:val="0"/>
        </w:trPr>
        <w:tc>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“Fair Deal Employees”</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"Former Supplier"</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rtl w:val="0"/>
              </w:rPr>
            </w:r>
          </w:p>
        </w:tc>
        <w:tc>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as defined in Part D;</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a supplier supplying the Services to the Buyer before any Relevant Transfer Date that are the same as or substantially similar to the Services (or any part of the Services) and shall include any subcontractor of such supplier (or any subcontractor of any such subcontractor);</w:t>
            </w:r>
          </w:p>
        </w:tc>
      </w:tr>
      <w:tr>
        <w:trPr>
          <w:cantSplit w:val="0"/>
          <w:tblHeader w:val="0"/>
        </w:trPr>
        <w:tc>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"Final Supplier Staff List"</w:t>
            </w:r>
          </w:p>
        </w:tc>
        <w:tc>
          <w:tcPr/>
          <w:p w:rsidR="00000000" w:rsidDel="00000000" w:rsidP="00000000" w:rsidRDefault="00000000" w:rsidRPr="00000000" w14:paraId="00000029">
            <w:pPr>
              <w:spacing w:after="120" w:before="120" w:lineRule="auto"/>
              <w:jc w:val="left"/>
              <w:rPr/>
            </w:pPr>
            <w:r w:rsidDel="00000000" w:rsidR="00000000" w:rsidRPr="00000000">
              <w:rPr>
                <w:rtl w:val="0"/>
              </w:rPr>
              <w:t xml:space="preserve">a list provided by the Supplier of all Supplier Staff who will transfer under the Employment Regulations on the Service Transfer Date;</w:t>
            </w:r>
          </w:p>
        </w:tc>
      </w:tr>
      <w:tr>
        <w:trPr>
          <w:cantSplit w:val="0"/>
          <w:trHeight w:val="3560" w:hRule="atLeast"/>
          <w:tblHeader w:val="0"/>
        </w:trPr>
        <w:tc>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"New Fair Deal"</w:t>
            </w:r>
          </w:p>
        </w:tc>
        <w:tc>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the revised Fair Deal position set out in the HM Treasury guidance: "</w:t>
            </w:r>
            <w:r w:rsidDel="00000000" w:rsidR="00000000" w:rsidRPr="00000000">
              <w:rPr>
                <w:i w:val="1"/>
                <w:iCs w:val="1"/>
                <w:rtl w:val="0"/>
              </w:rPr>
              <w:t xml:space="preserve">Fair Deal for Staff Pensions: Staff Transfer from Central Government</w:t>
            </w:r>
            <w:r w:rsidDel="00000000" w:rsidR="00000000" w:rsidRPr="00000000">
              <w:rPr>
                <w:rtl w:val="0"/>
              </w:rPr>
              <w:t xml:space="preserve">" issued in October 2013 including:</w:t>
            </w:r>
          </w:p>
          <w:p w:rsidR="00000000" w:rsidDel="00000000" w:rsidP="00000000" w:rsidRDefault="00000000" w:rsidRPr="00000000" w14:paraId="0000002C">
            <w:pPr>
              <w:numPr>
                <w:ilvl w:val="5"/>
                <w:numId w:val="3"/>
              </w:numPr>
              <w:pBdr>
                <w:top w:space="0" w:sz="0" w:val="nil"/>
                <w:left w:space="0" w:sz="0" w:val="nil"/>
                <w:bottom w:space="0" w:sz="0" w:val="nil"/>
                <w:right w:space="0" w:sz="0" w:val="nil"/>
                <w:between w:space="0" w:sz="0" w:val="nil"/>
              </w:pBdr>
              <w:spacing w:after="120" w:before="120" w:lineRule="auto"/>
              <w:ind w:left="1506" w:hanging="567"/>
              <w:jc w:val="left"/>
              <w:rPr/>
            </w:pPr>
            <w:r w:rsidDel="00000000" w:rsidR="00000000" w:rsidRPr="00000000">
              <w:rPr>
                <w:rtl w:val="0"/>
              </w:rPr>
              <w:t xml:space="preserve">any amendments to that document immediately prior to the Relevant Transfer Date; and</w:t>
            </w:r>
          </w:p>
          <w:p w:rsidR="00000000" w:rsidDel="00000000" w:rsidP="00000000" w:rsidRDefault="00000000" w:rsidRPr="00000000" w14:paraId="0000002D">
            <w:pPr>
              <w:numPr>
                <w:ilvl w:val="5"/>
                <w:numId w:val="3"/>
              </w:numPr>
              <w:pBdr>
                <w:top w:space="0" w:sz="0" w:val="nil"/>
                <w:left w:space="0" w:sz="0" w:val="nil"/>
                <w:bottom w:space="0" w:sz="0" w:val="nil"/>
                <w:right w:space="0" w:sz="0" w:val="nil"/>
                <w:between w:space="0" w:sz="0" w:val="nil"/>
              </w:pBdr>
              <w:spacing w:after="120" w:before="120" w:lineRule="auto"/>
              <w:ind w:left="1506" w:hanging="567"/>
              <w:jc w:val="left"/>
              <w:rPr/>
            </w:pPr>
            <w:r w:rsidDel="00000000" w:rsidR="00000000" w:rsidRPr="00000000">
              <w:rPr>
                <w:rtl w:val="0"/>
              </w:rPr>
              <w:t xml:space="preserve">any similar pension protection in accordance with the Annexes D1-D3 inclusive to Part D of this Schedule as notified to the Supplier by the Buyer;</w:t>
            </w:r>
          </w:p>
        </w:tc>
      </w:tr>
      <w:tr>
        <w:trPr>
          <w:cantSplit w:val="0"/>
          <w:trHeight w:val="1549" w:hRule="atLeast"/>
          <w:tblHeader w:val="0"/>
        </w:trPr>
        <w:tc>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“Notified Subcontractor”</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rtl w:val="0"/>
              </w:rPr>
            </w:r>
          </w:p>
        </w:tc>
        <w:tc>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rtl w:val="0"/>
              </w:rPr>
              <w:t xml:space="preserve">a subcontractor identified in the Annex to this Schedule to whom Transferring Buyer Employees and/or Transferring Former Supplier Employees will transfer on a Relevant Transfer Date;</w:t>
            </w:r>
            <w:r w:rsidDel="00000000" w:rsidR="00000000" w:rsidRPr="00000000">
              <w:rPr>
                <w:rtl w:val="0"/>
              </w:rPr>
            </w:r>
          </w:p>
        </w:tc>
      </w:tr>
      <w:tr>
        <w:trPr>
          <w:cantSplit w:val="0"/>
          <w:tblHeader w:val="0"/>
        </w:trPr>
        <w:tc>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“Old Fair Deal”</w:t>
            </w:r>
          </w:p>
        </w:tc>
        <w:tc>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color w:val="000000"/>
                <w:rtl w:val="0"/>
              </w:rPr>
              <w:t xml:space="preserve">HM Treasury Guidance “</w:t>
            </w:r>
            <w:r w:rsidDel="00000000" w:rsidR="00000000" w:rsidRPr="00000000">
              <w:rPr>
                <w:i w:val="1"/>
                <w:iCs w:val="1"/>
                <w:color w:val="000000"/>
                <w:rtl w:val="0"/>
              </w:rPr>
              <w:t xml:space="preserve">Staff Transfers from Central Government: A Fair Deal for Staff Pensions</w:t>
            </w:r>
            <w:r w:rsidDel="00000000" w:rsidR="00000000" w:rsidRPr="00000000">
              <w:rPr>
                <w:color w:val="000000"/>
                <w:rtl w:val="0"/>
              </w:rPr>
              <w:t xml:space="preserve">” issued in June 1999 including the supplementary guidance “</w:t>
            </w:r>
            <w:r w:rsidDel="00000000" w:rsidR="00000000" w:rsidRPr="00000000">
              <w:rPr>
                <w:i w:val="1"/>
                <w:iCs w:val="1"/>
                <w:color w:val="000000"/>
                <w:rtl w:val="0"/>
              </w:rPr>
              <w:t xml:space="preserve">Fair Deal for Staff pensions: Procurement of Bulk Transfer Agreements and Related Issues</w:t>
            </w:r>
            <w:r w:rsidDel="00000000" w:rsidR="00000000" w:rsidRPr="00000000">
              <w:rPr>
                <w:color w:val="000000"/>
                <w:rtl w:val="0"/>
              </w:rPr>
              <w:t xml:space="preserve">” issued in June 2004;</w:t>
            </w:r>
          </w:p>
        </w:tc>
      </w:tr>
      <w:tr>
        <w:trPr>
          <w:cantSplit w:val="0"/>
          <w:tblHeader w:val="0"/>
        </w:trPr>
        <w:tc>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"Partial Termination"</w:t>
            </w:r>
          </w:p>
        </w:tc>
        <w:tc>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color w:val="000000"/>
                <w:rtl w:val="0"/>
              </w:rPr>
              <w:t xml:space="preserve">the partial termination of the relevant Contract to the extent that it relates to the provision of any part of the Services as further provided for in Clause 13.6 </w:t>
            </w:r>
            <w:r w:rsidDel="00000000" w:rsidR="00000000" w:rsidRPr="00000000">
              <w:rPr>
                <w:i w:val="1"/>
                <w:iCs w:val="1"/>
                <w:color w:val="000000"/>
                <w:rtl w:val="0"/>
              </w:rPr>
              <w:t xml:space="preserve">(Partially ending and suspending the Contract) </w:t>
            </w:r>
            <w:r w:rsidDel="00000000" w:rsidR="00000000" w:rsidRPr="00000000">
              <w:rPr>
                <w:color w:val="000000"/>
                <w:rtl w:val="0"/>
              </w:rPr>
              <w:t xml:space="preserve">of the General Terms;</w:t>
            </w:r>
          </w:p>
        </w:tc>
      </w:tr>
      <w:tr>
        <w:trPr>
          <w:cantSplit w:val="0"/>
          <w:tblHeader w:val="0"/>
        </w:trPr>
        <w:tc>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120" w:before="120" w:lineRule="auto"/>
              <w:ind w:left="709" w:firstLine="0"/>
              <w:jc w:val="left"/>
              <w:rPr>
                <w:b w:val="1"/>
                <w:bCs w:val="1"/>
              </w:rPr>
            </w:pPr>
            <w:r w:rsidDel="00000000" w:rsidR="00000000" w:rsidRPr="00000000">
              <w:rPr>
                <w:b w:val="1"/>
                <w:bCs w:val="1"/>
                <w:rtl w:val="0"/>
              </w:rPr>
              <w:t xml:space="preserve">"Provisional Supplier Staff List"</w:t>
            </w:r>
          </w:p>
        </w:tc>
        <w:tc>
          <w:tcPr/>
          <w:p w:rsidR="00000000" w:rsidDel="00000000" w:rsidP="00000000" w:rsidRDefault="00000000" w:rsidRPr="00000000" w14:paraId="00000036">
            <w:pPr>
              <w:spacing w:after="120" w:before="120" w:lineRule="auto"/>
              <w:jc w:val="left"/>
              <w:rPr/>
            </w:pPr>
            <w:r w:rsidDel="00000000" w:rsidR="00000000" w:rsidRPr="00000000">
              <w:rPr>
                <w:rtl w:val="0"/>
              </w:rPr>
              <w:t xml:space="preserve">a list prepared and updated by the Supplier of all Supplier Staff who are at the date of the list wholly or mainly engaged in or assigned to the provision of the Services or any relevant part of the Services which it is envisaged as at the date of such list will no longer be provided by the Supplier;</w:t>
            </w:r>
          </w:p>
        </w:tc>
      </w:tr>
      <w:tr>
        <w:trPr>
          <w:cantSplit w:val="0"/>
          <w:tblHeader w:val="0"/>
        </w:trPr>
        <w:tc>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“Replacement Subcontractor”</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rtl w:val="0"/>
              </w:rPr>
            </w:r>
          </w:p>
        </w:tc>
        <w:tc>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rtl w:val="0"/>
              </w:rPr>
              <w:t xml:space="preserve">a subcontractor of the Replacement Supplier to whom Transferring Supplier Employees will transfer on a Service Transfer Date (or any subcontractor of any such subcontractor);</w:t>
            </w:r>
            <w:r w:rsidDel="00000000" w:rsidR="00000000" w:rsidRPr="00000000">
              <w:rPr>
                <w:rtl w:val="0"/>
              </w:rPr>
            </w:r>
          </w:p>
        </w:tc>
      </w:tr>
      <w:tr>
        <w:trPr>
          <w:cantSplit w:val="0"/>
          <w:tblHeader w:val="0"/>
        </w:trPr>
        <w:tc>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“Relevant Transfer”</w:t>
            </w:r>
          </w:p>
        </w:tc>
        <w:tc>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color w:val="000000"/>
                <w:rtl w:val="0"/>
              </w:rPr>
              <w:t xml:space="preserve">a transfer of employment to which the Employment Regulations applies;</w:t>
            </w:r>
          </w:p>
        </w:tc>
      </w:tr>
      <w:tr>
        <w:trPr>
          <w:cantSplit w:val="0"/>
          <w:tblHeader w:val="0"/>
        </w:trPr>
        <w:tc>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"Relevant Transfer Date"</w:t>
            </w:r>
          </w:p>
        </w:tc>
        <w:tc>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120" w:before="120" w:lineRule="auto"/>
              <w:jc w:val="left"/>
              <w:rPr>
                <w:color w:val="000000"/>
                <w:highlight w:val="green"/>
              </w:rPr>
            </w:pPr>
            <w:r w:rsidDel="00000000" w:rsidR="00000000" w:rsidRPr="00000000">
              <w:rPr>
                <w:color w:val="000000"/>
                <w:rtl w:val="0"/>
              </w:rPr>
              <w:t xml:space="preserve">in relation to a Relevant Transfer, the date upon which the Relevant Transfer takes place and for the purposes of Part D:and its Annexes, where the Supplier or a Subcontractor was the Former Supplier and there is no Relevant Transfer of the Fair Deal Employees because they remain continuously employed by the Supplier (or Subcontractor), references to the Relevant Transfer Date shall become references to the Start Date;</w:t>
            </w:r>
            <w:r w:rsidDel="00000000" w:rsidR="00000000" w:rsidRPr="00000000">
              <w:rPr>
                <w:rtl w:val="0"/>
              </w:rPr>
            </w:r>
          </w:p>
        </w:tc>
      </w:tr>
      <w:tr>
        <w:trPr>
          <w:cantSplit w:val="0"/>
          <w:tblHeader w:val="0"/>
        </w:trPr>
        <w:tc>
          <w:tcPr/>
          <w:p w:rsidR="00000000" w:rsidDel="00000000" w:rsidP="00000000" w:rsidRDefault="00000000" w:rsidRPr="00000000" w14:paraId="0000003E">
            <w:pPr>
              <w:keepNext w:val="1"/>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“Service Transfer”</w:t>
            </w:r>
          </w:p>
          <w:p w:rsidR="00000000" w:rsidDel="00000000" w:rsidP="00000000" w:rsidRDefault="00000000" w:rsidRPr="00000000" w14:paraId="0000003F">
            <w:pPr>
              <w:keepNext w:val="1"/>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rtl w:val="0"/>
              </w:rPr>
            </w:r>
          </w:p>
          <w:p w:rsidR="00000000" w:rsidDel="00000000" w:rsidP="00000000" w:rsidRDefault="00000000" w:rsidRPr="00000000" w14:paraId="00000040">
            <w:pPr>
              <w:keepNext w:val="1"/>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rtl w:val="0"/>
              </w:rPr>
            </w:r>
          </w:p>
          <w:p w:rsidR="00000000" w:rsidDel="00000000" w:rsidP="00000000" w:rsidRDefault="00000000" w:rsidRPr="00000000" w14:paraId="00000041">
            <w:pPr>
              <w:keepNext w:val="1"/>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rtl w:val="0"/>
              </w:rPr>
            </w:r>
          </w:p>
        </w:tc>
        <w:tc>
          <w:tcPr/>
          <w:p w:rsidR="00000000" w:rsidDel="00000000" w:rsidP="00000000" w:rsidRDefault="00000000" w:rsidRPr="00000000" w14:paraId="00000042">
            <w:pPr>
              <w:keepNext w:val="1"/>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rtl w:val="0"/>
              </w:rPr>
              <w:t xml:space="preserve">any transfer of the Services (or any part of the Services), for whatever reason, from the Supplier or any Subcontractor to a Replacement Supplier or a Replacement Subcontractor;</w:t>
            </w:r>
            <w:r w:rsidDel="00000000" w:rsidR="00000000" w:rsidRPr="00000000">
              <w:rPr>
                <w:rtl w:val="0"/>
              </w:rPr>
            </w:r>
          </w:p>
          <w:p w:rsidR="00000000" w:rsidDel="00000000" w:rsidP="00000000" w:rsidRDefault="00000000" w:rsidRPr="00000000" w14:paraId="00000043">
            <w:pPr>
              <w:keepNext w:val="1"/>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44">
            <w:pPr>
              <w:keepNext w:val="1"/>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"Staffing Information"</w:t>
            </w:r>
          </w:p>
        </w:tc>
        <w:tc>
          <w:tcPr/>
          <w:p w:rsidR="00000000" w:rsidDel="00000000" w:rsidP="00000000" w:rsidRDefault="00000000" w:rsidRPr="00000000" w14:paraId="00000045">
            <w:pPr>
              <w:keepNext w:val="1"/>
              <w:pBdr>
                <w:top w:space="0" w:sz="0" w:val="nil"/>
                <w:left w:space="0" w:sz="0" w:val="nil"/>
                <w:bottom w:space="0" w:sz="0" w:val="nil"/>
                <w:right w:space="0" w:sz="0" w:val="nil"/>
                <w:between w:space="0" w:sz="0" w:val="nil"/>
              </w:pBdr>
              <w:spacing w:after="120" w:before="120" w:lineRule="auto"/>
              <w:jc w:val="left"/>
              <w:rPr/>
            </w:pPr>
            <w:r w:rsidDel="00000000" w:rsidR="00000000" w:rsidRPr="00000000">
              <w:rPr>
                <w:color w:val="000000"/>
                <w:rtl w:val="0"/>
              </w:rPr>
              <w:t xml:space="preserve">in relation to all persons identified on the Provisional Supplier Staff List or Final Supplier Staff List, as the case may be, all information required in Annex E2 (Table of Staffing Information) in that format together with employee liability information specified in regulation 11(2) and 11(3) and if applicable regulation 11(4) of the Employment Regulations and such other information as the Buyer may reasonably require. The Buyer may acting reasonably make changes to information requested in Annex E2 from time to time;</w:t>
            </w:r>
            <w:r w:rsidDel="00000000" w:rsidR="00000000" w:rsidRPr="00000000">
              <w:rPr>
                <w:rtl w:val="0"/>
              </w:rPr>
            </w:r>
          </w:p>
        </w:tc>
      </w:tr>
      <w:tr>
        <w:trPr>
          <w:cantSplit w:val="0"/>
          <w:tblHeader w:val="0"/>
        </w:trPr>
        <w:tc>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“Statutory Schemes”</w:t>
            </w:r>
          </w:p>
        </w:tc>
        <w:tc>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rtl w:val="0"/>
              </w:rPr>
              <w:t xml:space="preserve">the CSPS, NHSPS or LGPS as defined in the Annexes to Part D of this Schedule;</w:t>
            </w:r>
            <w:r w:rsidDel="00000000" w:rsidR="00000000" w:rsidRPr="00000000">
              <w:rPr>
                <w:rtl w:val="0"/>
              </w:rPr>
            </w:r>
          </w:p>
        </w:tc>
      </w:tr>
      <w:tr>
        <w:trPr>
          <w:cantSplit w:val="0"/>
          <w:tblHeader w:val="0"/>
        </w:trPr>
        <w:tc>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"Transferring Buyer Employees"</w:t>
            </w:r>
          </w:p>
        </w:tc>
        <w:tc>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color w:val="000000"/>
                <w:rtl w:val="0"/>
              </w:rPr>
              <w:t xml:space="preserve">those employees of the Buyer to whom the Employment Regulations will apply on the Relevant Transfer Date;</w:t>
            </w:r>
          </w:p>
        </w:tc>
      </w:tr>
      <w:tr>
        <w:trPr>
          <w:cantSplit w:val="0"/>
          <w:tblHeader w:val="0"/>
        </w:trPr>
        <w:tc>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b w:val="1"/>
                <w:bCs w:val="1"/>
                <w:color w:val="000000"/>
                <w:rtl w:val="0"/>
              </w:rPr>
              <w:t xml:space="preserve">"Transferring Former Supplier Employees"</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120" w:before="120" w:lineRule="auto"/>
              <w:ind w:left="709" w:firstLine="0"/>
              <w:jc w:val="left"/>
              <w:rPr>
                <w:b w:val="1"/>
                <w:bCs w:val="1"/>
                <w:color w:val="000000"/>
                <w:highlight w:val="green"/>
              </w:rPr>
            </w:pPr>
            <w:r w:rsidDel="00000000" w:rsidR="00000000" w:rsidRPr="00000000">
              <w:rPr>
                <w:b w:val="1"/>
                <w:bCs w:val="1"/>
                <w:color w:val="000000"/>
                <w:rtl w:val="0"/>
              </w:rPr>
              <w:t xml:space="preserve">“Transferring Supplier Employees”</w:t>
            </w:r>
            <w:r w:rsidDel="00000000" w:rsidR="00000000" w:rsidRPr="00000000">
              <w:rPr>
                <w:rtl w:val="0"/>
              </w:rPr>
            </w:r>
          </w:p>
        </w:tc>
        <w:tc>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color w:val="000000"/>
                <w:rtl w:val="0"/>
              </w:rPr>
              <w:t xml:space="preserve">in relation to a Former Supplier, those employees of the Former Supplier to whom the Employment Regulations will apply on the Relevant Transfer Date; and</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120" w:before="120" w:lineRule="auto"/>
              <w:jc w:val="left"/>
              <w:rPr>
                <w:color w:val="000000"/>
                <w:highlight w:val="green"/>
              </w:rPr>
            </w:pPr>
            <w:r w:rsidDel="00000000" w:rsidR="00000000" w:rsidRPr="00000000">
              <w:rPr>
                <w:rtl w:val="0"/>
              </w:rPr>
              <w:t xml:space="preserve">those employees of the Supplier and/or the Supplier’s Subcontractors to whom the Employment Regulations will apply on the Relevant Transfer Date.</w:t>
            </w:r>
            <w:r w:rsidDel="00000000" w:rsidR="00000000" w:rsidRPr="00000000">
              <w:rPr>
                <w:rtl w:val="0"/>
              </w:rPr>
            </w:r>
          </w:p>
        </w:tc>
      </w:tr>
    </w:tbl>
    <w:p w:rsidR="00000000" w:rsidDel="00000000" w:rsidP="00000000" w:rsidRDefault="00000000" w:rsidRPr="00000000" w14:paraId="00000050">
      <w:pPr>
        <w:keepNext w:val="1"/>
        <w:numPr>
          <w:ilvl w:val="0"/>
          <w:numId w:val="8"/>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Interpretation</w:t>
      </w:r>
    </w:p>
    <w:p w:rsidR="00000000" w:rsidDel="00000000" w:rsidP="00000000" w:rsidRDefault="00000000" w:rsidRPr="00000000" w14:paraId="00000051">
      <w:pPr>
        <w:keepNext w:val="1"/>
        <w:numPr>
          <w:ilvl w:val="1"/>
          <w:numId w:val="8"/>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Where a provision in this Schedule imposes any obligation on the Supplier including to comply with a requirement or provide an indemnity, undertaking or warranty, the Supplier shall procure that each of its Subcontractors shall comply with such obligation and provide such indemnity, undertaking or warranty to </w:t>
      </w:r>
      <w:r w:rsidDel="00000000" w:rsidR="00000000" w:rsidRPr="00000000">
        <w:rPr>
          <w:rtl w:val="0"/>
        </w:rPr>
        <w:t xml:space="preserve">GCA</w:t>
      </w:r>
      <w:r w:rsidDel="00000000" w:rsidR="00000000" w:rsidRPr="00000000">
        <w:rPr>
          <w:color w:val="000000"/>
          <w:rtl w:val="0"/>
        </w:rPr>
        <w:t xml:space="preserve">, the Buyer, Former Supplier, Replacement Supplier or Replacement Subcontractor, as the case may be and where the Subcontractor fails to satisfy any claims under such indemnities the Supplier will be liable for satisfying any such claim as if it had provided the indemnity itself.</w:t>
      </w:r>
    </w:p>
    <w:p w:rsidR="00000000" w:rsidDel="00000000" w:rsidP="00000000" w:rsidRDefault="00000000" w:rsidRPr="00000000" w14:paraId="00000052">
      <w:pPr>
        <w:keepNext w:val="1"/>
        <w:numPr>
          <w:ilvl w:val="0"/>
          <w:numId w:val="8"/>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Which parts of this Schedule apply</w:t>
      </w:r>
      <w:r w:rsidDel="00000000" w:rsidR="00000000" w:rsidRPr="00000000">
        <w:rPr>
          <w:rtl w:val="0"/>
        </w:rPr>
      </w:r>
    </w:p>
    <w:p w:rsidR="00000000" w:rsidDel="00000000" w:rsidP="00000000" w:rsidRDefault="00000000" w:rsidRPr="00000000" w14:paraId="00000053">
      <w:pPr>
        <w:spacing w:after="120" w:before="120" w:lineRule="auto"/>
        <w:ind w:left="357" w:firstLine="68.99999999999999"/>
        <w:jc w:val="left"/>
        <w:rPr/>
      </w:pPr>
      <w:r w:rsidDel="00000000" w:rsidR="00000000" w:rsidRPr="00000000">
        <w:rPr>
          <w:rtl w:val="0"/>
        </w:rPr>
        <w:t xml:space="preserve">The following parts of this Schedule shall apply to the Call-Off Contract:</w:t>
      </w:r>
    </w:p>
    <w:p w:rsidR="00000000" w:rsidDel="00000000" w:rsidP="00000000" w:rsidRDefault="00000000" w:rsidRPr="00000000" w14:paraId="00000054">
      <w:pPr>
        <w:spacing w:after="120" w:before="120" w:lineRule="auto"/>
        <w:ind w:left="426" w:firstLine="0"/>
        <w:jc w:val="left"/>
        <w:rPr/>
      </w:pPr>
      <w:r w:rsidDel="00000000" w:rsidR="00000000" w:rsidRPr="00000000">
        <w:rPr>
          <w:b w:val="1"/>
          <w:bCs w:val="1"/>
          <w:highlight w:val="yellow"/>
          <w:rtl w:val="0"/>
        </w:rPr>
        <w:t xml:space="preserve">[Mark N/A</w:t>
      </w:r>
      <w:r w:rsidDel="00000000" w:rsidR="00000000" w:rsidRPr="00000000">
        <w:rPr>
          <w:rtl w:val="0"/>
        </w:rPr>
        <w:t xml:space="preserve"> if not applicable to the Call-Off Contract]</w:t>
      </w:r>
    </w:p>
    <w:p w:rsidR="00000000" w:rsidDel="00000000" w:rsidP="00000000" w:rsidRDefault="00000000" w:rsidRPr="00000000" w14:paraId="00000055">
      <w:pPr>
        <w:spacing w:after="120" w:before="120" w:lineRule="auto"/>
        <w:ind w:left="1134" w:hanging="708"/>
        <w:jc w:val="left"/>
        <w:rPr>
          <w:highlight w:val="yellow"/>
        </w:rPr>
      </w:pPr>
      <w:r w:rsidDel="00000000" w:rsidR="00000000" w:rsidRPr="00000000">
        <w:rPr>
          <w:highlight w:val="yellow"/>
          <w:rtl w:val="0"/>
        </w:rPr>
        <w:t xml:space="preserve">3.1</w:t>
        <w:tab/>
        <w:t xml:space="preserve">[Part A (Staff Transfer at the Start Date – Transferring Employees from the Buyer to the Supplier)</w:t>
      </w:r>
    </w:p>
    <w:p w:rsidR="00000000" w:rsidDel="00000000" w:rsidP="00000000" w:rsidRDefault="00000000" w:rsidRPr="00000000" w14:paraId="00000056">
      <w:pPr>
        <w:spacing w:after="120" w:before="120" w:lineRule="auto"/>
        <w:ind w:left="1134" w:hanging="708"/>
        <w:jc w:val="left"/>
        <w:rPr>
          <w:highlight w:val="yellow"/>
        </w:rPr>
      </w:pPr>
      <w:r w:rsidDel="00000000" w:rsidR="00000000" w:rsidRPr="00000000">
        <w:rPr>
          <w:highlight w:val="yellow"/>
          <w:rtl w:val="0"/>
        </w:rPr>
        <w:t xml:space="preserve">3.2 </w:t>
        <w:tab/>
        <w:t xml:space="preserve">[Part B (Staff Transfer at the Start Date – Transfer from a Former Supplier)]</w:t>
      </w:r>
    </w:p>
    <w:p w:rsidR="00000000" w:rsidDel="00000000" w:rsidP="00000000" w:rsidRDefault="00000000" w:rsidRPr="00000000" w14:paraId="00000057">
      <w:pPr>
        <w:spacing w:after="120" w:before="120" w:lineRule="auto"/>
        <w:ind w:left="1134" w:hanging="708"/>
        <w:jc w:val="left"/>
        <w:rPr>
          <w:highlight w:val="yellow"/>
        </w:rPr>
      </w:pPr>
      <w:r w:rsidDel="00000000" w:rsidR="00000000" w:rsidRPr="00000000">
        <w:rPr>
          <w:highlight w:val="yellow"/>
          <w:rtl w:val="0"/>
        </w:rPr>
        <w:t xml:space="preserve">3.3 </w:t>
        <w:tab/>
        <w:t xml:space="preserve">[Part C (No Staff Transfer expected on the Start Date)]</w:t>
      </w:r>
    </w:p>
    <w:p w:rsidR="00000000" w:rsidDel="00000000" w:rsidP="00000000" w:rsidRDefault="00000000" w:rsidRPr="00000000" w14:paraId="00000058">
      <w:pPr>
        <w:spacing w:after="120" w:before="120" w:lineRule="auto"/>
        <w:ind w:left="1134" w:hanging="708"/>
        <w:jc w:val="left"/>
        <w:rPr>
          <w:highlight w:val="yellow"/>
        </w:rPr>
      </w:pPr>
      <w:r w:rsidDel="00000000" w:rsidR="00000000" w:rsidRPr="00000000">
        <w:rPr>
          <w:highlight w:val="yellow"/>
          <w:rtl w:val="0"/>
        </w:rPr>
        <w:t xml:space="preserve">3.4 </w:t>
        <w:tab/>
        <w:t xml:space="preserve">[Part D (Pensions) </w:t>
        <w:tab/>
        <w:tab/>
        <w:tab/>
        <w:tab/>
        <w:tab/>
        <w:tab/>
        <w:t xml:space="preserve">]</w:t>
      </w:r>
    </w:p>
    <w:p w:rsidR="00000000" w:rsidDel="00000000" w:rsidP="00000000" w:rsidRDefault="00000000" w:rsidRPr="00000000" w14:paraId="00000059">
      <w:pPr>
        <w:spacing w:after="120" w:before="120" w:lineRule="auto"/>
        <w:ind w:left="1985" w:hanging="851"/>
        <w:jc w:val="left"/>
        <w:rPr>
          <w:highlight w:val="yellow"/>
        </w:rPr>
      </w:pPr>
      <w:r w:rsidDel="00000000" w:rsidR="00000000" w:rsidRPr="00000000">
        <w:rPr>
          <w:highlight w:val="yellow"/>
          <w:rtl w:val="0"/>
        </w:rPr>
        <w:t xml:space="preserve">3.4.1 [ - Annex D1 (CSPS) </w:t>
        <w:tab/>
        <w:tab/>
        <w:tab/>
        <w:t xml:space="preserve">]</w:t>
      </w:r>
    </w:p>
    <w:p w:rsidR="00000000" w:rsidDel="00000000" w:rsidP="00000000" w:rsidRDefault="00000000" w:rsidRPr="00000000" w14:paraId="0000005A">
      <w:pPr>
        <w:spacing w:after="120" w:before="120" w:lineRule="auto"/>
        <w:ind w:left="1985" w:hanging="851"/>
        <w:jc w:val="left"/>
        <w:rPr>
          <w:highlight w:val="yellow"/>
        </w:rPr>
      </w:pPr>
      <w:r w:rsidDel="00000000" w:rsidR="00000000" w:rsidRPr="00000000">
        <w:rPr>
          <w:highlight w:val="yellow"/>
          <w:rtl w:val="0"/>
        </w:rPr>
        <w:t xml:space="preserve">3.4.2 [ - Annex D2 (NHSPS) </w:t>
        <w:tab/>
        <w:tab/>
        <w:tab/>
        <w:t xml:space="preserve">]</w:t>
      </w:r>
    </w:p>
    <w:p w:rsidR="00000000" w:rsidDel="00000000" w:rsidP="00000000" w:rsidRDefault="00000000" w:rsidRPr="00000000" w14:paraId="0000005B">
      <w:pPr>
        <w:spacing w:after="120" w:before="120" w:lineRule="auto"/>
        <w:ind w:left="1985" w:hanging="851"/>
        <w:jc w:val="left"/>
        <w:rPr>
          <w:highlight w:val="yellow"/>
        </w:rPr>
      </w:pPr>
      <w:r w:rsidDel="00000000" w:rsidR="00000000" w:rsidRPr="00000000">
        <w:rPr>
          <w:highlight w:val="yellow"/>
          <w:rtl w:val="0"/>
        </w:rPr>
        <w:t xml:space="preserve">3.4.3 [ - Annex D3 (LGPS)</w:t>
        <w:tab/>
        <w:tab/>
        <w:tab/>
        <w:t xml:space="preserve">]</w:t>
      </w:r>
    </w:p>
    <w:p w:rsidR="00000000" w:rsidDel="00000000" w:rsidP="00000000" w:rsidRDefault="00000000" w:rsidRPr="00000000" w14:paraId="0000005C">
      <w:pPr>
        <w:spacing w:after="120" w:before="120" w:lineRule="auto"/>
        <w:ind w:left="1985" w:hanging="851"/>
        <w:jc w:val="left"/>
        <w:rPr/>
      </w:pPr>
      <w:r w:rsidDel="00000000" w:rsidR="00000000" w:rsidRPr="00000000">
        <w:rPr>
          <w:highlight w:val="yellow"/>
          <w:rtl w:val="0"/>
        </w:rPr>
        <w:t xml:space="preserve">3.4.4 [ - Annex D4 (Other Schemes)</w:t>
        <w:tab/>
        <w:tab/>
        <w:t xml:space="preserv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20" w:before="120" w:line="240" w:lineRule="auto"/>
        <w:ind w:left="1134" w:right="0" w:hanging="708"/>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 E (Staff Transfer on Exit) of this Schedule will always apply to the Contract, including:</w:t>
      </w:r>
    </w:p>
    <w:p w:rsidR="00000000" w:rsidDel="00000000" w:rsidP="00000000" w:rsidRDefault="00000000" w:rsidRPr="00000000" w14:paraId="0000005E">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Annex E1 (List of Notified Subcontractors);</w:t>
      </w:r>
    </w:p>
    <w:p w:rsidR="00000000" w:rsidDel="00000000" w:rsidP="00000000" w:rsidRDefault="00000000" w:rsidRPr="00000000" w14:paraId="0000005F">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spacing w:after="120" w:before="120" w:line="240" w:lineRule="auto"/>
        <w:ind w:left="1985" w:right="0" w:hanging="851"/>
        <w:jc w:val="left"/>
        <w:rPr>
          <w:rFonts w:ascii="Arial" w:cs="Arial" w:eastAsia="Arial" w:hAnsi="Arial"/>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Annex E2 (Staffing Information).</w:t>
      </w:r>
    </w:p>
    <w:p w:rsidR="00000000" w:rsidDel="00000000" w:rsidP="00000000" w:rsidRDefault="00000000" w:rsidRPr="00000000" w14:paraId="00000060">
      <w:pPr>
        <w:spacing w:after="120" w:before="120" w:lineRule="auto"/>
        <w:ind w:left="1440" w:firstLine="0"/>
        <w:jc w:val="left"/>
        <w:rPr/>
      </w:pPr>
      <w:r w:rsidDel="00000000" w:rsidR="00000000" w:rsidRPr="00000000">
        <w:rPr>
          <w:rtl w:val="0"/>
        </w:rPr>
      </w:r>
    </w:p>
    <w:p w:rsidR="00000000" w:rsidDel="00000000" w:rsidP="00000000" w:rsidRDefault="00000000" w:rsidRPr="00000000" w14:paraId="00000061">
      <w:pPr>
        <w:spacing w:after="120" w:before="120" w:lineRule="auto"/>
        <w:ind w:left="357" w:firstLine="0"/>
        <w:jc w:val="left"/>
        <w:rPr/>
      </w:pPr>
      <w:r w:rsidDel="00000000" w:rsidR="00000000" w:rsidRPr="00000000">
        <w:rPr>
          <w:rtl w:val="0"/>
        </w:rPr>
      </w:r>
    </w:p>
    <w:p w:rsidR="00000000" w:rsidDel="00000000" w:rsidP="00000000" w:rsidRDefault="00000000" w:rsidRPr="00000000" w14:paraId="00000062">
      <w:pPr>
        <w:pStyle w:val="Heading1"/>
        <w:keepNext w:val="1"/>
        <w:spacing w:after="120" w:before="120" w:lineRule="auto"/>
        <w:jc w:val="left"/>
        <w:rPr>
          <w:rFonts w:ascii="Arial" w:cs="Arial" w:eastAsia="Arial" w:hAnsi="Arial"/>
          <w:b w:val="1"/>
          <w:bCs w:val="1"/>
          <w:sz w:val="36"/>
          <w:szCs w:val="36"/>
        </w:rPr>
      </w:pPr>
      <w:r w:rsidDel="00000000" w:rsidR="00000000" w:rsidRPr="00000000">
        <w:br w:type="page"/>
      </w:r>
      <w:r w:rsidDel="00000000" w:rsidR="00000000" w:rsidRPr="00000000">
        <w:rPr>
          <w:rFonts w:ascii="Arial" w:cs="Arial" w:eastAsia="Arial" w:hAnsi="Arial"/>
          <w:b w:val="1"/>
          <w:bCs w:val="1"/>
          <w:smallCaps w:val="0"/>
          <w:sz w:val="36"/>
          <w:szCs w:val="36"/>
          <w:rtl w:val="0"/>
        </w:rPr>
        <w:t xml:space="preserve">Part A: Staff Transfer At The Start Date Transferring Employees From The Buyer To The Supplier</w:t>
      </w:r>
      <w:r w:rsidDel="00000000" w:rsidR="00000000" w:rsidRPr="00000000">
        <w:rPr>
          <w:rtl w:val="0"/>
        </w:rPr>
      </w:r>
    </w:p>
    <w:p w:rsidR="00000000" w:rsidDel="00000000" w:rsidP="00000000" w:rsidRDefault="00000000" w:rsidRPr="00000000" w14:paraId="00000063">
      <w:pPr>
        <w:keepNext w:val="1"/>
        <w:numPr>
          <w:ilvl w:val="0"/>
          <w:numId w:val="9"/>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bookmarkStart w:colFirst="0" w:colLast="0" w:name="_heading=h.30j0zll" w:id="1"/>
      <w:bookmarkEnd w:id="1"/>
      <w:r w:rsidDel="00000000" w:rsidR="00000000" w:rsidRPr="00000000">
        <w:rPr>
          <w:rFonts w:ascii="Arial" w:cs="Arial" w:eastAsia="Arial" w:hAnsi="Arial"/>
          <w:b w:val="1"/>
          <w:bCs w:val="1"/>
          <w:color w:val="000000"/>
          <w:rtl w:val="0"/>
        </w:rPr>
        <w:t xml:space="preserve">What is a relevant transfer</w:t>
      </w:r>
    </w:p>
    <w:p w:rsidR="00000000" w:rsidDel="00000000" w:rsidP="00000000" w:rsidRDefault="00000000" w:rsidRPr="00000000" w14:paraId="00000064">
      <w:pPr>
        <w:keepNext w:val="1"/>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Buyer and the Supplier agree that:</w:t>
      </w:r>
    </w:p>
    <w:p w:rsidR="00000000" w:rsidDel="00000000" w:rsidP="00000000" w:rsidRDefault="00000000" w:rsidRPr="00000000" w14:paraId="00000065">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commencement of the provision of the Services or of each relevant part of the Services will be a Relevant Transfer in relation to the Transferring Buyer Employees; and</w:t>
      </w:r>
    </w:p>
    <w:p w:rsidR="00000000" w:rsidDel="00000000" w:rsidP="00000000" w:rsidRDefault="00000000" w:rsidRPr="00000000" w14:paraId="00000066">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as a result of the operation of the Employment Regulations, the contracts of employment between the Buyer and the Transferring Buyer Employees (except in relation to any terms disapplied through operation of regulation 10 of the Employment Regulations) will have effect on and from the Relevant Transfer Date as if originally made between the Supplier and/or any Subcontractor and each such Transferring Buyer Employee.</w:t>
      </w:r>
    </w:p>
    <w:p w:rsidR="00000000" w:rsidDel="00000000" w:rsidP="00000000" w:rsidRDefault="00000000" w:rsidRPr="00000000" w14:paraId="00000067">
      <w:pPr>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Buyer shall comply with all its obligations under the Employment Regulations and shall perform and discharge all its obligations in respect of the Transferring Buyer Employees in respect of the period arising up to (but not including) the Relevant Transfer Date including the payment of all remuneration, benefits, entitlements and outgoings, all wages, accrued but untaken holiday pay, bonuses, commissions, payments of PAYE, national insurance contributions and pension contributions which in any case are attributable in whole or in part to the period up to (but not including) the Relevant Transfer Date and any necessary apportionments in respect of any periodic payments shall be made between: (i) the Buyer; and (ii) the Supplier and/or any Subcontractor (as appropriate).</w:t>
      </w:r>
    </w:p>
    <w:p w:rsidR="00000000" w:rsidDel="00000000" w:rsidP="00000000" w:rsidRDefault="00000000" w:rsidRPr="00000000" w14:paraId="00000068">
      <w:pPr>
        <w:keepNext w:val="1"/>
        <w:numPr>
          <w:ilvl w:val="0"/>
          <w:numId w:val="9"/>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bookmarkStart w:colFirst="0" w:colLast="0" w:name="_heading=h.3znysh7" w:id="2"/>
      <w:bookmarkEnd w:id="2"/>
      <w:r w:rsidDel="00000000" w:rsidR="00000000" w:rsidRPr="00000000">
        <w:rPr>
          <w:rFonts w:ascii="Arial" w:cs="Arial" w:eastAsia="Arial" w:hAnsi="Arial"/>
          <w:b w:val="1"/>
          <w:bCs w:val="1"/>
          <w:color w:val="000000"/>
          <w:rtl w:val="0"/>
        </w:rPr>
        <w:t xml:space="preserve">Indemnities the Buyer must give </w:t>
      </w:r>
    </w:p>
    <w:p w:rsidR="00000000" w:rsidDel="00000000" w:rsidP="00000000" w:rsidRDefault="00000000" w:rsidRPr="00000000" w14:paraId="00000069">
      <w:pPr>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et92p0" w:id="3"/>
      <w:bookmarkEnd w:id="3"/>
      <w:r w:rsidDel="00000000" w:rsidR="00000000" w:rsidRPr="00000000">
        <w:rPr>
          <w:color w:val="000000"/>
          <w:rtl w:val="0"/>
        </w:rPr>
        <w:t xml:space="preserve">Subject to Paragraph 2.2, the Buyer shall indemnify the Supplier and any Subcontractor against any Employee Liabilities arising from or as a result of: </w:t>
      </w:r>
    </w:p>
    <w:p w:rsidR="00000000" w:rsidDel="00000000" w:rsidP="00000000" w:rsidRDefault="00000000" w:rsidRPr="00000000" w14:paraId="0000006A">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tyjcwt" w:id="4"/>
      <w:bookmarkEnd w:id="4"/>
      <w:r w:rsidDel="00000000" w:rsidR="00000000" w:rsidRPr="00000000">
        <w:rPr>
          <w:color w:val="000000"/>
          <w:rtl w:val="0"/>
        </w:rPr>
        <w:t xml:space="preserve">any act or omission by the Buyer in respect of any Transferring Buyer Employee or any appropriate employee representative (as defined in the Employment Regulations) of any Transferring Buyer Employee occurring before the Relevant Transfer Date; </w:t>
      </w:r>
    </w:p>
    <w:p w:rsidR="00000000" w:rsidDel="00000000" w:rsidP="00000000" w:rsidRDefault="00000000" w:rsidRPr="00000000" w14:paraId="0000006B">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breach or non-observance by the Buyer before the Relevant Transfer Date of:</w:t>
      </w:r>
    </w:p>
    <w:p w:rsidR="00000000" w:rsidDel="00000000" w:rsidP="00000000" w:rsidRDefault="00000000" w:rsidRPr="00000000" w14:paraId="0000006C">
      <w:pPr>
        <w:numPr>
          <w:ilvl w:val="3"/>
          <w:numId w:val="9"/>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collective agreement applicable to the Transferring Buyer Employees; and/or </w:t>
      </w:r>
    </w:p>
    <w:p w:rsidR="00000000" w:rsidDel="00000000" w:rsidP="00000000" w:rsidRDefault="00000000" w:rsidRPr="00000000" w14:paraId="0000006D">
      <w:pPr>
        <w:numPr>
          <w:ilvl w:val="3"/>
          <w:numId w:val="9"/>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custom or practice in respect of any Transferring Buyer Employees which the Buyer is contractually bound to honour;</w:t>
      </w:r>
    </w:p>
    <w:p w:rsidR="00000000" w:rsidDel="00000000" w:rsidP="00000000" w:rsidRDefault="00000000" w:rsidRPr="00000000" w14:paraId="0000006E">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by any trade union or other body or person representing the Transferring Buyer Employees arising from or connected with any failure by the Buyer to comply with any legal obligation to such trade union, body or person arising before the Relevant Transfer Date;</w:t>
      </w:r>
    </w:p>
    <w:p w:rsidR="00000000" w:rsidDel="00000000" w:rsidP="00000000" w:rsidRDefault="00000000" w:rsidRPr="00000000" w14:paraId="0000006F">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proceeding, claim or demand by HMRC or other statutory authority in respect of any financial obligation including, but not limited to, PAYE and primary and secondary national insurance contributions:</w:t>
      </w:r>
    </w:p>
    <w:p w:rsidR="00000000" w:rsidDel="00000000" w:rsidP="00000000" w:rsidRDefault="00000000" w:rsidRPr="00000000" w14:paraId="00000070">
      <w:pPr>
        <w:numPr>
          <w:ilvl w:val="3"/>
          <w:numId w:val="9"/>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in relation to any Transferring Buyer Employee, to the extent that the proceeding, claim or demand by HMRC or other statutory authority relates to financial obligations arising before the Relevant Transfer Date; and</w:t>
      </w:r>
    </w:p>
    <w:p w:rsidR="00000000" w:rsidDel="00000000" w:rsidP="00000000" w:rsidRDefault="00000000" w:rsidRPr="00000000" w14:paraId="00000071">
      <w:pPr>
        <w:numPr>
          <w:ilvl w:val="3"/>
          <w:numId w:val="9"/>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in relation to any employee who is not a Transferring Buyer Employee and in respect of whom it is later alleged or determined that the Employment Regulations applied so as to transfer their employment from the Buyer to the Supplier and/or any Notified Subcontractor as appropriate, to the extent that the proceeding, claim or demand by the HMRC or other statutory authority relates to financial obligations arising before the Relevant Transfer Date;</w:t>
      </w:r>
    </w:p>
    <w:p w:rsidR="00000000" w:rsidDel="00000000" w:rsidP="00000000" w:rsidRDefault="00000000" w:rsidRPr="00000000" w14:paraId="00000072">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failure of the Buyer to discharge, or procure the discharge of, all wages, salaries and all other benefits and all PAYE tax deductions and national insurance contributions relating to the Transferring Buyer Employees arising before the Relevant Transfer Date;</w:t>
      </w:r>
    </w:p>
    <w:p w:rsidR="00000000" w:rsidDel="00000000" w:rsidP="00000000" w:rsidRDefault="00000000" w:rsidRPr="00000000" w14:paraId="00000073">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made by or in respect of any person employed or formerly employed by the Buyer other than a Transferring Buyer Employee for whom it is alleged the Supplier and/or any Subcontractor as appropriate may be liable by virtue of the Employment Regulations; and</w:t>
      </w:r>
    </w:p>
    <w:p w:rsidR="00000000" w:rsidDel="00000000" w:rsidP="00000000" w:rsidRDefault="00000000" w:rsidRPr="00000000" w14:paraId="00000074">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made by or in respect of a Transferring Buyer Employee or any appropriate employee representative (as defined in the Employment Regulations) of any Transferring Buyer Employee relating to any act or omission of the Buyer in relation to its obligations under regulation 13 of the Employment Regulations, except to the extent that the liability arises from the failure by the Supplier or any Subcontractor to comply with regulation 13(4) of the Employment Regulations.</w:t>
      </w:r>
    </w:p>
    <w:p w:rsidR="00000000" w:rsidDel="00000000" w:rsidP="00000000" w:rsidRDefault="00000000" w:rsidRPr="00000000" w14:paraId="00000075">
      <w:pPr>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dy6vkm" w:id="5"/>
      <w:bookmarkEnd w:id="5"/>
      <w:r w:rsidDel="00000000" w:rsidR="00000000" w:rsidRPr="00000000">
        <w:rPr>
          <w:color w:val="000000"/>
          <w:rtl w:val="0"/>
        </w:rPr>
        <w:t xml:space="preserve">The indemnities in Paragraph 2.1 shall not apply to the extent that the Employee Liabilities arise or are attributable to an act or omission of the Supplier or any Subcontractor whether occurring or having its origin before, on or after the Relevant Transfer Date including any Employee Liabilities: </w:t>
      </w:r>
    </w:p>
    <w:p w:rsidR="00000000" w:rsidDel="00000000" w:rsidP="00000000" w:rsidRDefault="00000000" w:rsidRPr="00000000" w14:paraId="00000076">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arising out of the resignation of any Transferring Buyer Employee before the Relevant Transfer Date on account of substantial detrimental changes to their working conditions proposed by the Supplier and/or any Subcontractor to occur in the period from (and including) the Relevant Transfer Date; or</w:t>
      </w:r>
    </w:p>
    <w:p w:rsidR="00000000" w:rsidDel="00000000" w:rsidP="00000000" w:rsidRDefault="00000000" w:rsidRPr="00000000" w14:paraId="00000077">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arising from the failure by the Supplier or any Subcontractor to comply with its obligations under the Employment Regulations.</w:t>
      </w:r>
    </w:p>
    <w:p w:rsidR="00000000" w:rsidDel="00000000" w:rsidP="00000000" w:rsidRDefault="00000000" w:rsidRPr="00000000" w14:paraId="00000078">
      <w:pPr>
        <w:keepNext w:val="1"/>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1t3h5sf" w:id="6"/>
      <w:bookmarkEnd w:id="6"/>
      <w:r w:rsidDel="00000000" w:rsidR="00000000" w:rsidRPr="00000000">
        <w:rPr>
          <w:color w:val="000000"/>
          <w:rtl w:val="0"/>
        </w:rPr>
        <w:t xml:space="preserve">Subject to Paragraphs 2.4 and 2.5, if any employee of the Buyer who is not identified as a Transferring Buyer Employee claims, or it is determined in relation to any employees of the Buyer as a Transferring Buyer Employee, that their contract of employment has been transferred from the Buyer to the Supplier and/or any Subcontractor pursuant to the Employment Regulations then:</w:t>
      </w:r>
    </w:p>
    <w:p w:rsidR="00000000" w:rsidDel="00000000" w:rsidP="00000000" w:rsidRDefault="00000000" w:rsidRPr="00000000" w14:paraId="00000079">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4d34og8" w:id="7"/>
      <w:bookmarkEnd w:id="7"/>
      <w:r w:rsidDel="00000000" w:rsidR="00000000" w:rsidRPr="00000000">
        <w:rPr>
          <w:color w:val="000000"/>
          <w:rtl w:val="0"/>
        </w:rPr>
        <w:t xml:space="preserve">the Supplier will, or shall procure that the Subcontractor will, within five (5) Working Days of becoming aware of that fact, notify the Buyer in writing; and</w:t>
      </w:r>
    </w:p>
    <w:p w:rsidR="00000000" w:rsidDel="00000000" w:rsidP="00000000" w:rsidRDefault="00000000" w:rsidRPr="00000000" w14:paraId="0000007A">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2s8eyo1" w:id="8"/>
      <w:bookmarkEnd w:id="8"/>
      <w:r w:rsidDel="00000000" w:rsidR="00000000" w:rsidRPr="00000000">
        <w:rPr>
          <w:color w:val="000000"/>
          <w:rtl w:val="0"/>
        </w:rPr>
        <w:t xml:space="preserve">the Buyer may offer (or may procure that a third party may offer) employment to such person, or take such other steps as it considers appropriate to resolve the matter, within fifteen (15) Working Days of receipt of notice from the Supplier and/or any Subcontractor, or take such other reasonable steps as the Buyer considers appropriate to deal with the matter provided always that such steps are in compliance with the Law.</w:t>
      </w:r>
    </w:p>
    <w:p w:rsidR="00000000" w:rsidDel="00000000" w:rsidP="00000000" w:rsidRDefault="00000000" w:rsidRPr="00000000" w14:paraId="0000007B">
      <w:pPr>
        <w:keepNext w:val="1"/>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If such offer of employment is accepted, or if the situation has otherwise been resolved by the Buyer, the Supplier shall, or shall procure that the Subcontractor shall, immediately release the person from its employment or alleged employment.</w:t>
      </w:r>
    </w:p>
    <w:p w:rsidR="00000000" w:rsidDel="00000000" w:rsidP="00000000" w:rsidRDefault="00000000" w:rsidRPr="00000000" w14:paraId="0000007C">
      <w:pPr>
        <w:keepNext w:val="1"/>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17dp8vu" w:id="9"/>
      <w:bookmarkEnd w:id="9"/>
      <w:r w:rsidDel="00000000" w:rsidR="00000000" w:rsidRPr="00000000">
        <w:rPr>
          <w:color w:val="000000"/>
          <w:rtl w:val="0"/>
        </w:rPr>
        <w:t xml:space="preserve">If in the period referred to in Paragraph 2.3.2: </w:t>
      </w:r>
    </w:p>
    <w:p w:rsidR="00000000" w:rsidDel="00000000" w:rsidP="00000000" w:rsidRDefault="00000000" w:rsidRPr="00000000" w14:paraId="0000007D">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no such offer has been made; or</w:t>
      </w:r>
    </w:p>
    <w:p w:rsidR="00000000" w:rsidDel="00000000" w:rsidP="00000000" w:rsidRDefault="00000000" w:rsidRPr="00000000" w14:paraId="0000007E">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such offer has been made but not accepted, </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120" w:before="120" w:lineRule="auto"/>
        <w:ind w:left="1134" w:firstLine="0"/>
        <w:jc w:val="left"/>
        <w:rPr>
          <w:color w:val="000000"/>
        </w:rPr>
      </w:pPr>
      <w:r w:rsidDel="00000000" w:rsidR="00000000" w:rsidRPr="00000000">
        <w:rPr>
          <w:color w:val="000000"/>
          <w:rtl w:val="0"/>
        </w:rPr>
        <w:t xml:space="preserve">the Supplier may within five (5) Working Days give notice to terminate the employment of such person and subject to the Supplier’s compliance acting in accordance with Paragraphs 2.3.1 to 2.4 and in accordance with all applicable proper employment procedures set out in applicable Law and subject also to Paragraph 2.6 and 2.7, the Buyer will indemnify the Supplier and/or the relevant Subcontractor against all Employee Liabilities arising out of the termination of the employment pursuant to the provisions of Paragraph 2.5 provided that the Supplier takes, or procures that the Subcontractor takes, all reasonable steps to minimise any such Employee Liabilities. </w:t>
      </w:r>
    </w:p>
    <w:p w:rsidR="00000000" w:rsidDel="00000000" w:rsidP="00000000" w:rsidRDefault="00000000" w:rsidRPr="00000000" w14:paraId="00000080">
      <w:pPr>
        <w:keepNext w:val="1"/>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rdcrjn" w:id="10"/>
      <w:bookmarkEnd w:id="10"/>
      <w:r w:rsidDel="00000000" w:rsidR="00000000" w:rsidRPr="00000000">
        <w:rPr>
          <w:color w:val="000000"/>
          <w:rtl w:val="0"/>
        </w:rPr>
        <w:t xml:space="preserve">The indemnity in Paragraph 2.5: </w:t>
      </w:r>
    </w:p>
    <w:p w:rsidR="00000000" w:rsidDel="00000000" w:rsidP="00000000" w:rsidRDefault="00000000" w:rsidRPr="00000000" w14:paraId="00000081">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shall not apply to: </w:t>
      </w:r>
    </w:p>
    <w:p w:rsidR="00000000" w:rsidDel="00000000" w:rsidP="00000000" w:rsidRDefault="00000000" w:rsidRPr="00000000" w14:paraId="00000082">
      <w:pPr>
        <w:numPr>
          <w:ilvl w:val="3"/>
          <w:numId w:val="9"/>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claim for any contravention of the Equality Act 2010 (or predecessor/successor legislation); or </w:t>
      </w:r>
    </w:p>
    <w:p w:rsidR="00000000" w:rsidDel="00000000" w:rsidP="00000000" w:rsidRDefault="00000000" w:rsidRPr="00000000" w14:paraId="00000083">
      <w:pPr>
        <w:numPr>
          <w:ilvl w:val="3"/>
          <w:numId w:val="9"/>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for equal pay or compensation for less favourable treatment of part-time workers or fixed-term employees in relation to any alleged act or omission of the Supplier and/or any Subcontractor; or</w:t>
      </w:r>
    </w:p>
    <w:p w:rsidR="00000000" w:rsidDel="00000000" w:rsidP="00000000" w:rsidRDefault="00000000" w:rsidRPr="00000000" w14:paraId="00000084">
      <w:pPr>
        <w:numPr>
          <w:ilvl w:val="3"/>
          <w:numId w:val="9"/>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claim that the termination of employment was unfair because the Supplier and/or any Subcontractor neglected to follow a fair dismissal procedure.</w:t>
      </w:r>
    </w:p>
    <w:p w:rsidR="00000000" w:rsidDel="00000000" w:rsidP="00000000" w:rsidRDefault="00000000" w:rsidRPr="00000000" w14:paraId="00000085">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120" w:before="120" w:line="240" w:lineRule="auto"/>
        <w:ind w:left="1134" w:right="0" w:hanging="708"/>
        <w:jc w:val="both"/>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indemnity in Paragraph 2.5 shall not apply to any termination of employment occurring later than six (6) months from the relevant Transfer Date. </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120" w:before="120" w:line="240" w:lineRule="auto"/>
        <w:ind w:left="1134" w:right="0" w:hanging="708"/>
        <w:jc w:val="both"/>
        <w:rPr/>
      </w:pPr>
      <w:bookmarkStart w:colFirst="0" w:colLast="0" w:name="_heading=h.26in1rg" w:id="11"/>
      <w:bookmarkEnd w:id="1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Supplier and/or any Subcontractor at any point accept the employment of any person as is described in Paragraph 2.3, any person as is described in Paragraph 2.3, such person shall be treated as having transferred to the Supplier and/or any Subcontractor and the Supplier shall, or shall ensure that the Notified Subcontractor shall, (a) comply with such obligations as may be imposed upon it under applicable Law and (b) comply with the provisions of Part D (Pensions) and its Annexes of this Schedule.</w:t>
      </w:r>
      <w:r w:rsidDel="00000000" w:rsidR="00000000" w:rsidRPr="00000000">
        <w:rPr>
          <w:rtl w:val="0"/>
        </w:rPr>
      </w:r>
    </w:p>
    <w:p w:rsidR="00000000" w:rsidDel="00000000" w:rsidP="00000000" w:rsidRDefault="00000000" w:rsidRPr="00000000" w14:paraId="00000087">
      <w:pPr>
        <w:keepNext w:val="1"/>
        <w:numPr>
          <w:ilvl w:val="0"/>
          <w:numId w:val="9"/>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bookmarkStart w:colFirst="0" w:colLast="0" w:name="_heading=h.lnxbz9" w:id="12"/>
      <w:bookmarkEnd w:id="12"/>
      <w:r w:rsidDel="00000000" w:rsidR="00000000" w:rsidRPr="00000000">
        <w:rPr>
          <w:rFonts w:ascii="Arial" w:cs="Arial" w:eastAsia="Arial" w:hAnsi="Arial"/>
          <w:b w:val="1"/>
          <w:bCs w:val="1"/>
          <w:color w:val="000000"/>
          <w:rtl w:val="0"/>
        </w:rPr>
        <w:t xml:space="preserve">Indemnities the Supplier must give and its obligations</w:t>
      </w:r>
      <w:r w:rsidDel="00000000" w:rsidR="00000000" w:rsidRPr="00000000">
        <w:rPr>
          <w:rtl w:val="0"/>
        </w:rPr>
      </w:r>
    </w:p>
    <w:p w:rsidR="00000000" w:rsidDel="00000000" w:rsidP="00000000" w:rsidRDefault="00000000" w:rsidRPr="00000000" w14:paraId="00000088">
      <w:pPr>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5nkun2" w:id="13"/>
      <w:bookmarkEnd w:id="13"/>
      <w:r w:rsidDel="00000000" w:rsidR="00000000" w:rsidRPr="00000000">
        <w:rPr>
          <w:color w:val="000000"/>
          <w:rtl w:val="0"/>
        </w:rPr>
        <w:t xml:space="preserve">Subject to Paragraph 3.2, the Supplier shall indemnify the Buyer against any Employee Liabilities arising from or as a result of: </w:t>
      </w:r>
    </w:p>
    <w:p w:rsidR="00000000" w:rsidDel="00000000" w:rsidP="00000000" w:rsidRDefault="00000000" w:rsidRPr="00000000" w14:paraId="00000089">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act or omission by the Supplier or any Subcontractor in respect of any Transferring Buyer Employee or any appropriate employee representative (as defined in the Employment Regulations) of any Transferring Buyer Employee whether occurring before, on or after the Relevant Transfer Date; </w:t>
      </w:r>
    </w:p>
    <w:p w:rsidR="00000000" w:rsidDel="00000000" w:rsidP="00000000" w:rsidRDefault="00000000" w:rsidRPr="00000000" w14:paraId="0000008A">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breach or non-observance by the Supplier or any Subcontractor on or after the Relevant Transfer Date of:</w:t>
      </w:r>
    </w:p>
    <w:p w:rsidR="00000000" w:rsidDel="00000000" w:rsidP="00000000" w:rsidRDefault="00000000" w:rsidRPr="00000000" w14:paraId="0000008B">
      <w:pPr>
        <w:numPr>
          <w:ilvl w:val="3"/>
          <w:numId w:val="9"/>
        </w:numPr>
        <w:pBdr>
          <w:top w:space="0" w:sz="0" w:val="nil"/>
          <w:left w:space="0" w:sz="0" w:val="nil"/>
          <w:bottom w:space="0" w:sz="0" w:val="nil"/>
          <w:right w:space="0" w:sz="0" w:val="nil"/>
          <w:between w:space="0" w:sz="0" w:val="nil"/>
        </w:pBdr>
        <w:spacing w:after="120" w:before="120" w:lineRule="auto"/>
        <w:ind w:left="2880" w:hanging="895"/>
        <w:jc w:val="left"/>
        <w:rPr>
          <w:color w:val="000000"/>
        </w:rPr>
      </w:pPr>
      <w:r w:rsidDel="00000000" w:rsidR="00000000" w:rsidRPr="00000000">
        <w:rPr>
          <w:color w:val="000000"/>
          <w:rtl w:val="0"/>
        </w:rPr>
        <w:t xml:space="preserve">any collective agreement applicable to the Transferring Buyer Employees; and/or </w:t>
      </w:r>
    </w:p>
    <w:p w:rsidR="00000000" w:rsidDel="00000000" w:rsidP="00000000" w:rsidRDefault="00000000" w:rsidRPr="00000000" w14:paraId="0000008C">
      <w:pPr>
        <w:numPr>
          <w:ilvl w:val="3"/>
          <w:numId w:val="9"/>
        </w:numPr>
        <w:pBdr>
          <w:top w:space="0" w:sz="0" w:val="nil"/>
          <w:left w:space="0" w:sz="0" w:val="nil"/>
          <w:bottom w:space="0" w:sz="0" w:val="nil"/>
          <w:right w:space="0" w:sz="0" w:val="nil"/>
          <w:between w:space="0" w:sz="0" w:val="nil"/>
        </w:pBdr>
        <w:spacing w:after="120" w:before="120" w:lineRule="auto"/>
        <w:ind w:left="2880" w:hanging="895"/>
        <w:jc w:val="left"/>
        <w:rPr>
          <w:color w:val="000000"/>
        </w:rPr>
      </w:pPr>
      <w:r w:rsidDel="00000000" w:rsidR="00000000" w:rsidRPr="00000000">
        <w:rPr>
          <w:color w:val="000000"/>
          <w:rtl w:val="0"/>
        </w:rPr>
        <w:t xml:space="preserve">any custom or practice in respect of any Transferring Buyer Employees which the Supplier or any Subcontractor is contractually bound to honour;</w:t>
      </w:r>
    </w:p>
    <w:p w:rsidR="00000000" w:rsidDel="00000000" w:rsidP="00000000" w:rsidRDefault="00000000" w:rsidRPr="00000000" w14:paraId="0000008D">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by any trade union or other body or person representing any Transferring Buyer Employees arising from or connected with any failure by the Supplier or any Subcontractor to comply with any legal obligation to such trade union, body or person arising on or after the Relevant Transfer Date;</w:t>
      </w:r>
    </w:p>
    <w:p w:rsidR="00000000" w:rsidDel="00000000" w:rsidP="00000000" w:rsidRDefault="00000000" w:rsidRPr="00000000" w14:paraId="0000008E">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proposal by the Supplier or a Subcontractor made before the Relevant Transfer Date to make changes to the terms and conditions of employment or working conditions of any Transferring Buyer Employees to their material detriment on or after their transfer to the Supplier or the relevant Subcontractor (as the case may be) on the Relevant Transfer Date, or to change the terms and conditions of employment or working conditions of any person who would have been a Transferring Buyer Employee but for their resignation (or decision to treat their employment as terminated under regulation 4(9) of the Employment Regulations) before the Relevant Transfer Date as a result of or for a reason connected to such proposed changes; </w:t>
      </w:r>
    </w:p>
    <w:p w:rsidR="00000000" w:rsidDel="00000000" w:rsidP="00000000" w:rsidRDefault="00000000" w:rsidRPr="00000000" w14:paraId="0000008F">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statement communicated to or action undertaken by the Supplier or any Subcontractor to, or in respect of, any Transferring Buyer Employee before the Relevant Transfer Date regarding the Relevant Transfer which has not been agreed in advance with the Buyer in writing;</w:t>
      </w:r>
    </w:p>
    <w:p w:rsidR="00000000" w:rsidDel="00000000" w:rsidP="00000000" w:rsidRDefault="00000000" w:rsidRPr="00000000" w14:paraId="00000090">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proceeding, claim or demand by HMRC or other statutory authority in respect of any financial obligation including, but not limited to, PAYE and primary and secondary national insurance contributions:</w:t>
      </w:r>
    </w:p>
    <w:p w:rsidR="00000000" w:rsidDel="00000000" w:rsidP="00000000" w:rsidRDefault="00000000" w:rsidRPr="00000000" w14:paraId="00000091">
      <w:pPr>
        <w:numPr>
          <w:ilvl w:val="3"/>
          <w:numId w:val="9"/>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in relation to any Transferring Buyer Employee, to the extent that the proceeding, claim or demand by HMRC or other statutory authority relates to financial obligations arising on or after the Relevant Transfer Date; and</w:t>
      </w:r>
    </w:p>
    <w:p w:rsidR="00000000" w:rsidDel="00000000" w:rsidP="00000000" w:rsidRDefault="00000000" w:rsidRPr="00000000" w14:paraId="00000092">
      <w:pPr>
        <w:numPr>
          <w:ilvl w:val="3"/>
          <w:numId w:val="9"/>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in relation to any employee who is not a Transferring Buyer Employee, and in respect of whom it is later alleged or determined that the Employment Regulations applied so as to transfer their employment from the Buyer to the Supplier or a Subcontractor, to the extent that the proceeding, claim or demand by HMRC or other statutory authority relates to financial obligations arising on or after the Relevant Transfer Date;</w:t>
      </w:r>
    </w:p>
    <w:p w:rsidR="00000000" w:rsidDel="00000000" w:rsidP="00000000" w:rsidRDefault="00000000" w:rsidRPr="00000000" w14:paraId="00000093">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failure of the Supplier or any Subcontractor to discharge or procure the discharge of all wages, salaries and all other benefits and all PAYE tax deductions and national insurance contributions relating to the Transferring Buyer Employees in respect of the period from (and including) the Relevant Transfer Date; </w:t>
      </w:r>
    </w:p>
    <w:p w:rsidR="00000000" w:rsidDel="00000000" w:rsidP="00000000" w:rsidRDefault="00000000" w:rsidRPr="00000000" w14:paraId="00000094">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made by or in respect of a Transferring Buyer Employee or any appropriate employee representative (as defined in the Employment Regulations) of any Transferring Buyer Employee relating to any act or omission of the Supplier or any Subcontractor in relation to their obligations under regulation 13 of the Employment Regulations, except to the extent that the liability arises from the Buyer’s failure to comply with its obligations under regulation 13 of the Employment Regulations; and</w:t>
      </w:r>
    </w:p>
    <w:p w:rsidR="00000000" w:rsidDel="00000000" w:rsidP="00000000" w:rsidRDefault="00000000" w:rsidRPr="00000000" w14:paraId="00000095">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failure by the Supplier or any Sub-contractor to comply with its obligations under Paragraph 2.8 above.</w:t>
      </w:r>
    </w:p>
    <w:p w:rsidR="00000000" w:rsidDel="00000000" w:rsidP="00000000" w:rsidRDefault="00000000" w:rsidRPr="00000000" w14:paraId="00000096">
      <w:pPr>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1ksv4uv" w:id="14"/>
      <w:bookmarkEnd w:id="14"/>
      <w:r w:rsidDel="00000000" w:rsidR="00000000" w:rsidRPr="00000000">
        <w:rPr>
          <w:color w:val="000000"/>
          <w:rtl w:val="0"/>
        </w:rPr>
        <w:t xml:space="preserve">The indemnities in Paragraph 3.1 shall not apply to the extent that the Employee Liabilities arise or are attributable to an act or omission of the Buyer whether occurring or having its origin before, on or after the Relevant Transfer Date including, any Employee Liabilities arising from the Buyer's failure to comply with its obligations under the Employment Regulations.</w:t>
      </w:r>
    </w:p>
    <w:p w:rsidR="00000000" w:rsidDel="00000000" w:rsidP="00000000" w:rsidRDefault="00000000" w:rsidRPr="00000000" w14:paraId="00000097">
      <w:pPr>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comply, and shall procure that each Subcontractor shall comply, with all its obligations under the Employment Regulations (including its obligation to inform and consult in accordance with regulation 13 of the Employment Regulations) and shall perform and discharge all its obligations in respect of the Transferring Buyer Employees, from (and including) the Relevant Transfer Date including the payment of all remuneration, benefits, entitlements and outgoings, all wages, accrued but untaken holiday pay, bonuses, commissions, payments of PAYE, national insurance contributions and pension contributions and any other sums due under the Admission Agreement which in any case are attributable in whole or in part to the period from and including the Relevant Transfer Date) and any necessary apportionments in respect of any periodic payments shall be made between the Buyer and the Supplier.</w:t>
      </w:r>
    </w:p>
    <w:p w:rsidR="00000000" w:rsidDel="00000000" w:rsidP="00000000" w:rsidRDefault="00000000" w:rsidRPr="00000000" w14:paraId="00000098">
      <w:pPr>
        <w:keepNext w:val="1"/>
        <w:numPr>
          <w:ilvl w:val="0"/>
          <w:numId w:val="9"/>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Information the Supplier must provide</w:t>
      </w:r>
      <w:r w:rsidDel="00000000" w:rsidR="00000000" w:rsidRPr="00000000">
        <w:rPr>
          <w:rtl w:val="0"/>
        </w:rPr>
      </w:r>
    </w:p>
    <w:p w:rsidR="00000000" w:rsidDel="00000000" w:rsidP="00000000" w:rsidRDefault="00000000" w:rsidRPr="00000000" w14:paraId="00000099">
      <w:pPr>
        <w:spacing w:after="120" w:before="120" w:lineRule="auto"/>
        <w:ind w:left="1134" w:hanging="708"/>
        <w:jc w:val="left"/>
        <w:rPr/>
      </w:pPr>
      <w:r w:rsidDel="00000000" w:rsidR="00000000" w:rsidRPr="00000000">
        <w:rPr>
          <w:rtl w:val="0"/>
        </w:rPr>
        <w:t xml:space="preserve">4.1    The Supplier shall promptly provide to the Buyer in writing such information as is necessary to enable the Buyer to carry out its duties under regulation 13 of the Employment Regulations. The Buyer shall promptly provide to the Supplier in writing such information as is necessary to enable the Supplier and any Subcontractor to carry out their respective duties under regulation 13 of the Employment Regulations.</w:t>
      </w:r>
    </w:p>
    <w:p w:rsidR="00000000" w:rsidDel="00000000" w:rsidP="00000000" w:rsidRDefault="00000000" w:rsidRPr="00000000" w14:paraId="0000009A">
      <w:pPr>
        <w:keepNext w:val="1"/>
        <w:numPr>
          <w:ilvl w:val="0"/>
          <w:numId w:val="9"/>
        </w:numPr>
        <w:pBdr>
          <w:top w:space="0" w:sz="0" w:val="nil"/>
          <w:left w:space="0" w:sz="0" w:val="nil"/>
          <w:bottom w:space="0" w:sz="0" w:val="nil"/>
          <w:right w:space="0" w:sz="0" w:val="nil"/>
          <w:between w:space="0" w:sz="0" w:val="nil"/>
        </w:pBdr>
        <w:spacing w:after="120" w:before="120" w:lineRule="auto"/>
        <w:ind w:left="1134" w:hanging="708"/>
        <w:jc w:val="left"/>
        <w:rPr>
          <w:b w:val="1"/>
          <w:bCs w:val="1"/>
          <w:color w:val="000000"/>
        </w:rPr>
      </w:pPr>
      <w:r w:rsidDel="00000000" w:rsidR="00000000" w:rsidRPr="00000000">
        <w:rPr>
          <w:rFonts w:ascii="Arial" w:cs="Arial" w:eastAsia="Arial" w:hAnsi="Arial"/>
          <w:b w:val="1"/>
          <w:bCs w:val="1"/>
          <w:color w:val="000000"/>
          <w:rtl w:val="0"/>
        </w:rPr>
        <w:t xml:space="preserve">Cabinet Office requirements</w:t>
      </w:r>
      <w:r w:rsidDel="00000000" w:rsidR="00000000" w:rsidRPr="00000000">
        <w:rPr>
          <w:rtl w:val="0"/>
        </w:rPr>
      </w:r>
    </w:p>
    <w:p w:rsidR="00000000" w:rsidDel="00000000" w:rsidP="00000000" w:rsidRDefault="00000000" w:rsidRPr="00000000" w14:paraId="0000009B">
      <w:pPr>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44sinio" w:id="15"/>
      <w:bookmarkEnd w:id="15"/>
      <w:r w:rsidDel="00000000" w:rsidR="00000000" w:rsidRPr="00000000">
        <w:rPr>
          <w:color w:val="000000"/>
          <w:rtl w:val="0"/>
        </w:rPr>
        <w:t xml:space="preserve">The Parties agree that the Principles of Good Employment Practice issued by the Cabinet Office in December 2010 apply to the treatment by the Supplier of employees whose employment begins after the Relevant Transfer Date, and the Supplier undertakes to treat such employees in accordance with the provisions of the Principles of Good Employment Practice.</w:t>
      </w:r>
    </w:p>
    <w:p w:rsidR="00000000" w:rsidDel="00000000" w:rsidP="00000000" w:rsidRDefault="00000000" w:rsidRPr="00000000" w14:paraId="0000009C">
      <w:pPr>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jxsxqh" w:id="16"/>
      <w:bookmarkEnd w:id="16"/>
      <w:r w:rsidDel="00000000" w:rsidR="00000000" w:rsidRPr="00000000">
        <w:rPr>
          <w:color w:val="000000"/>
          <w:rtl w:val="0"/>
        </w:rPr>
        <w:t xml:space="preserve">The Supplier shall, and shall procure that each Subcontractor shall, comply with any requirement notified to it by the Buyer relating to pensions in respect of any Transferring Buyer Employee as set down in: </w:t>
      </w:r>
    </w:p>
    <w:p w:rsidR="00000000" w:rsidDel="00000000" w:rsidP="00000000" w:rsidRDefault="00000000" w:rsidRPr="00000000" w14:paraId="0000009D">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Cabinet Office Statement of Practice on Staff Transfers in the Public Sector of January 2000, revised December 2013; </w:t>
      </w:r>
    </w:p>
    <w:p w:rsidR="00000000" w:rsidDel="00000000" w:rsidP="00000000" w:rsidRDefault="00000000" w:rsidRPr="00000000" w14:paraId="0000009E">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Old Fair Deal; and/or </w:t>
      </w:r>
    </w:p>
    <w:p w:rsidR="00000000" w:rsidDel="00000000" w:rsidP="00000000" w:rsidRDefault="00000000" w:rsidRPr="00000000" w14:paraId="0000009F">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New Fair Deal. </w:t>
      </w:r>
    </w:p>
    <w:p w:rsidR="00000000" w:rsidDel="00000000" w:rsidP="00000000" w:rsidRDefault="00000000" w:rsidRPr="00000000" w14:paraId="000000A0">
      <w:pPr>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acknowledges, in respect of those Transferring Buyer Employees who were eligible for compensation under the terms of Civil Service Compensation Scheme ("</w:t>
      </w:r>
      <w:r w:rsidDel="00000000" w:rsidR="00000000" w:rsidRPr="00000000">
        <w:rPr>
          <w:b w:val="1"/>
          <w:bCs w:val="1"/>
          <w:color w:val="000000"/>
          <w:rtl w:val="0"/>
        </w:rPr>
        <w:t xml:space="preserve">CSCS</w:t>
      </w:r>
      <w:r w:rsidDel="00000000" w:rsidR="00000000" w:rsidRPr="00000000">
        <w:rPr>
          <w:color w:val="000000"/>
          <w:rtl w:val="0"/>
        </w:rPr>
        <w:t xml:space="preserve">") immediately prior to transfer, that the right to benefits calculated in accordance with the terms of the CSCS will transfer under the Employment Regulations. The Supplier acknowledges and accepts that for any employee who was eligible for compensation under or in accordance with the terms of the CSCS, the right to compensation, is a right to compensation in accordance with the terms of the CSCS applicable at the time at which the employee becomes entitled to such compensation (including voluntary or compulsory redundancy). Suppliers are advised to check the Civil Service Pensions website for the current CSCS terms.</w:t>
      </w:r>
    </w:p>
    <w:p w:rsidR="00000000" w:rsidDel="00000000" w:rsidP="00000000" w:rsidRDefault="00000000" w:rsidRPr="00000000" w14:paraId="000000A1">
      <w:pPr>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Any changes necessary to the Contract as a result of Changes to, or any replacement of, any statement of practice, paper or other guidance that replaces any of the documentation referred to in Paragraphs 5.1 or 5.2 shall be agreed in accordance with the Variation Procedure.</w:t>
      </w:r>
    </w:p>
    <w:p w:rsidR="00000000" w:rsidDel="00000000" w:rsidP="00000000" w:rsidRDefault="00000000" w:rsidRPr="00000000" w14:paraId="000000A2">
      <w:pPr>
        <w:keepNext w:val="1"/>
        <w:numPr>
          <w:ilvl w:val="0"/>
          <w:numId w:val="9"/>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Pensions</w:t>
      </w:r>
    </w:p>
    <w:p w:rsidR="00000000" w:rsidDel="00000000" w:rsidP="00000000" w:rsidRDefault="00000000" w:rsidRPr="00000000" w14:paraId="000000A3">
      <w:pPr>
        <w:keepNext w:val="1"/>
        <w:numPr>
          <w:ilvl w:val="1"/>
          <w:numId w:val="9"/>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and/or shall procure that each of its Subcontractors shall, comply with:</w:t>
      </w:r>
    </w:p>
    <w:p w:rsidR="00000000" w:rsidDel="00000000" w:rsidP="00000000" w:rsidRDefault="00000000" w:rsidRPr="00000000" w14:paraId="000000A4">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requirements of Part 1 of the Pensions Act 2008, section 258 of the Pensions Act 2004 and the Transfer of Employment (Pension Protection) Regulations 2005 for all transferring staff; and</w:t>
      </w:r>
    </w:p>
    <w:p w:rsidR="00000000" w:rsidDel="00000000" w:rsidP="00000000" w:rsidRDefault="00000000" w:rsidRPr="00000000" w14:paraId="000000A5">
      <w:pPr>
        <w:numPr>
          <w:ilvl w:val="2"/>
          <w:numId w:val="9"/>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provisions in Part D: Pensions (and its Annexes) to this Schedule.</w:t>
      </w:r>
    </w:p>
    <w:p w:rsidR="00000000" w:rsidDel="00000000" w:rsidP="00000000" w:rsidRDefault="00000000" w:rsidRPr="00000000" w14:paraId="000000A6">
      <w:pPr>
        <w:pStyle w:val="Heading1"/>
        <w:spacing w:after="120" w:before="120" w:lineRule="auto"/>
        <w:jc w:val="left"/>
        <w:rPr>
          <w:rFonts w:ascii="Arial" w:cs="Arial" w:eastAsia="Arial" w:hAnsi="Arial"/>
          <w:b w:val="1"/>
          <w:bCs w:val="1"/>
          <w:sz w:val="36"/>
          <w:szCs w:val="36"/>
        </w:rPr>
      </w:pPr>
      <w:bookmarkStart w:colFirst="0" w:colLast="0" w:name="_heading=h.z337ya" w:id="17"/>
      <w:bookmarkEnd w:id="17"/>
      <w:r w:rsidDel="00000000" w:rsidR="00000000" w:rsidRPr="00000000">
        <w:br w:type="page"/>
      </w:r>
      <w:r w:rsidDel="00000000" w:rsidR="00000000" w:rsidRPr="00000000">
        <w:rPr>
          <w:rFonts w:ascii="Arial" w:cs="Arial" w:eastAsia="Arial" w:hAnsi="Arial"/>
          <w:b w:val="1"/>
          <w:bCs w:val="1"/>
          <w:smallCaps w:val="0"/>
          <w:sz w:val="36"/>
          <w:szCs w:val="36"/>
          <w:rtl w:val="0"/>
        </w:rPr>
        <w:t xml:space="preserve">Part B: Staff transfer at the Start Date </w:t>
      </w:r>
      <w:r w:rsidDel="00000000" w:rsidR="00000000" w:rsidRPr="00000000">
        <w:rPr>
          <w:rtl w:val="0"/>
        </w:rPr>
      </w:r>
    </w:p>
    <w:p w:rsidR="00000000" w:rsidDel="00000000" w:rsidP="00000000" w:rsidRDefault="00000000" w:rsidRPr="00000000" w14:paraId="000000A7">
      <w:pPr>
        <w:pStyle w:val="Heading1"/>
        <w:spacing w:after="120" w:before="120" w:lineRule="auto"/>
        <w:jc w:val="left"/>
        <w:rPr>
          <w:rFonts w:ascii="Arial" w:cs="Arial" w:eastAsia="Arial" w:hAnsi="Arial"/>
          <w:b w:val="1"/>
          <w:bCs w:val="1"/>
          <w:smallCaps w:val="0"/>
          <w:sz w:val="36"/>
          <w:szCs w:val="36"/>
        </w:rPr>
      </w:pPr>
      <w:r w:rsidDel="00000000" w:rsidR="00000000" w:rsidRPr="00000000">
        <w:rPr>
          <w:rFonts w:ascii="Arial" w:cs="Arial" w:eastAsia="Arial" w:hAnsi="Arial"/>
          <w:b w:val="1"/>
          <w:bCs w:val="1"/>
          <w:smallCaps w:val="0"/>
          <w:sz w:val="36"/>
          <w:szCs w:val="36"/>
          <w:rtl w:val="0"/>
        </w:rPr>
        <w:t xml:space="preserve">Transfer from a former supplier on a re-procurement</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keepNext w:val="1"/>
        <w:numPr>
          <w:ilvl w:val="0"/>
          <w:numId w:val="10"/>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What is a relevant transfer</w:t>
      </w:r>
    </w:p>
    <w:p w:rsidR="00000000" w:rsidDel="00000000" w:rsidP="00000000" w:rsidRDefault="00000000" w:rsidRPr="00000000" w14:paraId="000000AA">
      <w:pPr>
        <w:keepNext w:val="1"/>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Buyer and the Supplier agree that:</w:t>
      </w:r>
    </w:p>
    <w:p w:rsidR="00000000" w:rsidDel="00000000" w:rsidP="00000000" w:rsidRDefault="00000000" w:rsidRPr="00000000" w14:paraId="000000AB">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commencement of the provision of the Services or of any relevant part of the Services will be a Relevant Transfer in relation to the Transferring Former Supplier Employees; and </w:t>
      </w:r>
    </w:p>
    <w:p w:rsidR="00000000" w:rsidDel="00000000" w:rsidP="00000000" w:rsidRDefault="00000000" w:rsidRPr="00000000" w14:paraId="000000AC">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as a result of the operation of the Employment Regulations, the contracts of employment between each Former Supplier and the Transferring Former Supplier Employees (except in relation to any terms disapplied through the operation of regulation 10(2) of the Employment Regulations) shall have effect on and from the Relevant Transfer Date as if originally made between the Supplier and/or any Subcontractor and each such Transferring Former Supplier Employee.</w:t>
      </w:r>
    </w:p>
    <w:p w:rsidR="00000000" w:rsidDel="00000000" w:rsidP="00000000" w:rsidRDefault="00000000" w:rsidRPr="00000000" w14:paraId="000000AD">
      <w:pPr>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j2qqm3" w:id="18"/>
      <w:bookmarkEnd w:id="18"/>
      <w:r w:rsidDel="00000000" w:rsidR="00000000" w:rsidRPr="00000000">
        <w:rPr>
          <w:color w:val="000000"/>
          <w:rtl w:val="0"/>
        </w:rPr>
        <w:t xml:space="preserve">The Buyer shall procure that each Former Supplier shall comply with all its obligations under the Employment Regulations and shall perform and discharge all its obligations in respect of all the Transferring Former Supplier Employees in respect of the period up to (but not including) the Relevant Transfer Date including the payment of all remuneration, benefits, entitlements and outgoings, all wages, accrued but untaken holiday pay, bonuses, commissions, payments of PAYE, national insurance contributions and pension contributions which in any case are attributable in whole or in part in respect of the period up to (but not including) the Relevant Transfer Date) and the Supplier shall make, and the Buyer shall procure that each Former Supplier makes, any necessary apportionments in respect of any periodic payments.</w:t>
      </w:r>
    </w:p>
    <w:p w:rsidR="00000000" w:rsidDel="00000000" w:rsidP="00000000" w:rsidRDefault="00000000" w:rsidRPr="00000000" w14:paraId="000000AE">
      <w:pPr>
        <w:keepNext w:val="1"/>
        <w:numPr>
          <w:ilvl w:val="0"/>
          <w:numId w:val="10"/>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bookmarkStart w:colFirst="0" w:colLast="0" w:name="_heading=h.1y810tw" w:id="19"/>
      <w:bookmarkEnd w:id="19"/>
      <w:r w:rsidDel="00000000" w:rsidR="00000000" w:rsidRPr="00000000">
        <w:rPr>
          <w:rFonts w:ascii="Arial" w:cs="Arial" w:eastAsia="Arial" w:hAnsi="Arial"/>
          <w:b w:val="1"/>
          <w:bCs w:val="1"/>
          <w:color w:val="000000"/>
          <w:rtl w:val="0"/>
        </w:rPr>
        <w:t xml:space="preserve">Indemnities given by the Former Supplier</w:t>
      </w:r>
      <w:r w:rsidDel="00000000" w:rsidR="00000000" w:rsidRPr="00000000">
        <w:rPr>
          <w:rtl w:val="0"/>
        </w:rPr>
      </w:r>
    </w:p>
    <w:p w:rsidR="00000000" w:rsidDel="00000000" w:rsidP="00000000" w:rsidRDefault="00000000" w:rsidRPr="00000000" w14:paraId="000000AF">
      <w:pPr>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Subject to Paragraph 2.2, the Buyer shall procure that each Former Supplier shall indemnify the Supplier and any Subcontractor against any Employee Liabilities arising from or as a result of: </w:t>
      </w:r>
    </w:p>
    <w:p w:rsidR="00000000" w:rsidDel="00000000" w:rsidP="00000000" w:rsidRDefault="00000000" w:rsidRPr="00000000" w14:paraId="000000B0">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act or omission by the Former Supplier in respect of any Transferring Former Supplier Employee or any appropriate employee representative (as defined in the Employment Regulations) of any Transferring Former Supplier Employee arising before the Relevant Transfer Date;</w:t>
      </w:r>
    </w:p>
    <w:p w:rsidR="00000000" w:rsidDel="00000000" w:rsidP="00000000" w:rsidRDefault="00000000" w:rsidRPr="00000000" w14:paraId="000000B1">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breach or non-observance by the Former Supplier arising before the Relevant Transfer Date of:</w:t>
      </w:r>
    </w:p>
    <w:p w:rsidR="00000000" w:rsidDel="00000000" w:rsidP="00000000" w:rsidRDefault="00000000" w:rsidRPr="00000000" w14:paraId="000000B2">
      <w:pPr>
        <w:numPr>
          <w:ilvl w:val="3"/>
          <w:numId w:val="10"/>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collective agreement applicable to the Transferring Former Supplier Employees; and/or </w:t>
      </w:r>
    </w:p>
    <w:p w:rsidR="00000000" w:rsidDel="00000000" w:rsidP="00000000" w:rsidRDefault="00000000" w:rsidRPr="00000000" w14:paraId="000000B3">
      <w:pPr>
        <w:numPr>
          <w:ilvl w:val="3"/>
          <w:numId w:val="10"/>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custom or practice in respect of any Transferring Former Supplier Employees which the Former Supplier is contractually bound to honour; </w:t>
      </w:r>
    </w:p>
    <w:p w:rsidR="00000000" w:rsidDel="00000000" w:rsidP="00000000" w:rsidRDefault="00000000" w:rsidRPr="00000000" w14:paraId="000000B4">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proceeding, claim or demand by HMRC or other statutory authority in respect of any financial obligation including, but not limited to, PAYE and primary and secondary national insurance contributions:</w:t>
      </w:r>
    </w:p>
    <w:p w:rsidR="00000000" w:rsidDel="00000000" w:rsidP="00000000" w:rsidRDefault="00000000" w:rsidRPr="00000000" w14:paraId="000000B5">
      <w:pPr>
        <w:numPr>
          <w:ilvl w:val="3"/>
          <w:numId w:val="10"/>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in relation to any Transferring Former Supplier Employee, to the extent that the proceeding, claim or demand by HMRC or other statutory authority relates to financial obligations arising before the Relevant Transfer Date; and</w:t>
      </w:r>
    </w:p>
    <w:p w:rsidR="00000000" w:rsidDel="00000000" w:rsidP="00000000" w:rsidRDefault="00000000" w:rsidRPr="00000000" w14:paraId="000000B6">
      <w:pPr>
        <w:numPr>
          <w:ilvl w:val="3"/>
          <w:numId w:val="10"/>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in relation to any employee who is not a Transferring Former Supplier Employee and in respect of whom it is later alleged or determined that the Employment Regulations applied so as to transfer their employment from the Former Supplier to the Supplier and/or any Notified Subcontractor as appropriate, to the extent that the proceeding, claim or demand by HMRC or other statutory authority relates to financial obligations in respect of the period to (but excluding) the Relevant Transfer Date;</w:t>
      </w:r>
    </w:p>
    <w:p w:rsidR="00000000" w:rsidDel="00000000" w:rsidP="00000000" w:rsidRDefault="00000000" w:rsidRPr="00000000" w14:paraId="000000B7">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failure of the Former Supplier to discharge or procure the discharge of all wages, salaries and all other benefits and all PAYE tax deductions and national insurance contributions relating to the Transferring Former Supplier Employees in respect of the period to (but excluding) the Relevant Transfer Date;</w:t>
      </w:r>
    </w:p>
    <w:p w:rsidR="00000000" w:rsidDel="00000000" w:rsidP="00000000" w:rsidRDefault="00000000" w:rsidRPr="00000000" w14:paraId="000000B8">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made by or in respect of any person employed or formerly employed by the Former Supplier other than a Transferring Former Supplier Employee for whom it is alleged the Supplier and/or any Notified Subcontractor as appropriate may be liable by virtue of the relevant Contract and/or the Employment Regulations; and</w:t>
      </w:r>
    </w:p>
    <w:p w:rsidR="00000000" w:rsidDel="00000000" w:rsidP="00000000" w:rsidRDefault="00000000" w:rsidRPr="00000000" w14:paraId="000000B9">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made by or in respect of a Transferring Former Supplier Employee or any appropriate employee representative (as defined in the Employment Regulations) of any Transferring Former Supplier Employee relating to any act or omission of the Former Supplier in relation to its obligations under regulation 13 of the Employment Regulations, except to the extent that the liability arises from the failure by the Supplier or any Subcontractor to comply with regulation 13(4) of the Employment Regulations.</w:t>
      </w:r>
    </w:p>
    <w:p w:rsidR="00000000" w:rsidDel="00000000" w:rsidP="00000000" w:rsidRDefault="00000000" w:rsidRPr="00000000" w14:paraId="000000BA">
      <w:pPr>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4i7ojhp" w:id="20"/>
      <w:bookmarkEnd w:id="20"/>
      <w:r w:rsidDel="00000000" w:rsidR="00000000" w:rsidRPr="00000000">
        <w:rPr>
          <w:color w:val="000000"/>
          <w:rtl w:val="0"/>
        </w:rPr>
        <w:t xml:space="preserve">The indemnities in Paragraph 2.1 shall not apply to the extent that the Employee Liabilities arise or are attributable to an act or omission of the Supplier or any Subcontractor whether occurring or having its origin before, on or after the Relevant Transfer Date including, without limitation, any Employee Liabilities:</w:t>
      </w:r>
    </w:p>
    <w:p w:rsidR="00000000" w:rsidDel="00000000" w:rsidP="00000000" w:rsidRDefault="00000000" w:rsidRPr="00000000" w14:paraId="000000BB">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arising out of the resignation of any Transferring Former Supplier Employee before the Relevant Transfer Date on account of substantial detrimental changes to his/her working conditions proposed by the Supplier or any Subcontractor to occur in the period from (and including) the Relevant Transfer Date; or</w:t>
      </w:r>
    </w:p>
    <w:p w:rsidR="00000000" w:rsidDel="00000000" w:rsidP="00000000" w:rsidRDefault="00000000" w:rsidRPr="00000000" w14:paraId="000000BC">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arising from the failure by the Supplier and/or any Subcontractor to comply with its obligations under the Employment Regulations.</w:t>
      </w:r>
    </w:p>
    <w:p w:rsidR="00000000" w:rsidDel="00000000" w:rsidP="00000000" w:rsidRDefault="00000000" w:rsidRPr="00000000" w14:paraId="000000BD">
      <w:pPr>
        <w:keepNext w:val="1"/>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xcytpi" w:id="21"/>
      <w:bookmarkEnd w:id="21"/>
      <w:r w:rsidDel="00000000" w:rsidR="00000000" w:rsidRPr="00000000">
        <w:rPr>
          <w:color w:val="000000"/>
          <w:rtl w:val="0"/>
        </w:rPr>
        <w:t xml:space="preserve">If any person who is not identified by the Former Supplier as a Transferring Former Supplier Employee claims, or it is determined in relation to any person who is not identified by the Former Supplier as a Transferring Former Supplier Employee, that his/her contract of employment has been transferred from a Former Supplier to the Supplier and/or any Subcontractor pursuant to the Employment Regulations or the Acquired Rights Directive then: </w:t>
      </w:r>
    </w:p>
    <w:p w:rsidR="00000000" w:rsidDel="00000000" w:rsidP="00000000" w:rsidRDefault="00000000" w:rsidRPr="00000000" w14:paraId="000000BE">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1ci93xb" w:id="22"/>
      <w:bookmarkEnd w:id="22"/>
      <w:r w:rsidDel="00000000" w:rsidR="00000000" w:rsidRPr="00000000">
        <w:rPr>
          <w:color w:val="000000"/>
          <w:rtl w:val="0"/>
        </w:rPr>
        <w:t xml:space="preserve">the Supplier shall, or shall procure that the Subcontractor shall, within 5 Working Days of becoming aware of that fact, notify the Buyer and in writing and, where required by the Buyer, notify the relevant Former Supplier in writing; and</w:t>
      </w:r>
    </w:p>
    <w:p w:rsidR="00000000" w:rsidDel="00000000" w:rsidP="00000000" w:rsidRDefault="00000000" w:rsidRPr="00000000" w14:paraId="000000BF">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3whwml4" w:id="23"/>
      <w:bookmarkEnd w:id="23"/>
      <w:r w:rsidDel="00000000" w:rsidR="00000000" w:rsidRPr="00000000">
        <w:rPr>
          <w:color w:val="000000"/>
          <w:rtl w:val="0"/>
        </w:rPr>
        <w:t xml:space="preserve">the Former Supplier may offer (or may procure that a third party may offer) employment to such person, or take such other steps as the Former Supplier considers appropriate to deal with the matter provided always that such steps are in compliance with applicable Law, within 15 Working Days of receipt of notice from the Supplier and/or the Subcontractor (as appropriate).</w:t>
      </w:r>
    </w:p>
    <w:p w:rsidR="00000000" w:rsidDel="00000000" w:rsidP="00000000" w:rsidRDefault="00000000" w:rsidRPr="00000000" w14:paraId="000000C0">
      <w:pPr>
        <w:keepNext w:val="1"/>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If an offer referred to in Paragraph 2.3.2 is accepted, or if the situation has otherwise been resolved by the Former Supplier and/or the Buyer, the Supplier shall, or shall procure that the Subcontractor shall, immediately release the person from his/her employment or alleged employment.</w:t>
      </w:r>
    </w:p>
    <w:p w:rsidR="00000000" w:rsidDel="00000000" w:rsidP="00000000" w:rsidRDefault="00000000" w:rsidRPr="00000000" w14:paraId="000000C1">
      <w:pPr>
        <w:keepNext w:val="1"/>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bn6wsx" w:id="24"/>
      <w:bookmarkEnd w:id="24"/>
      <w:r w:rsidDel="00000000" w:rsidR="00000000" w:rsidRPr="00000000">
        <w:rPr>
          <w:color w:val="000000"/>
          <w:rtl w:val="0"/>
        </w:rPr>
        <w:t xml:space="preserve">If by the end of the 15 Working Day period referred to in Paragraph 2.3.2: </w:t>
      </w:r>
    </w:p>
    <w:p w:rsidR="00000000" w:rsidDel="00000000" w:rsidP="00000000" w:rsidRDefault="00000000" w:rsidRPr="00000000" w14:paraId="000000C2">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 no such offer of employment has been made;</w:t>
      </w:r>
    </w:p>
    <w:p w:rsidR="00000000" w:rsidDel="00000000" w:rsidP="00000000" w:rsidRDefault="00000000" w:rsidRPr="00000000" w14:paraId="000000C3">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such offer has been made but not accepted; or</w:t>
      </w:r>
    </w:p>
    <w:p w:rsidR="00000000" w:rsidDel="00000000" w:rsidP="00000000" w:rsidRDefault="00000000" w:rsidRPr="00000000" w14:paraId="000000C4">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situation has not otherwise been resolved, </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120" w:before="120" w:lineRule="auto"/>
        <w:ind w:left="1134" w:firstLine="0"/>
        <w:jc w:val="left"/>
        <w:rPr>
          <w:color w:val="000000"/>
        </w:rPr>
      </w:pPr>
      <w:r w:rsidDel="00000000" w:rsidR="00000000" w:rsidRPr="00000000">
        <w:rPr>
          <w:color w:val="000000"/>
          <w:rtl w:val="0"/>
        </w:rPr>
        <w:t xml:space="preserve">the Supplier and/or any Subcontractor may within 5 Working Days give notice to terminate the employment or alleged employment of such person;</w:t>
      </w:r>
    </w:p>
    <w:p w:rsidR="00000000" w:rsidDel="00000000" w:rsidP="00000000" w:rsidRDefault="00000000" w:rsidRPr="00000000" w14:paraId="000000C6">
      <w:pPr>
        <w:keepNext w:val="1"/>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Subject to the Supplier and/or any Subcontractor acting in accordance with the provisions of Paragraphs 2.3 to 2.5 and in accordance with all applicable proper employment procedures set out in Law and subject also to Paragraph 2.7, the Buyer shall procure that the Former Supplier will indemnify the Supplier and/or the relevant Subcontractor against all Employee Liabilities arising out of the termination of the employment pursuant to the provisions of Paragraph 2.5 provided that the Supplier takes, or shall procure that the Subcontractor takes, all reasonable steps to minimise any such Employee Liabilities. </w:t>
      </w:r>
    </w:p>
    <w:p w:rsidR="00000000" w:rsidDel="00000000" w:rsidP="00000000" w:rsidRDefault="00000000" w:rsidRPr="00000000" w14:paraId="000000C7">
      <w:pPr>
        <w:keepNext w:val="1"/>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qsh70q" w:id="25"/>
      <w:bookmarkEnd w:id="25"/>
      <w:r w:rsidDel="00000000" w:rsidR="00000000" w:rsidRPr="00000000">
        <w:rPr>
          <w:color w:val="000000"/>
          <w:rtl w:val="0"/>
        </w:rPr>
        <w:t xml:space="preserve">The indemnity in Paragraph 2.6: </w:t>
      </w:r>
    </w:p>
    <w:p w:rsidR="00000000" w:rsidDel="00000000" w:rsidP="00000000" w:rsidRDefault="00000000" w:rsidRPr="00000000" w14:paraId="000000C8">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shall not apply to: </w:t>
      </w:r>
    </w:p>
    <w:p w:rsidR="00000000" w:rsidDel="00000000" w:rsidP="00000000" w:rsidRDefault="00000000" w:rsidRPr="00000000" w14:paraId="000000C9">
      <w:pPr>
        <w:numPr>
          <w:ilvl w:val="3"/>
          <w:numId w:val="10"/>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claim for :</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120" w:before="120" w:lineRule="auto"/>
        <w:ind w:left="3686" w:hanging="851.0000000000002"/>
        <w:jc w:val="left"/>
        <w:rPr>
          <w:color w:val="000000"/>
        </w:rPr>
      </w:pPr>
      <w:r w:rsidDel="00000000" w:rsidR="00000000" w:rsidRPr="00000000">
        <w:rPr>
          <w:color w:val="000000"/>
          <w:rtl w:val="0"/>
        </w:rPr>
        <w:t xml:space="preserve">(i)  </w:t>
        <w:tab/>
        <w:t xml:space="preserve">any contravention of the Equality Act 2010 (or predecessor/successor legislation; or </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120" w:before="120" w:lineRule="auto"/>
        <w:ind w:left="3686" w:hanging="851.0000000000002"/>
        <w:jc w:val="left"/>
        <w:rPr>
          <w:color w:val="000000"/>
        </w:rPr>
      </w:pPr>
      <w:r w:rsidDel="00000000" w:rsidR="00000000" w:rsidRPr="00000000">
        <w:rPr>
          <w:color w:val="000000"/>
          <w:rtl w:val="0"/>
        </w:rPr>
        <w:t xml:space="preserve">(ii) </w:t>
        <w:tab/>
        <w:t xml:space="preserve">equal pay or compensation for less favourable treatment of part-time workers or fixed-term employees; </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120" w:before="120" w:lineRule="auto"/>
        <w:ind w:left="2835" w:firstLine="0"/>
        <w:jc w:val="left"/>
        <w:rPr>
          <w:color w:val="000000"/>
        </w:rPr>
      </w:pPr>
      <w:r w:rsidDel="00000000" w:rsidR="00000000" w:rsidRPr="00000000">
        <w:rPr>
          <w:color w:val="000000"/>
          <w:rtl w:val="0"/>
        </w:rPr>
        <w:t xml:space="preserve">arising as a result of any alleged act or omission of the Supplier and/or any Subcontractor; or</w:t>
      </w:r>
    </w:p>
    <w:p w:rsidR="00000000" w:rsidDel="00000000" w:rsidP="00000000" w:rsidRDefault="00000000" w:rsidRPr="00000000" w14:paraId="000000CD">
      <w:pPr>
        <w:numPr>
          <w:ilvl w:val="3"/>
          <w:numId w:val="10"/>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claim that the termination of employment was unfair because the Supplier and/or Subcontractor neglected to follow a fair dismissal procedure; and</w:t>
      </w:r>
    </w:p>
    <w:p w:rsidR="00000000" w:rsidDel="00000000" w:rsidP="00000000" w:rsidRDefault="00000000" w:rsidRPr="00000000" w14:paraId="000000CE">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shall apply only where the notification referred to in Paragraph 2.3.1 is made by the Supplier and/or any Subcontractor (as appropriate) to the Buyer and, if applicable, the Former Supplier, within 6 months of the Start Date. </w:t>
      </w:r>
    </w:p>
    <w:p w:rsidR="00000000" w:rsidDel="00000000" w:rsidP="00000000" w:rsidRDefault="00000000" w:rsidRPr="00000000" w14:paraId="000000CF">
      <w:pPr>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If any such person as is described in Paragraph 2.3 is neither re-employed by the Former Supplier nor dismissed by the Supplier and/or any Subcontractor within the timescales set out in Paragraph 2.5, such person shall be treated as having transferred to the Supplier and/or any Subcontractor and the Supplier shall, or shall procure that the Subcontractor shall, comply with such obligations as may be imposed upon it under applicable Law.</w:t>
      </w:r>
    </w:p>
    <w:p w:rsidR="00000000" w:rsidDel="00000000" w:rsidP="00000000" w:rsidRDefault="00000000" w:rsidRPr="00000000" w14:paraId="000000D0">
      <w:pPr>
        <w:keepNext w:val="1"/>
        <w:numPr>
          <w:ilvl w:val="0"/>
          <w:numId w:val="10"/>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bookmarkStart w:colFirst="0" w:colLast="0" w:name="_heading=h.3as4poj" w:id="26"/>
      <w:bookmarkEnd w:id="26"/>
      <w:r w:rsidDel="00000000" w:rsidR="00000000" w:rsidRPr="00000000">
        <w:rPr>
          <w:rFonts w:ascii="Arial" w:cs="Arial" w:eastAsia="Arial" w:hAnsi="Arial"/>
          <w:b w:val="1"/>
          <w:bCs w:val="1"/>
          <w:color w:val="000000"/>
          <w:rtl w:val="0"/>
        </w:rPr>
        <w:t xml:space="preserve">Indemnities the Supplier must give and its obligations</w:t>
      </w:r>
      <w:r w:rsidDel="00000000" w:rsidR="00000000" w:rsidRPr="00000000">
        <w:rPr>
          <w:rtl w:val="0"/>
        </w:rPr>
      </w:r>
    </w:p>
    <w:p w:rsidR="00000000" w:rsidDel="00000000" w:rsidP="00000000" w:rsidRDefault="00000000" w:rsidRPr="00000000" w14:paraId="000000D1">
      <w:pPr>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Subject to Paragraph 3.2, the Supplier shall indemnify the Buyer and/or the Former Supplier against any Employee Liabilities arising from or as a result of: </w:t>
      </w:r>
    </w:p>
    <w:p w:rsidR="00000000" w:rsidDel="00000000" w:rsidP="00000000" w:rsidRDefault="00000000" w:rsidRPr="00000000" w14:paraId="000000D2">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act or omission by the Supplier or any Subcontractor in respect of any Transferring Former Supplier Employee or any appropriate employee representative (as defined in the Employment Regulations) of any Transferring Former Supplier Employee whether occurring before, on or after the Relevant Transfer Date;</w:t>
      </w:r>
    </w:p>
    <w:p w:rsidR="00000000" w:rsidDel="00000000" w:rsidP="00000000" w:rsidRDefault="00000000" w:rsidRPr="00000000" w14:paraId="000000D3">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breach or non-observance by the Supplier or any Subcontractor on or after the Relevant Transfer Date of:</w:t>
      </w:r>
    </w:p>
    <w:p w:rsidR="00000000" w:rsidDel="00000000" w:rsidP="00000000" w:rsidRDefault="00000000" w:rsidRPr="00000000" w14:paraId="000000D4">
      <w:pPr>
        <w:numPr>
          <w:ilvl w:val="3"/>
          <w:numId w:val="10"/>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collective agreement applicable to the Transferring Former Supplier Employee; and/or</w:t>
      </w:r>
    </w:p>
    <w:p w:rsidR="00000000" w:rsidDel="00000000" w:rsidP="00000000" w:rsidRDefault="00000000" w:rsidRPr="00000000" w14:paraId="000000D5">
      <w:pPr>
        <w:numPr>
          <w:ilvl w:val="3"/>
          <w:numId w:val="10"/>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custom or practice in respect of any Transferring Former Supplier Employees which the Supplier or any Subcontractor is contractually bound to honour;</w:t>
      </w:r>
    </w:p>
    <w:p w:rsidR="00000000" w:rsidDel="00000000" w:rsidP="00000000" w:rsidRDefault="00000000" w:rsidRPr="00000000" w14:paraId="000000D6">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by any trade union or other body or person representing any Transferring Former Supplier Employees arising from or connected with any failure by the Supplier or a Subcontractor to comply with any legal obligation to such trade union, body or person arising on or after the Relevant Transfer Date;</w:t>
      </w:r>
    </w:p>
    <w:p w:rsidR="00000000" w:rsidDel="00000000" w:rsidP="00000000" w:rsidRDefault="00000000" w:rsidRPr="00000000" w14:paraId="000000D7">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proposal by the Supplier or a Subcontractor prior to the Relevant Transfer Date to make changes to the terms and conditions of employment or working conditions of any Transferring Former Supplier Employees to their material detriment on or after their transfer to the Supplier or a Subcontractor (as the case may be) on the Relevant Transfer Date, or to change the terms and conditions of employment or working conditions of any person who would have been a Transferring Former Supplier Employee but for their resignation (or decision to treat their employment as terminated under regulation 4(9) of the Employment Regulations) before the Relevant Transfer Date as a result of or for a reason connected to such proposed changes; </w:t>
      </w:r>
    </w:p>
    <w:p w:rsidR="00000000" w:rsidDel="00000000" w:rsidP="00000000" w:rsidRDefault="00000000" w:rsidRPr="00000000" w14:paraId="000000D8">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statement communicated to or action undertaken by the Supplier or a Subcontractor to, or in respect of, any Transferring Former Supplier Employee before the Relevant Transfer Date regarding the Relevant Transfer which has not been agreed in advance with the Buyer and/or the Former Supplier in writing;</w:t>
      </w:r>
    </w:p>
    <w:p w:rsidR="00000000" w:rsidDel="00000000" w:rsidP="00000000" w:rsidRDefault="00000000" w:rsidRPr="00000000" w14:paraId="000000D9">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proceeding, claim or demand by HMRC or other statutory authority in respect of any financial obligation including, but not limited to, PAYE and primary and secondary national insurance contributions:</w:t>
      </w:r>
    </w:p>
    <w:p w:rsidR="00000000" w:rsidDel="00000000" w:rsidP="00000000" w:rsidRDefault="00000000" w:rsidRPr="00000000" w14:paraId="000000DA">
      <w:pPr>
        <w:numPr>
          <w:ilvl w:val="3"/>
          <w:numId w:val="10"/>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in relation to any Transferring Former Supplier Employee, to the extent that the proceeding, claim or demand by HMRC or other statutory authority relates to financial obligations arising on or after the Relevant Transfer Date; and</w:t>
      </w:r>
    </w:p>
    <w:p w:rsidR="00000000" w:rsidDel="00000000" w:rsidP="00000000" w:rsidRDefault="00000000" w:rsidRPr="00000000" w14:paraId="000000DB">
      <w:pPr>
        <w:numPr>
          <w:ilvl w:val="3"/>
          <w:numId w:val="10"/>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in relation to any employee who is not a Transferring Former Supplier Employee, and in respect of whom it is later alleged or determined that the Employment Regulations applied so as to transfer his/her employment from the Former Supplier to the Supplier or a Subcontractor, to the extent that the proceeding, claim or demand by the HMRC or other statutory authority relates to financial obligations arising on or after the Relevant Transfer Date;</w:t>
      </w:r>
    </w:p>
    <w:p w:rsidR="00000000" w:rsidDel="00000000" w:rsidP="00000000" w:rsidRDefault="00000000" w:rsidRPr="00000000" w14:paraId="000000DC">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failure of the Supplier or any Subcontractor to discharge or procure the discharge of all wages, salaries and all other benefits and all PAYE tax deductions and national insurance contributions relating to the Transferring Former Supplier Employees in respect of the period from (and including) the Relevant Transfer Date; </w:t>
      </w:r>
    </w:p>
    <w:p w:rsidR="00000000" w:rsidDel="00000000" w:rsidP="00000000" w:rsidRDefault="00000000" w:rsidRPr="00000000" w14:paraId="000000DD">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made by or in respect of a Transferring Former Supplier Employee or any appropriate employee representative (as defined in the Employment Regulations) of any Transferring Former Supplier Employee relating to any act or omission of the Supplier or any Subcontractor in relation to obligations under regulation 13 of the Employment Regulations, except to the extent that the liability arises from the Former Supplier's failure to comply with its obligations under regulation 13 of the Employment Regulations; and</w:t>
      </w:r>
    </w:p>
    <w:p w:rsidR="00000000" w:rsidDel="00000000" w:rsidP="00000000" w:rsidRDefault="00000000" w:rsidRPr="00000000" w14:paraId="000000DE">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failure by the Supplier or any Subcontractor to comply with its obligations under Paragraph 2.8 above</w:t>
      </w:r>
    </w:p>
    <w:p w:rsidR="00000000" w:rsidDel="00000000" w:rsidP="00000000" w:rsidRDefault="00000000" w:rsidRPr="00000000" w14:paraId="000000DF">
      <w:pPr>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1pxezwc" w:id="27"/>
      <w:bookmarkEnd w:id="27"/>
      <w:r w:rsidDel="00000000" w:rsidR="00000000" w:rsidRPr="00000000">
        <w:rPr>
          <w:color w:val="000000"/>
          <w:rtl w:val="0"/>
        </w:rPr>
        <w:t xml:space="preserve">The indemnities in Paragraph 3.1 shall not apply to the extent that the Employee Liabilities arise or are attributable to an act or omission of the Former Supplier whether occurring or having its origin before, on or after the Relevant Transfer Date including, without limitation, any Employee Liabilities arising from the Former Supplier’s failure to comply with its obligations under the Employment Regulations.</w:t>
      </w:r>
    </w:p>
    <w:p w:rsidR="00000000" w:rsidDel="00000000" w:rsidP="00000000" w:rsidRDefault="00000000" w:rsidRPr="00000000" w14:paraId="000000E0">
      <w:pPr>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comply, and shall procure that each Subcontractor shall comply, with all its obligations under the Employment Regulations (including without limitation its obligation to inform and consult in accordance with regulation 13 of the Employment Regulations) and shall perform and discharge all its obligations in respect of all the Transferring Former Supplier Employees, on and from the Relevant Transfer Date (including (without limit) the payment of all remuneration, benefits, entitlements, and outgoings, all wages, accrued but untaken holiday pay, bonuses, commissions, payments of PAYE, national insurance contributions and pension contributions and all such sums due under the Admission Agreement which in any case are attributable in whole or in part to the period from (and including) the Relevant Transfer Date) and any necessary apportionments in respect of any periodic payments shall be made between the Supplier and the Former Supplier.</w:t>
      </w:r>
    </w:p>
    <w:p w:rsidR="00000000" w:rsidDel="00000000" w:rsidP="00000000" w:rsidRDefault="00000000" w:rsidRPr="00000000" w14:paraId="000000E1">
      <w:pPr>
        <w:keepNext w:val="1"/>
        <w:numPr>
          <w:ilvl w:val="0"/>
          <w:numId w:val="10"/>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Information the Supplier must give</w:t>
      </w:r>
      <w:r w:rsidDel="00000000" w:rsidR="00000000" w:rsidRPr="00000000">
        <w:rPr>
          <w:rtl w:val="0"/>
        </w:rPr>
      </w:r>
    </w:p>
    <w:p w:rsidR="00000000" w:rsidDel="00000000" w:rsidP="00000000" w:rsidRDefault="00000000" w:rsidRPr="00000000" w14:paraId="000000E2">
      <w:pPr>
        <w:spacing w:after="120" w:before="120" w:lineRule="auto"/>
        <w:ind w:left="426" w:firstLine="0"/>
        <w:jc w:val="left"/>
        <w:rPr/>
      </w:pPr>
      <w:r w:rsidDel="00000000" w:rsidR="00000000" w:rsidRPr="00000000">
        <w:rPr>
          <w:rtl w:val="0"/>
        </w:rPr>
        <w:t xml:space="preserve">The Supplier shall, and shall procure that each Subcontractor shall, promptly provide to the Buyer and/or at the Buyer’s direction, the Former Supplier, in writing such information as is necessary to enable the Buyer and/or the Former Supplier to carry out their respective duties under regulation 13 of the Employment Regulations. The Buyer shall procure that the Former Supplier shall promptly provide to the Supplier and any Subcontractor in writing such information as is necessary to enable the Supplier and any Subcontractor to carry out their respective duties under regulation 13 of the Employment Regulations.</w:t>
      </w:r>
    </w:p>
    <w:p w:rsidR="00000000" w:rsidDel="00000000" w:rsidP="00000000" w:rsidRDefault="00000000" w:rsidRPr="00000000" w14:paraId="000000E3">
      <w:pPr>
        <w:keepNext w:val="1"/>
        <w:numPr>
          <w:ilvl w:val="0"/>
          <w:numId w:val="10"/>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Cabinet Office requirements</w:t>
      </w:r>
      <w:r w:rsidDel="00000000" w:rsidR="00000000" w:rsidRPr="00000000">
        <w:rPr>
          <w:rtl w:val="0"/>
        </w:rPr>
      </w:r>
    </w:p>
    <w:p w:rsidR="00000000" w:rsidDel="00000000" w:rsidP="00000000" w:rsidRDefault="00000000" w:rsidRPr="00000000" w14:paraId="000000E4">
      <w:pPr>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and shall procure that each Subcontractor shall, comply with any requirement notified to it by the Buyer relating to pensions in respect of any Transferring Former Supplier Employee as set down in: </w:t>
      </w:r>
    </w:p>
    <w:p w:rsidR="00000000" w:rsidDel="00000000" w:rsidP="00000000" w:rsidRDefault="00000000" w:rsidRPr="00000000" w14:paraId="000000E5">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Cabinet Office Statement of Practice on Staff Transfers in the Public Sector of January 2000, revised 2007; </w:t>
      </w:r>
    </w:p>
    <w:p w:rsidR="00000000" w:rsidDel="00000000" w:rsidP="00000000" w:rsidRDefault="00000000" w:rsidRPr="00000000" w14:paraId="000000E6">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Old Fair Deal; and/or</w:t>
      </w:r>
    </w:p>
    <w:p w:rsidR="00000000" w:rsidDel="00000000" w:rsidP="00000000" w:rsidRDefault="00000000" w:rsidRPr="00000000" w14:paraId="000000E7">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New Fair Deal. </w:t>
      </w:r>
    </w:p>
    <w:p w:rsidR="00000000" w:rsidDel="00000000" w:rsidP="00000000" w:rsidRDefault="00000000" w:rsidRPr="00000000" w14:paraId="000000E8">
      <w:pPr>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Any changes embodied in any statement of practice, paper or other guidance that replaces any of the documentation referred to in Paragraph 5.1 shall be agreed in accordance with the Variation Procedure.</w:t>
      </w:r>
    </w:p>
    <w:p w:rsidR="00000000" w:rsidDel="00000000" w:rsidP="00000000" w:rsidRDefault="00000000" w:rsidRPr="00000000" w14:paraId="000000E9">
      <w:pPr>
        <w:keepNext w:val="1"/>
        <w:numPr>
          <w:ilvl w:val="0"/>
          <w:numId w:val="10"/>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Limits on the Former Supplier’s obligations</w:t>
      </w:r>
      <w:r w:rsidDel="00000000" w:rsidR="00000000" w:rsidRPr="00000000">
        <w:rPr>
          <w:rtl w:val="0"/>
        </w:rPr>
      </w:r>
    </w:p>
    <w:p w:rsidR="00000000" w:rsidDel="00000000" w:rsidP="00000000" w:rsidRDefault="00000000" w:rsidRPr="00000000" w14:paraId="000000EA">
      <w:pPr>
        <w:spacing w:after="120" w:before="120" w:lineRule="auto"/>
        <w:ind w:left="426" w:firstLine="0"/>
        <w:jc w:val="left"/>
        <w:rPr/>
      </w:pPr>
      <w:r w:rsidDel="00000000" w:rsidR="00000000" w:rsidRPr="00000000">
        <w:rPr>
          <w:rtl w:val="0"/>
        </w:rPr>
        <w:t xml:space="preserve">Notwithstanding any other provisions of this Part B, where in this Part B the Buyer accepts an obligation to procure that a Former Supplier does or does not do something, such obligation shall be limited so that it extends only to the extent that the Buyer’s contract with the Former Supplier contains a contractual right in that regard which the Buyer may enforce, or otherwise so that it requires only that the Buyer must use reasonable endeavours to procure that the Former Supplier does or does not act accordingly. </w:t>
      </w:r>
    </w:p>
    <w:p w:rsidR="00000000" w:rsidDel="00000000" w:rsidP="00000000" w:rsidRDefault="00000000" w:rsidRPr="00000000" w14:paraId="000000EB">
      <w:pPr>
        <w:keepNext w:val="1"/>
        <w:numPr>
          <w:ilvl w:val="0"/>
          <w:numId w:val="10"/>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b w:val="1"/>
          <w:bCs w:val="1"/>
          <w:smallCaps w:val="1"/>
          <w:color w:val="000000"/>
          <w:rtl w:val="0"/>
        </w:rPr>
        <w:t xml:space="preserve">P</w:t>
      </w:r>
      <w:r w:rsidDel="00000000" w:rsidR="00000000" w:rsidRPr="00000000">
        <w:rPr>
          <w:rFonts w:ascii="Arial" w:cs="Arial" w:eastAsia="Arial" w:hAnsi="Arial"/>
          <w:b w:val="1"/>
          <w:bCs w:val="1"/>
          <w:color w:val="000000"/>
          <w:rtl w:val="0"/>
        </w:rPr>
        <w:t xml:space="preserve">ensions</w:t>
      </w:r>
      <w:r w:rsidDel="00000000" w:rsidR="00000000" w:rsidRPr="00000000">
        <w:rPr>
          <w:rtl w:val="0"/>
        </w:rPr>
      </w:r>
    </w:p>
    <w:p w:rsidR="00000000" w:rsidDel="00000000" w:rsidP="00000000" w:rsidRDefault="00000000" w:rsidRPr="00000000" w14:paraId="000000EC">
      <w:pPr>
        <w:keepNext w:val="1"/>
        <w:numPr>
          <w:ilvl w:val="1"/>
          <w:numId w:val="10"/>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and shall procure that each Subcontractor shall, comply with:</w:t>
      </w:r>
    </w:p>
    <w:p w:rsidR="00000000" w:rsidDel="00000000" w:rsidP="00000000" w:rsidRDefault="00000000" w:rsidRPr="00000000" w14:paraId="000000ED">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requirements of Part 1 of the Pensions Act 2008, section 258 of the Pensions Act 2004 and the Transfer of Employment (Pension Protection) Regulations 2005 for all transferring staff; and</w:t>
      </w:r>
    </w:p>
    <w:p w:rsidR="00000000" w:rsidDel="00000000" w:rsidP="00000000" w:rsidRDefault="00000000" w:rsidRPr="00000000" w14:paraId="000000EE">
      <w:pPr>
        <w:numPr>
          <w:ilvl w:val="2"/>
          <w:numId w:val="10"/>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Part D: Pensions (and its Annexes) to this Schedule.</w:t>
      </w:r>
    </w:p>
    <w:p w:rsidR="00000000" w:rsidDel="00000000" w:rsidP="00000000" w:rsidRDefault="00000000" w:rsidRPr="00000000" w14:paraId="000000EF">
      <w:pPr>
        <w:spacing w:after="120" w:before="120" w:lineRule="auto"/>
        <w:jc w:val="left"/>
        <w:rPr/>
      </w:pPr>
      <w:r w:rsidDel="00000000" w:rsidR="00000000" w:rsidRPr="00000000">
        <w:rPr>
          <w:rtl w:val="0"/>
        </w:rPr>
      </w:r>
    </w:p>
    <w:p w:rsidR="00000000" w:rsidDel="00000000" w:rsidP="00000000" w:rsidRDefault="00000000" w:rsidRPr="00000000" w14:paraId="000000F0">
      <w:pPr>
        <w:spacing w:after="120" w:before="120" w:lineRule="auto"/>
        <w:jc w:val="left"/>
        <w:rPr/>
      </w:pPr>
      <w:r w:rsidDel="00000000" w:rsidR="00000000" w:rsidRPr="00000000">
        <w:rPr>
          <w:rtl w:val="0"/>
        </w:rPr>
      </w:r>
    </w:p>
    <w:p w:rsidR="00000000" w:rsidDel="00000000" w:rsidP="00000000" w:rsidRDefault="00000000" w:rsidRPr="00000000" w14:paraId="000000F1">
      <w:pPr>
        <w:pStyle w:val="Heading1"/>
        <w:spacing w:after="120" w:before="120" w:lineRule="auto"/>
        <w:jc w:val="left"/>
        <w:rPr>
          <w:rFonts w:ascii="Arial" w:cs="Arial" w:eastAsia="Arial" w:hAnsi="Arial"/>
          <w:b w:val="1"/>
          <w:bCs w:val="1"/>
          <w:sz w:val="36"/>
          <w:szCs w:val="36"/>
        </w:rPr>
      </w:pPr>
      <w:r w:rsidDel="00000000" w:rsidR="00000000" w:rsidRPr="00000000">
        <w:br w:type="page"/>
      </w:r>
      <w:r w:rsidDel="00000000" w:rsidR="00000000" w:rsidRPr="00000000">
        <w:rPr>
          <w:rFonts w:ascii="Arial" w:cs="Arial" w:eastAsia="Arial" w:hAnsi="Arial"/>
          <w:b w:val="1"/>
          <w:bCs w:val="1"/>
          <w:smallCaps w:val="0"/>
          <w:sz w:val="36"/>
          <w:szCs w:val="36"/>
          <w:rtl w:val="0"/>
        </w:rPr>
        <w:t xml:space="preserve">Part C: No Staff Transfer on the Start Date</w:t>
      </w:r>
      <w:r w:rsidDel="00000000" w:rsidR="00000000" w:rsidRPr="00000000">
        <w:rPr>
          <w:rtl w:val="0"/>
        </w:rPr>
      </w:r>
    </w:p>
    <w:p w:rsidR="00000000" w:rsidDel="00000000" w:rsidP="00000000" w:rsidRDefault="00000000" w:rsidRPr="00000000" w14:paraId="000000F2">
      <w:pPr>
        <w:keepNext w:val="1"/>
        <w:pBdr>
          <w:top w:space="0" w:sz="0" w:val="nil"/>
          <w:left w:space="0" w:sz="0" w:val="nil"/>
          <w:bottom w:space="0" w:sz="0" w:val="nil"/>
          <w:right w:space="0" w:sz="0" w:val="nil"/>
          <w:between w:space="0" w:sz="0" w:val="nil"/>
        </w:pBdr>
        <w:spacing w:after="120" w:before="120" w:lineRule="auto"/>
        <w:ind w:left="357" w:firstLine="0"/>
        <w:jc w:val="left"/>
        <w:rPr>
          <w:b w:val="1"/>
          <w:bCs w:val="1"/>
          <w:smallCaps w:val="1"/>
          <w:color w:val="000000"/>
        </w:rPr>
      </w:pPr>
      <w:r w:rsidDel="00000000" w:rsidR="00000000" w:rsidRPr="00000000">
        <w:rPr>
          <w:rtl w:val="0"/>
        </w:rPr>
      </w:r>
    </w:p>
    <w:p w:rsidR="00000000" w:rsidDel="00000000" w:rsidP="00000000" w:rsidRDefault="00000000" w:rsidRPr="00000000" w14:paraId="000000F3">
      <w:pPr>
        <w:keepNext w:val="1"/>
        <w:numPr>
          <w:ilvl w:val="0"/>
          <w:numId w:val="13"/>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What happens if there is a staff transfer</w:t>
      </w:r>
      <w:r w:rsidDel="00000000" w:rsidR="00000000" w:rsidRPr="00000000">
        <w:rPr>
          <w:rtl w:val="0"/>
        </w:rPr>
      </w:r>
    </w:p>
    <w:p w:rsidR="00000000" w:rsidDel="00000000" w:rsidP="00000000" w:rsidRDefault="00000000" w:rsidRPr="00000000" w14:paraId="000000F4">
      <w:pPr>
        <w:numPr>
          <w:ilvl w:val="1"/>
          <w:numId w:val="13"/>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49x2ik5" w:id="28"/>
      <w:bookmarkEnd w:id="28"/>
      <w:r w:rsidDel="00000000" w:rsidR="00000000" w:rsidRPr="00000000">
        <w:rPr>
          <w:color w:val="000000"/>
          <w:rtl w:val="0"/>
        </w:rPr>
        <w:t xml:space="preserve">The Buyer and the Supplier agree that the commencement of the provision of the Services or of any part of the Services will not be a Relevant Transfer in relation to any employees of the Buyer and/or any Former Supplier.  </w:t>
      </w:r>
    </w:p>
    <w:p w:rsidR="00000000" w:rsidDel="00000000" w:rsidP="00000000" w:rsidRDefault="00000000" w:rsidRPr="00000000" w14:paraId="000000F5">
      <w:pPr>
        <w:keepNext w:val="1"/>
        <w:numPr>
          <w:ilvl w:val="1"/>
          <w:numId w:val="13"/>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p2csry" w:id="29"/>
      <w:bookmarkEnd w:id="29"/>
      <w:r w:rsidDel="00000000" w:rsidR="00000000" w:rsidRPr="00000000">
        <w:rPr>
          <w:color w:val="000000"/>
          <w:rtl w:val="0"/>
        </w:rPr>
        <w:t xml:space="preserve">If any employee of the Buyer and/or a Former Supplier claims, or it is determined in relation to any employee of the Buyer and/or a Former Supplier, that his/her contract of employment has been transferred from the Buyer and/or the Former Supplier to the Supplier and/or any Subcontractor pursuant to the Employment Regulations or the Acquired Rights Directive then:</w:t>
      </w:r>
    </w:p>
    <w:p w:rsidR="00000000" w:rsidDel="00000000" w:rsidP="00000000" w:rsidRDefault="00000000" w:rsidRPr="00000000" w14:paraId="000000F6">
      <w:pPr>
        <w:numPr>
          <w:ilvl w:val="2"/>
          <w:numId w:val="13"/>
        </w:numPr>
        <w:pBdr>
          <w:top w:space="0" w:sz="0" w:val="nil"/>
          <w:left w:space="0" w:sz="0" w:val="nil"/>
          <w:bottom w:space="0" w:sz="0" w:val="nil"/>
          <w:right w:space="0" w:sz="0" w:val="nil"/>
          <w:between w:space="0" w:sz="0" w:val="nil"/>
        </w:pBdr>
        <w:spacing w:after="120" w:before="120" w:lineRule="auto"/>
        <w:ind w:left="2214" w:hanging="1080"/>
        <w:jc w:val="left"/>
        <w:rPr>
          <w:color w:val="000000"/>
        </w:rPr>
      </w:pPr>
      <w:bookmarkStart w:colFirst="0" w:colLast="0" w:name="_heading=h.147n2zr" w:id="30"/>
      <w:bookmarkEnd w:id="30"/>
      <w:r w:rsidDel="00000000" w:rsidR="00000000" w:rsidRPr="00000000">
        <w:rPr>
          <w:color w:val="000000"/>
          <w:rtl w:val="0"/>
        </w:rPr>
        <w:t xml:space="preserve">the Supplier shall, and shall procure that the relevant Subcontractor shall, within 5 Working Days of becoming aware of that fact, notify the Buyer in writing and, where required by the Buyer, notify the Former Supplier in writing; and</w:t>
      </w:r>
    </w:p>
    <w:p w:rsidR="00000000" w:rsidDel="00000000" w:rsidP="00000000" w:rsidRDefault="00000000" w:rsidRPr="00000000" w14:paraId="000000F7">
      <w:pPr>
        <w:numPr>
          <w:ilvl w:val="2"/>
          <w:numId w:val="13"/>
        </w:numPr>
        <w:pBdr>
          <w:top w:space="0" w:sz="0" w:val="nil"/>
          <w:left w:space="0" w:sz="0" w:val="nil"/>
          <w:bottom w:space="0" w:sz="0" w:val="nil"/>
          <w:right w:space="0" w:sz="0" w:val="nil"/>
          <w:between w:space="0" w:sz="0" w:val="nil"/>
        </w:pBdr>
        <w:spacing w:after="120" w:before="120" w:lineRule="auto"/>
        <w:ind w:left="2214" w:hanging="1080"/>
        <w:jc w:val="left"/>
        <w:rPr>
          <w:color w:val="000000"/>
        </w:rPr>
      </w:pPr>
      <w:bookmarkStart w:colFirst="0" w:colLast="0" w:name="_heading=h.3o7alnk" w:id="31"/>
      <w:bookmarkEnd w:id="31"/>
      <w:r w:rsidDel="00000000" w:rsidR="00000000" w:rsidRPr="00000000">
        <w:rPr>
          <w:color w:val="000000"/>
          <w:rtl w:val="0"/>
        </w:rPr>
        <w:t xml:space="preserve">the Buyer and/or the Former Supplier may offer (or may procure that a third party may offer) employment to such person within 15 Working Days of the notification from the Supplier or the Subcontractor (as appropriate) or take such other reasonable steps as the Buyer or Former Supplier (as the case may be) it considers appropriate to deal with the matter provided always that such steps are in compliance with applicable Law.</w:t>
      </w:r>
    </w:p>
    <w:p w:rsidR="00000000" w:rsidDel="00000000" w:rsidP="00000000" w:rsidRDefault="00000000" w:rsidRPr="00000000" w14:paraId="000000F8">
      <w:pPr>
        <w:numPr>
          <w:ilvl w:val="1"/>
          <w:numId w:val="13"/>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If an offer referred to in Paragraph 1.2.2 is accepted (or if the situation has otherwise been resolved by the Buyer and/or the Former Supplier), the Supplier shall, or shall procure that the Subcontractor shall, immediately release the person from his/her employment or alleged employment.</w:t>
      </w:r>
    </w:p>
    <w:p w:rsidR="00000000" w:rsidDel="00000000" w:rsidP="00000000" w:rsidRDefault="00000000" w:rsidRPr="00000000" w14:paraId="000000F9">
      <w:pPr>
        <w:numPr>
          <w:ilvl w:val="1"/>
          <w:numId w:val="13"/>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3ckvvd" w:id="32"/>
      <w:bookmarkEnd w:id="32"/>
      <w:r w:rsidDel="00000000" w:rsidR="00000000" w:rsidRPr="00000000">
        <w:rPr>
          <w:color w:val="000000"/>
          <w:rtl w:val="0"/>
        </w:rPr>
        <w:t xml:space="preserve">If by the end of the 15 Working Day period referred to in Paragraph 1.2.2: </w:t>
      </w:r>
    </w:p>
    <w:p w:rsidR="00000000" w:rsidDel="00000000" w:rsidP="00000000" w:rsidRDefault="00000000" w:rsidRPr="00000000" w14:paraId="000000FA">
      <w:pPr>
        <w:numPr>
          <w:ilvl w:val="2"/>
          <w:numId w:val="13"/>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no such offer of employment has been made; </w:t>
      </w:r>
    </w:p>
    <w:p w:rsidR="00000000" w:rsidDel="00000000" w:rsidP="00000000" w:rsidRDefault="00000000" w:rsidRPr="00000000" w14:paraId="000000FB">
      <w:pPr>
        <w:numPr>
          <w:ilvl w:val="2"/>
          <w:numId w:val="13"/>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such offer has been made but not accepted; or</w:t>
      </w:r>
    </w:p>
    <w:p w:rsidR="00000000" w:rsidDel="00000000" w:rsidP="00000000" w:rsidRDefault="00000000" w:rsidRPr="00000000" w14:paraId="000000FC">
      <w:pPr>
        <w:numPr>
          <w:ilvl w:val="2"/>
          <w:numId w:val="13"/>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situation has not otherwise been resolved,</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120" w:before="120" w:lineRule="auto"/>
        <w:ind w:left="1134" w:firstLine="0"/>
        <w:jc w:val="left"/>
        <w:rPr>
          <w:color w:val="000000"/>
        </w:rPr>
      </w:pPr>
      <w:r w:rsidDel="00000000" w:rsidR="00000000" w:rsidRPr="00000000">
        <w:rPr>
          <w:color w:val="000000"/>
          <w:rtl w:val="0"/>
        </w:rPr>
        <w:t xml:space="preserve">the Supplier may within 5 Working Days give notice to terminate the employment or alleged employment of such person. </w:t>
      </w:r>
    </w:p>
    <w:p w:rsidR="00000000" w:rsidDel="00000000" w:rsidP="00000000" w:rsidRDefault="00000000" w:rsidRPr="00000000" w14:paraId="000000FE">
      <w:pPr>
        <w:numPr>
          <w:ilvl w:val="1"/>
          <w:numId w:val="13"/>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Subject to the Supplier and/or the relevant Subcontractor acting in accordance with the provisions of Paragraphs 1.2 to 1.4 and in accordance with all applicable employment procedures set out in applicable Law and subject also to Paragraph 1.8 the Buyer shall:</w:t>
      </w:r>
    </w:p>
    <w:p w:rsidR="00000000" w:rsidDel="00000000" w:rsidP="00000000" w:rsidRDefault="00000000" w:rsidRPr="00000000" w14:paraId="000000FF">
      <w:pPr>
        <w:numPr>
          <w:ilvl w:val="2"/>
          <w:numId w:val="13"/>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indemnify the Supplier and/or the relevant Subcontractor against all Employee Liabilities arising out of the termination of the employment of any of the Buyer's employees referred to in Paragraph 1.2 made pursuant to the provisions of Paragraph 1.4 provided that the Supplier takes, or shall procure that the Subcontractor takes, all reasonable steps to minimise any such Employee Liabilities; and </w:t>
      </w:r>
    </w:p>
    <w:p w:rsidR="00000000" w:rsidDel="00000000" w:rsidP="00000000" w:rsidRDefault="00000000" w:rsidRPr="00000000" w14:paraId="00000100">
      <w:pPr>
        <w:numPr>
          <w:ilvl w:val="2"/>
          <w:numId w:val="13"/>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procure that the Former Supplier indemnifies the Supplier and/or any Subcontractor against all Employee Liabilities arising out of termination of the employment of the employees of the Former Supplier referred to in Paragraph 1.2 made pursuant to the provisions of Paragraph 1.4 provided that the Supplier takes, or shall procure that the relevant Subcontractor takes, all reasonable steps to minimise any such Employee Liabilities.</w:t>
      </w:r>
    </w:p>
    <w:p w:rsidR="00000000" w:rsidDel="00000000" w:rsidP="00000000" w:rsidRDefault="00000000" w:rsidRPr="00000000" w14:paraId="00000101">
      <w:pPr>
        <w:keepNext w:val="1"/>
        <w:numPr>
          <w:ilvl w:val="1"/>
          <w:numId w:val="13"/>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If any such person as is described in Paragraph 1.2 is neither re employed by the Buyer and/or the Former Supplier as appropriate nor dismissed by the Supplier and/or any Subcontractor within the period(s) referred to in Paragraph 1.4 such person shall be treated as having transferred to the Supplier and/or the Subcontractor (as appropriate) and the Supplier shall, or shall procure that the Subcontractor shall, comply with such obligations as may be imposed upon it under Law.</w:t>
      </w:r>
    </w:p>
    <w:p w:rsidR="00000000" w:rsidDel="00000000" w:rsidP="00000000" w:rsidRDefault="00000000" w:rsidRPr="00000000" w14:paraId="00000102">
      <w:pPr>
        <w:keepNext w:val="1"/>
        <w:numPr>
          <w:ilvl w:val="1"/>
          <w:numId w:val="13"/>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Where any person remains employed by the Supplier and/or any Subcontractor pursuant to Paragraph 1.6, all Employee Liabilities in relation to such employee shall remain with the Supplier and/or the Subcontractor and the Supplier shall indemnify the Buyer and any Former Supplier, and shall procure that the Subcontractor shall indemnify the Buyer and any Former Supplier, against any Employee Liabilities that either of them may incur in respect of any such employees of the Supplier and/or employees of the Subcontractor.</w:t>
      </w:r>
    </w:p>
    <w:p w:rsidR="00000000" w:rsidDel="00000000" w:rsidP="00000000" w:rsidRDefault="00000000" w:rsidRPr="00000000" w14:paraId="00000103">
      <w:pPr>
        <w:keepNext w:val="1"/>
        <w:numPr>
          <w:ilvl w:val="1"/>
          <w:numId w:val="13"/>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ihv636" w:id="33"/>
      <w:bookmarkEnd w:id="33"/>
      <w:r w:rsidDel="00000000" w:rsidR="00000000" w:rsidRPr="00000000">
        <w:rPr>
          <w:color w:val="000000"/>
          <w:rtl w:val="0"/>
        </w:rPr>
        <w:t xml:space="preserve">The indemnities in Paragraph 1.5: </w:t>
      </w:r>
    </w:p>
    <w:p w:rsidR="00000000" w:rsidDel="00000000" w:rsidP="00000000" w:rsidRDefault="00000000" w:rsidRPr="00000000" w14:paraId="00000104">
      <w:pPr>
        <w:numPr>
          <w:ilvl w:val="2"/>
          <w:numId w:val="13"/>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shall not apply to: </w:t>
      </w:r>
    </w:p>
    <w:p w:rsidR="00000000" w:rsidDel="00000000" w:rsidP="00000000" w:rsidRDefault="00000000" w:rsidRPr="00000000" w14:paraId="00000105">
      <w:pPr>
        <w:numPr>
          <w:ilvl w:val="3"/>
          <w:numId w:val="13"/>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claim for:</w:t>
      </w:r>
    </w:p>
    <w:p w:rsidR="00000000" w:rsidDel="00000000" w:rsidP="00000000" w:rsidRDefault="00000000" w:rsidRPr="00000000" w14:paraId="00000106">
      <w:pPr>
        <w:pBdr>
          <w:top w:space="0" w:sz="0" w:val="nil"/>
          <w:left w:space="0" w:sz="0" w:val="nil"/>
          <w:bottom w:space="0" w:sz="0" w:val="nil"/>
          <w:right w:space="0" w:sz="0" w:val="nil"/>
          <w:between w:space="0" w:sz="0" w:val="nil"/>
        </w:pBdr>
        <w:tabs>
          <w:tab w:val="left" w:leader="none" w:pos="3686"/>
        </w:tabs>
        <w:spacing w:after="120" w:before="120" w:lineRule="auto"/>
        <w:ind w:left="3686" w:hanging="851.0000000000002"/>
        <w:jc w:val="left"/>
        <w:rPr>
          <w:color w:val="000000"/>
        </w:rPr>
      </w:pPr>
      <w:r w:rsidDel="00000000" w:rsidR="00000000" w:rsidRPr="00000000">
        <w:rPr>
          <w:color w:val="000000"/>
          <w:rtl w:val="0"/>
        </w:rPr>
        <w:t xml:space="preserve">(i)   </w:t>
        <w:tab/>
        <w:t xml:space="preserve">discrimination, including on the grounds of sex, race, disability, age, gender reassignment, marriage or civil partnership, pregnancy and maternity or sexual orientation, religion or belief; or </w:t>
      </w:r>
    </w:p>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left" w:leader="none" w:pos="3686"/>
        </w:tabs>
        <w:spacing w:after="120" w:before="120" w:lineRule="auto"/>
        <w:ind w:left="3686" w:hanging="851.0000000000002"/>
        <w:jc w:val="left"/>
        <w:rPr>
          <w:color w:val="000000"/>
        </w:rPr>
      </w:pPr>
      <w:r w:rsidDel="00000000" w:rsidR="00000000" w:rsidRPr="00000000">
        <w:rPr>
          <w:color w:val="000000"/>
          <w:rtl w:val="0"/>
        </w:rPr>
        <w:t xml:space="preserve">(ii)</w:t>
        <w:tab/>
        <w:t xml:space="preserve">equal pay or compensation for less favourable treatment of part-time workers or fixed-term employees, </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120" w:before="120" w:lineRule="auto"/>
        <w:ind w:left="2835" w:firstLine="0"/>
        <w:jc w:val="left"/>
        <w:rPr>
          <w:color w:val="000000"/>
        </w:rPr>
      </w:pPr>
      <w:r w:rsidDel="00000000" w:rsidR="00000000" w:rsidRPr="00000000">
        <w:rPr>
          <w:color w:val="000000"/>
          <w:rtl w:val="0"/>
        </w:rPr>
        <w:t xml:space="preserve">in any case in relation to any alleged act or omission of the Supplier and/or Subcontractor; or</w:t>
      </w:r>
    </w:p>
    <w:p w:rsidR="00000000" w:rsidDel="00000000" w:rsidP="00000000" w:rsidRDefault="00000000" w:rsidRPr="00000000" w14:paraId="00000109">
      <w:pPr>
        <w:numPr>
          <w:ilvl w:val="3"/>
          <w:numId w:val="13"/>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claim that the termination of employment was unfair because the Supplier and/or any Subcontractor neglected to follow a fair dismissal procedure; and </w:t>
      </w:r>
    </w:p>
    <w:p w:rsidR="00000000" w:rsidDel="00000000" w:rsidP="00000000" w:rsidRDefault="00000000" w:rsidRPr="00000000" w14:paraId="0000010A">
      <w:pPr>
        <w:numPr>
          <w:ilvl w:val="2"/>
          <w:numId w:val="13"/>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shall apply only where the notification referred to in Paragraph 1.2.1 is made by the Supplier and/or any Subcontractor to the Buyer and, if applicable, Former Supplier within 6 months of the Start Date. </w:t>
      </w:r>
    </w:p>
    <w:p w:rsidR="00000000" w:rsidDel="00000000" w:rsidP="00000000" w:rsidRDefault="00000000" w:rsidRPr="00000000" w14:paraId="0000010B">
      <w:pPr>
        <w:numPr>
          <w:ilvl w:val="1"/>
          <w:numId w:val="13"/>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2hioqz" w:id="34"/>
      <w:bookmarkEnd w:id="34"/>
      <w:r w:rsidDel="00000000" w:rsidR="00000000" w:rsidRPr="00000000">
        <w:rPr>
          <w:color w:val="000000"/>
          <w:rtl w:val="0"/>
        </w:rPr>
        <w:t xml:space="preserve">If the Supplier and/or the Subcontractor does not comply with Paragraph 1.2, all Employee Liabilities in relation to such employees shall remain with the Supplier and/or the Subcontractor and the Supplier shall (i) comply with the provisions of Part D: Pensions of this Schedule, and (ii) indemnify the Buyer and any Former Supplier against any Employee Liabilities that either of them may incur in respect of any such employees of the Supplier and/or employees of the Subcontractor.</w:t>
      </w:r>
    </w:p>
    <w:p w:rsidR="00000000" w:rsidDel="00000000" w:rsidP="00000000" w:rsidRDefault="00000000" w:rsidRPr="00000000" w14:paraId="0000010C">
      <w:pPr>
        <w:keepNext w:val="1"/>
        <w:numPr>
          <w:ilvl w:val="0"/>
          <w:numId w:val="13"/>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Limits on the Former Supplier’s obligations</w:t>
      </w:r>
      <w:r w:rsidDel="00000000" w:rsidR="00000000" w:rsidRPr="00000000">
        <w:rPr>
          <w:rtl w:val="0"/>
        </w:rPr>
      </w:r>
    </w:p>
    <w:p w:rsidR="00000000" w:rsidDel="00000000" w:rsidP="00000000" w:rsidRDefault="00000000" w:rsidRPr="00000000" w14:paraId="0000010D">
      <w:pPr>
        <w:spacing w:after="120" w:before="120" w:lineRule="auto"/>
        <w:ind w:left="426" w:firstLine="0"/>
        <w:jc w:val="left"/>
        <w:rPr/>
      </w:pPr>
      <w:r w:rsidDel="00000000" w:rsidR="00000000" w:rsidRPr="00000000">
        <w:rPr>
          <w:rtl w:val="0"/>
        </w:rPr>
        <w:t xml:space="preserve">Where in this Part C the Buyer accepts an obligation to procure that a Former Supplier does or does not do something, such obligation shall be limited so that it extends only to the extent that the Buyer's contract with the Former Supplier contains a contractual right in that regard which the Buyer may enforce, or otherwise so that it requires only that the Buyer must use reasonable endeavours to procure that the Former Supplier does or does not act accordingly.</w:t>
      </w:r>
    </w:p>
    <w:p w:rsidR="00000000" w:rsidDel="00000000" w:rsidP="00000000" w:rsidRDefault="00000000" w:rsidRPr="00000000" w14:paraId="0000010E">
      <w:pPr>
        <w:pStyle w:val="Heading1"/>
        <w:keepNext w:val="1"/>
        <w:spacing w:after="120" w:before="120" w:lineRule="auto"/>
        <w:jc w:val="left"/>
        <w:rPr>
          <w:rFonts w:ascii="Arial" w:cs="Arial" w:eastAsia="Arial" w:hAnsi="Arial"/>
          <w:b w:val="1"/>
          <w:bCs w:val="1"/>
          <w:sz w:val="36"/>
          <w:szCs w:val="36"/>
        </w:rPr>
      </w:pPr>
      <w:r w:rsidDel="00000000" w:rsidR="00000000" w:rsidRPr="00000000">
        <w:br w:type="page"/>
      </w:r>
      <w:r w:rsidDel="00000000" w:rsidR="00000000" w:rsidRPr="00000000">
        <w:rPr>
          <w:rFonts w:ascii="Arial" w:cs="Arial" w:eastAsia="Arial" w:hAnsi="Arial"/>
          <w:b w:val="1"/>
          <w:bCs w:val="1"/>
          <w:smallCaps w:val="0"/>
          <w:sz w:val="36"/>
          <w:szCs w:val="36"/>
          <w:rtl w:val="0"/>
        </w:rPr>
        <w:t xml:space="preserve">Part D: Pensions</w:t>
      </w:r>
      <w:r w:rsidDel="00000000" w:rsidR="00000000" w:rsidRPr="00000000">
        <w:rPr>
          <w:rtl w:val="0"/>
        </w:rPr>
      </w:r>
    </w:p>
    <w:p w:rsidR="00000000" w:rsidDel="00000000" w:rsidP="00000000" w:rsidRDefault="00000000" w:rsidRPr="00000000" w14:paraId="0000010F">
      <w:pPr>
        <w:spacing w:after="120" w:before="120" w:lineRule="auto"/>
        <w:jc w:val="left"/>
        <w:rPr>
          <w:i w:val="1"/>
          <w:iCs w:val="1"/>
        </w:rPr>
      </w:pPr>
      <w:r w:rsidDel="00000000" w:rsidR="00000000" w:rsidRPr="00000000">
        <w:rPr>
          <w:b w:val="1"/>
          <w:bCs w:val="1"/>
          <w:i w:val="1"/>
          <w:iCs w:val="1"/>
          <w:highlight w:val="yellow"/>
          <w:rtl w:val="0"/>
        </w:rPr>
        <w:t xml:space="preserve">[Buyer Guidance: You should take specific legal advice on this Part D. Please also note that this Part D is drafted to reflect the requirements of New Fair Deal. Accordingly, where a contracting authority is a best value authority it will be subject to the requirements of the Best Value Authorities Staff Transfers (Pensions) Direction 2007 (or the Welsh Authorities Staff Transfers (Pensions) Direction 2012 if appropriate) and should take further specific legal advice to ensure compliance with those Directions.]</w:t>
      </w:r>
      <w:r w:rsidDel="00000000" w:rsidR="00000000" w:rsidRPr="00000000">
        <w:rPr>
          <w:b w:val="1"/>
          <w:bCs w:val="1"/>
          <w:i w:val="1"/>
          <w:iCs w:val="1"/>
          <w:rtl w:val="0"/>
        </w:rPr>
        <w:t xml:space="preserve">  </w:t>
      </w:r>
      <w:r w:rsidDel="00000000" w:rsidR="00000000" w:rsidRPr="00000000">
        <w:rPr>
          <w:rtl w:val="0"/>
        </w:rPr>
      </w:r>
    </w:p>
    <w:p w:rsidR="00000000" w:rsidDel="00000000" w:rsidP="00000000" w:rsidRDefault="00000000" w:rsidRPr="00000000" w14:paraId="00000110">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Definitions</w:t>
      </w:r>
    </w:p>
    <w:p w:rsidR="00000000" w:rsidDel="00000000" w:rsidP="00000000" w:rsidRDefault="00000000" w:rsidRPr="00000000" w14:paraId="00000111">
      <w:pPr>
        <w:keepNext w:val="1"/>
        <w:spacing w:after="120" w:before="120" w:lineRule="auto"/>
        <w:ind w:left="426" w:firstLine="0"/>
        <w:jc w:val="left"/>
        <w:rPr/>
      </w:pPr>
      <w:r w:rsidDel="00000000" w:rsidR="00000000" w:rsidRPr="00000000">
        <w:rPr>
          <w:rtl w:val="0"/>
        </w:rPr>
        <w:t xml:space="preserve">In this Part D and Part E, the following words have the following meanings and they shall supplement Joint Schedule 1 </w:t>
      </w:r>
      <w:r w:rsidDel="00000000" w:rsidR="00000000" w:rsidRPr="00000000">
        <w:rPr>
          <w:i w:val="1"/>
          <w:iCs w:val="1"/>
          <w:rtl w:val="0"/>
        </w:rPr>
        <w:t xml:space="preserve">(Definitions)</w:t>
      </w:r>
      <w:r w:rsidDel="00000000" w:rsidR="00000000" w:rsidRPr="00000000">
        <w:rPr>
          <w:rtl w:val="0"/>
        </w:rPr>
        <w:t xml:space="preserve">, and shall be deemed to include the definitions set out in the Annexes to this Part D:</w:t>
      </w:r>
    </w:p>
    <w:tbl>
      <w:tblPr>
        <w:tblStyle w:val="Table2"/>
        <w:tblW w:w="9026.0" w:type="dxa"/>
        <w:jc w:val="left"/>
        <w:tblInd w:w="-115.0" w:type="dxa"/>
        <w:tblLayout w:type="fixed"/>
        <w:tblLook w:val="0400"/>
      </w:tblPr>
      <w:tblGrid>
        <w:gridCol w:w="3404"/>
        <w:gridCol w:w="5622"/>
        <w:tblGridChange w:id="0">
          <w:tblGrid>
            <w:gridCol w:w="3404"/>
            <w:gridCol w:w="5622"/>
          </w:tblGrid>
        </w:tblGridChange>
      </w:tblGrid>
      <w:tr>
        <w:trPr>
          <w:cantSplit w:val="0"/>
          <w:tblHeader w:val="0"/>
        </w:trPr>
        <w:tc>
          <w:tcPr>
            <w:shd w:fill="auto" w:val="clear"/>
          </w:tcPr>
          <w:p w:rsidR="00000000" w:rsidDel="00000000" w:rsidP="00000000" w:rsidRDefault="00000000" w:rsidRPr="00000000" w14:paraId="00000112">
            <w:pPr>
              <w:spacing w:after="120" w:before="120" w:lineRule="auto"/>
              <w:ind w:left="720" w:firstLine="0"/>
              <w:jc w:val="left"/>
              <w:rPr>
                <w:b w:val="1"/>
                <w:bCs w:val="1"/>
              </w:rPr>
            </w:pPr>
            <w:r w:rsidDel="00000000" w:rsidR="00000000" w:rsidRPr="00000000">
              <w:rPr>
                <w:b w:val="1"/>
                <w:bCs w:val="1"/>
                <w:rtl w:val="0"/>
              </w:rPr>
              <w:t xml:space="preserve">"Actuary"</w:t>
            </w:r>
          </w:p>
        </w:tc>
        <w:tc>
          <w:tcPr>
            <w:shd w:fill="auto" w:val="clear"/>
          </w:tcPr>
          <w:p w:rsidR="00000000" w:rsidDel="00000000" w:rsidP="00000000" w:rsidRDefault="00000000" w:rsidRPr="00000000" w14:paraId="00000113">
            <w:pPr>
              <w:spacing w:after="120" w:before="120" w:lineRule="auto"/>
              <w:jc w:val="left"/>
              <w:rPr>
                <w:color w:val="000000"/>
              </w:rPr>
            </w:pPr>
            <w:r w:rsidDel="00000000" w:rsidR="00000000" w:rsidRPr="00000000">
              <w:rPr>
                <w:color w:val="000000"/>
                <w:rtl w:val="0"/>
              </w:rPr>
              <w:t xml:space="preserve">a Fellow of the Institute and Faculty of Actuaries;</w:t>
            </w:r>
          </w:p>
        </w:tc>
      </w:tr>
      <w:tr>
        <w:trPr>
          <w:cantSplit w:val="0"/>
          <w:tblHeader w:val="0"/>
        </w:trPr>
        <w:tc>
          <w:tcPr>
            <w:shd w:fill="auto" w:val="clear"/>
          </w:tcPr>
          <w:p w:rsidR="00000000" w:rsidDel="00000000" w:rsidP="00000000" w:rsidRDefault="00000000" w:rsidRPr="00000000" w14:paraId="00000114">
            <w:pPr>
              <w:spacing w:after="120" w:before="120" w:lineRule="auto"/>
              <w:ind w:left="720" w:firstLine="0"/>
              <w:jc w:val="left"/>
              <w:rPr>
                <w:b w:val="1"/>
                <w:bCs w:val="1"/>
              </w:rPr>
            </w:pPr>
            <w:r w:rsidDel="00000000" w:rsidR="00000000" w:rsidRPr="00000000">
              <w:rPr>
                <w:b w:val="1"/>
                <w:bCs w:val="1"/>
                <w:rtl w:val="0"/>
              </w:rPr>
              <w:t xml:space="preserve">"Admission Agreement"</w:t>
            </w:r>
          </w:p>
        </w:tc>
        <w:tc>
          <w:tcPr>
            <w:shd w:fill="auto" w:val="clear"/>
          </w:tcPr>
          <w:p w:rsidR="00000000" w:rsidDel="00000000" w:rsidP="00000000" w:rsidRDefault="00000000" w:rsidRPr="00000000" w14:paraId="00000115">
            <w:pPr>
              <w:spacing w:after="120" w:before="120" w:lineRule="auto"/>
              <w:jc w:val="left"/>
              <w:rPr/>
            </w:pPr>
            <w:r w:rsidDel="00000000" w:rsidR="00000000" w:rsidRPr="00000000">
              <w:rPr>
                <w:rtl w:val="0"/>
              </w:rPr>
              <w:t xml:space="preserve">either or both of the CSPS Admission Agreement (as defined in Annex D1: CSPS) or the LGPS Admission Agreement (as defined in Annex D3: LGPS), as the context requires;</w:t>
            </w:r>
          </w:p>
        </w:tc>
      </w:tr>
      <w:tr>
        <w:trPr>
          <w:cantSplit w:val="0"/>
          <w:tblHeader w:val="0"/>
        </w:trPr>
        <w:tc>
          <w:tcPr>
            <w:shd w:fill="auto" w:val="clear"/>
          </w:tcPr>
          <w:p w:rsidR="00000000" w:rsidDel="00000000" w:rsidP="00000000" w:rsidRDefault="00000000" w:rsidRPr="00000000" w14:paraId="00000116">
            <w:pPr>
              <w:spacing w:after="120" w:before="120" w:lineRule="auto"/>
              <w:ind w:left="720" w:firstLine="0"/>
              <w:jc w:val="left"/>
              <w:rPr>
                <w:b w:val="1"/>
                <w:bCs w:val="1"/>
              </w:rPr>
            </w:pPr>
            <w:r w:rsidDel="00000000" w:rsidR="00000000" w:rsidRPr="00000000">
              <w:rPr>
                <w:b w:val="1"/>
                <w:bCs w:val="1"/>
                <w:rtl w:val="0"/>
              </w:rPr>
              <w:t xml:space="preserve">“Best Value Direction”</w:t>
            </w:r>
          </w:p>
        </w:tc>
        <w:tc>
          <w:tcPr>
            <w:shd w:fill="auto" w:val="clear"/>
          </w:tcPr>
          <w:p w:rsidR="00000000" w:rsidDel="00000000" w:rsidP="00000000" w:rsidRDefault="00000000" w:rsidRPr="00000000" w14:paraId="00000117">
            <w:pPr>
              <w:widowControl w:val="0"/>
              <w:spacing w:after="120" w:before="120" w:lineRule="auto"/>
              <w:jc w:val="left"/>
              <w:rPr/>
            </w:pPr>
            <w:r w:rsidDel="00000000" w:rsidR="00000000" w:rsidRPr="00000000">
              <w:rPr>
                <w:rtl w:val="0"/>
              </w:rPr>
              <w:t xml:space="preserve">the Best Value Authorities Staff Transfers (Pensions) Direction 2007 or the Welsh Authorities Staff Transfers (Pensions) Direction 2012 (as appropriate);</w:t>
            </w:r>
          </w:p>
        </w:tc>
      </w:tr>
      <w:tr>
        <w:trPr>
          <w:cantSplit w:val="0"/>
          <w:tblHeader w:val="0"/>
        </w:trPr>
        <w:tc>
          <w:tcPr>
            <w:shd w:fill="auto" w:val="clear"/>
          </w:tcPr>
          <w:p w:rsidR="00000000" w:rsidDel="00000000" w:rsidP="00000000" w:rsidRDefault="00000000" w:rsidRPr="00000000" w14:paraId="00000118">
            <w:pPr>
              <w:widowControl w:val="0"/>
              <w:spacing w:after="120" w:before="120" w:lineRule="auto"/>
              <w:ind w:left="720" w:firstLine="0"/>
              <w:jc w:val="left"/>
              <w:rPr>
                <w:b w:val="1"/>
                <w:bCs w:val="1"/>
              </w:rPr>
            </w:pPr>
            <w:r w:rsidDel="00000000" w:rsidR="00000000" w:rsidRPr="00000000">
              <w:rPr>
                <w:b w:val="1"/>
                <w:bCs w:val="1"/>
                <w:rtl w:val="0"/>
              </w:rPr>
              <w:t xml:space="preserve">"Broadly Comparable"</w:t>
            </w:r>
          </w:p>
        </w:tc>
        <w:tc>
          <w:tcPr>
            <w:shd w:fill="auto" w:val="clear"/>
          </w:tcPr>
          <w:p w:rsidR="00000000" w:rsidDel="00000000" w:rsidP="00000000" w:rsidRDefault="00000000" w:rsidRPr="00000000" w14:paraId="00000119">
            <w:pPr>
              <w:widowControl w:val="0"/>
              <w:numPr>
                <w:ilvl w:val="0"/>
                <w:numId w:val="19"/>
              </w:numPr>
              <w:spacing w:after="120" w:before="120" w:lineRule="auto"/>
              <w:ind w:left="691" w:hanging="648"/>
              <w:jc w:val="left"/>
              <w:rPr/>
            </w:pPr>
            <w:r w:rsidDel="00000000" w:rsidR="00000000" w:rsidRPr="00000000">
              <w:rPr>
                <w:rtl w:val="0"/>
              </w:rPr>
              <w:t xml:space="preserve">in respect of a pension scheme, a status satisfying the condition that there are no identifiable employees who will suffer material detriment overall in terms of future accrual of pension benefits as assessed in accordance with Annex A of New Fair Deal and demonstrated by the issue by the Government Actuary’s Department of a broad comparability certificate; and/or</w:t>
            </w:r>
          </w:p>
        </w:tc>
      </w:tr>
      <w:tr>
        <w:trPr>
          <w:cantSplit w:val="0"/>
          <w:tblHeader w:val="0"/>
        </w:trPr>
        <w:tc>
          <w:tcPr>
            <w:shd w:fill="auto" w:val="clear"/>
          </w:tcPr>
          <w:p w:rsidR="00000000" w:rsidDel="00000000" w:rsidP="00000000" w:rsidRDefault="00000000" w:rsidRPr="00000000" w14:paraId="0000011A">
            <w:pPr>
              <w:widowControl w:val="0"/>
              <w:spacing w:after="120" w:before="120" w:lineRule="auto"/>
              <w:ind w:left="720" w:firstLine="0"/>
              <w:jc w:val="left"/>
              <w:rPr>
                <w:b w:val="1"/>
                <w:bCs w:val="1"/>
              </w:rPr>
            </w:pPr>
            <w:r w:rsidDel="00000000" w:rsidR="00000000" w:rsidRPr="00000000">
              <w:rPr>
                <w:rtl w:val="0"/>
              </w:rPr>
            </w:r>
          </w:p>
        </w:tc>
        <w:tc>
          <w:tcPr>
            <w:shd w:fill="auto" w:val="clear"/>
          </w:tcPr>
          <w:p w:rsidR="00000000" w:rsidDel="00000000" w:rsidP="00000000" w:rsidRDefault="00000000" w:rsidRPr="00000000" w14:paraId="0000011B">
            <w:pPr>
              <w:widowControl w:val="0"/>
              <w:numPr>
                <w:ilvl w:val="0"/>
                <w:numId w:val="19"/>
              </w:numPr>
              <w:spacing w:after="120" w:before="120" w:lineRule="auto"/>
              <w:ind w:left="695" w:hanging="646"/>
              <w:jc w:val="left"/>
              <w:rPr/>
            </w:pPr>
            <w:r w:rsidDel="00000000" w:rsidR="00000000" w:rsidRPr="00000000">
              <w:rPr>
                <w:rtl w:val="0"/>
              </w:rPr>
              <w:t xml:space="preserve">in respect of benefits provided for or in respect of a member under a pension scheme, benefits that are consistent with that pension scheme’s certificate of broad comparability issued by the Government Actuary’s Department,</w:t>
            </w:r>
          </w:p>
          <w:p w:rsidR="00000000" w:rsidDel="00000000" w:rsidP="00000000" w:rsidRDefault="00000000" w:rsidRPr="00000000" w14:paraId="0000011C">
            <w:pPr>
              <w:spacing w:after="120" w:before="120" w:lineRule="auto"/>
              <w:jc w:val="left"/>
              <w:rPr/>
            </w:pPr>
            <w:r w:rsidDel="00000000" w:rsidR="00000000" w:rsidRPr="00000000">
              <w:rPr>
                <w:rtl w:val="0"/>
              </w:rPr>
              <w:t xml:space="preserve">and "</w:t>
            </w:r>
            <w:r w:rsidDel="00000000" w:rsidR="00000000" w:rsidRPr="00000000">
              <w:rPr>
                <w:b w:val="1"/>
                <w:bCs w:val="1"/>
                <w:rtl w:val="0"/>
              </w:rPr>
              <w:t xml:space="preserve">Broad Comparability</w:t>
            </w:r>
            <w:r w:rsidDel="00000000" w:rsidR="00000000" w:rsidRPr="00000000">
              <w:rPr>
                <w:rtl w:val="0"/>
              </w:rPr>
              <w:t xml:space="preserve">" shall be construed accordingly;</w:t>
            </w:r>
          </w:p>
        </w:tc>
      </w:tr>
      <w:tr>
        <w:trPr>
          <w:cantSplit w:val="0"/>
          <w:tblHeader w:val="0"/>
        </w:trPr>
        <w:tc>
          <w:tcPr>
            <w:shd w:fill="auto" w:val="clear"/>
          </w:tcPr>
          <w:p w:rsidR="00000000" w:rsidDel="00000000" w:rsidP="00000000" w:rsidRDefault="00000000" w:rsidRPr="00000000" w14:paraId="0000011D">
            <w:pPr>
              <w:widowControl w:val="0"/>
              <w:spacing w:after="120" w:before="120" w:lineRule="auto"/>
              <w:ind w:left="720" w:firstLine="0"/>
              <w:jc w:val="left"/>
              <w:rPr>
                <w:b w:val="1"/>
                <w:bCs w:val="1"/>
              </w:rPr>
            </w:pPr>
            <w:r w:rsidDel="00000000" w:rsidR="00000000" w:rsidRPr="00000000">
              <w:rPr>
                <w:b w:val="1"/>
                <w:bCs w:val="1"/>
                <w:rtl w:val="0"/>
              </w:rPr>
              <w:t xml:space="preserve">"CSPS"</w:t>
            </w:r>
          </w:p>
        </w:tc>
        <w:tc>
          <w:tcPr>
            <w:shd w:fill="auto" w:val="clear"/>
          </w:tcPr>
          <w:p w:rsidR="00000000" w:rsidDel="00000000" w:rsidP="00000000" w:rsidRDefault="00000000" w:rsidRPr="00000000" w14:paraId="0000011E">
            <w:pPr>
              <w:widowControl w:val="0"/>
              <w:spacing w:after="120" w:before="120" w:lineRule="auto"/>
              <w:jc w:val="left"/>
              <w:rPr/>
            </w:pPr>
            <w:r w:rsidDel="00000000" w:rsidR="00000000" w:rsidRPr="00000000">
              <w:rPr>
                <w:rtl w:val="0"/>
              </w:rPr>
              <w:t xml:space="preserve">the schemes as defined in Annex D1 to this Part D; </w:t>
            </w:r>
          </w:p>
        </w:tc>
      </w:tr>
      <w:tr>
        <w:trPr>
          <w:cantSplit w:val="0"/>
          <w:tblHeader w:val="0"/>
        </w:trPr>
        <w:tc>
          <w:tcPr>
            <w:shd w:fill="auto" w:val="clear"/>
          </w:tcPr>
          <w:p w:rsidR="00000000" w:rsidDel="00000000" w:rsidP="00000000" w:rsidRDefault="00000000" w:rsidRPr="00000000" w14:paraId="0000011F">
            <w:pPr>
              <w:widowControl w:val="0"/>
              <w:spacing w:after="120" w:before="120" w:lineRule="auto"/>
              <w:ind w:left="720" w:firstLine="0"/>
              <w:jc w:val="left"/>
              <w:rPr>
                <w:b w:val="1"/>
                <w:bCs w:val="1"/>
              </w:rPr>
            </w:pPr>
            <w:r w:rsidDel="00000000" w:rsidR="00000000" w:rsidRPr="00000000">
              <w:rPr>
                <w:b w:val="1"/>
                <w:bCs w:val="1"/>
                <w:rtl w:val="0"/>
              </w:rPr>
              <w:t xml:space="preserve">“Direction Letter/Determination”</w:t>
            </w:r>
          </w:p>
        </w:tc>
        <w:tc>
          <w:tcPr>
            <w:shd w:fill="auto" w:val="clear"/>
          </w:tcPr>
          <w:p w:rsidR="00000000" w:rsidDel="00000000" w:rsidP="00000000" w:rsidRDefault="00000000" w:rsidRPr="00000000" w14:paraId="00000120">
            <w:pPr>
              <w:widowControl w:val="0"/>
              <w:spacing w:after="120" w:before="120" w:lineRule="auto"/>
              <w:jc w:val="left"/>
              <w:rPr/>
            </w:pPr>
            <w:r w:rsidDel="00000000" w:rsidR="00000000" w:rsidRPr="00000000">
              <w:rPr>
                <w:rtl w:val="0"/>
              </w:rPr>
              <w:t xml:space="preserve">has the meaning in Annex D2 to this Part D;</w:t>
            </w:r>
          </w:p>
          <w:p w:rsidR="00000000" w:rsidDel="00000000" w:rsidP="00000000" w:rsidRDefault="00000000" w:rsidRPr="00000000" w14:paraId="00000121">
            <w:pPr>
              <w:widowControl w:val="0"/>
              <w:spacing w:after="120" w:before="120" w:lineRule="auto"/>
              <w:jc w:val="left"/>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22">
            <w:pPr>
              <w:widowControl w:val="0"/>
              <w:spacing w:after="120" w:before="120" w:lineRule="auto"/>
              <w:ind w:left="720" w:firstLine="0"/>
              <w:jc w:val="left"/>
              <w:rPr>
                <w:b w:val="1"/>
                <w:bCs w:val="1"/>
              </w:rPr>
            </w:pPr>
            <w:r w:rsidDel="00000000" w:rsidR="00000000" w:rsidRPr="00000000">
              <w:rPr>
                <w:b w:val="1"/>
                <w:bCs w:val="1"/>
                <w:rtl w:val="0"/>
              </w:rPr>
              <w:t xml:space="preserve">“Fair Deal Eligible Employees” </w:t>
            </w:r>
          </w:p>
        </w:tc>
        <w:tc>
          <w:tcPr>
            <w:shd w:fill="auto" w:val="clear"/>
          </w:tcPr>
          <w:p w:rsidR="00000000" w:rsidDel="00000000" w:rsidP="00000000" w:rsidRDefault="00000000" w:rsidRPr="00000000" w14:paraId="00000123">
            <w:pPr>
              <w:widowControl w:val="0"/>
              <w:spacing w:after="120" w:before="120" w:lineRule="auto"/>
              <w:jc w:val="left"/>
              <w:rPr/>
            </w:pPr>
            <w:r w:rsidDel="00000000" w:rsidR="00000000" w:rsidRPr="00000000">
              <w:rPr>
                <w:rtl w:val="0"/>
              </w:rPr>
              <w:t xml:space="preserve">each of the CSPS Eligible Employees, the NHSPS Eligible Employees and/or the LGPS Eligible Employees (as applicable) (and shall include any such employee who has been admitted to and/or remains eligible to join a Broadly Comparable pension scheme at the relevant time in accordance with Paragraph 10 or 11 of this Part D);</w:t>
            </w:r>
          </w:p>
        </w:tc>
      </w:tr>
      <w:tr>
        <w:trPr>
          <w:cantSplit w:val="0"/>
          <w:tblHeader w:val="0"/>
        </w:trPr>
        <w:tc>
          <w:tcPr>
            <w:shd w:fill="auto" w:val="clear"/>
          </w:tcPr>
          <w:p w:rsidR="00000000" w:rsidDel="00000000" w:rsidP="00000000" w:rsidRDefault="00000000" w:rsidRPr="00000000" w14:paraId="00000124">
            <w:pPr>
              <w:widowControl w:val="0"/>
              <w:spacing w:after="120" w:before="120" w:lineRule="auto"/>
              <w:ind w:left="720" w:firstLine="0"/>
              <w:jc w:val="left"/>
              <w:rPr>
                <w:b w:val="1"/>
                <w:bCs w:val="1"/>
              </w:rPr>
            </w:pPr>
            <w:r w:rsidDel="00000000" w:rsidR="00000000" w:rsidRPr="00000000">
              <w:rPr>
                <w:b w:val="1"/>
                <w:bCs w:val="1"/>
                <w:rtl w:val="0"/>
              </w:rPr>
              <w:t xml:space="preserve">"Fair Deal Employees"</w:t>
            </w:r>
          </w:p>
        </w:tc>
        <w:tc>
          <w:tcPr>
            <w:shd w:fill="auto" w:val="clear"/>
          </w:tcPr>
          <w:p w:rsidR="00000000" w:rsidDel="00000000" w:rsidP="00000000" w:rsidRDefault="00000000" w:rsidRPr="00000000" w14:paraId="00000125">
            <w:pPr>
              <w:widowControl w:val="0"/>
              <w:spacing w:after="120" w:before="120" w:lineRule="auto"/>
              <w:jc w:val="left"/>
              <w:rPr/>
            </w:pPr>
            <w:r w:rsidDel="00000000" w:rsidR="00000000" w:rsidRPr="00000000">
              <w:rPr>
                <w:rtl w:val="0"/>
              </w:rPr>
              <w:t xml:space="preserve">any of:</w:t>
            </w:r>
          </w:p>
          <w:p w:rsidR="00000000" w:rsidDel="00000000" w:rsidP="00000000" w:rsidRDefault="00000000" w:rsidRPr="00000000" w14:paraId="00000126">
            <w:pPr>
              <w:widowControl w:val="0"/>
              <w:numPr>
                <w:ilvl w:val="0"/>
                <w:numId w:val="18"/>
              </w:numPr>
              <w:spacing w:after="120" w:before="120" w:lineRule="auto"/>
              <w:ind w:left="743" w:hanging="709"/>
              <w:jc w:val="left"/>
              <w:rPr/>
            </w:pPr>
            <w:r w:rsidDel="00000000" w:rsidR="00000000" w:rsidRPr="00000000">
              <w:rPr>
                <w:rtl w:val="0"/>
              </w:rPr>
              <w:t xml:space="preserve">Transferring Buyer Employees; </w:t>
            </w:r>
          </w:p>
        </w:tc>
      </w:tr>
      <w:tr>
        <w:trPr>
          <w:cantSplit w:val="0"/>
          <w:tblHeader w:val="0"/>
        </w:trPr>
        <w:tc>
          <w:tcPr>
            <w:shd w:fill="auto" w:val="clear"/>
          </w:tcPr>
          <w:p w:rsidR="00000000" w:rsidDel="00000000" w:rsidP="00000000" w:rsidRDefault="00000000" w:rsidRPr="00000000" w14:paraId="00000127">
            <w:pPr>
              <w:widowControl w:val="0"/>
              <w:spacing w:after="120" w:before="120" w:lineRule="auto"/>
              <w:ind w:left="720" w:firstLine="0"/>
              <w:jc w:val="left"/>
              <w:rPr>
                <w:b w:val="1"/>
                <w:bCs w:val="1"/>
              </w:rPr>
            </w:pPr>
            <w:r w:rsidDel="00000000" w:rsidR="00000000" w:rsidRPr="00000000">
              <w:rPr>
                <w:rtl w:val="0"/>
              </w:rPr>
            </w:r>
          </w:p>
        </w:tc>
        <w:tc>
          <w:tcPr>
            <w:shd w:fill="auto" w:val="clear"/>
          </w:tcPr>
          <w:p w:rsidR="00000000" w:rsidDel="00000000" w:rsidP="00000000" w:rsidRDefault="00000000" w:rsidRPr="00000000" w14:paraId="00000128">
            <w:pPr>
              <w:widowControl w:val="0"/>
              <w:numPr>
                <w:ilvl w:val="0"/>
                <w:numId w:val="18"/>
              </w:numPr>
              <w:spacing w:after="120" w:before="120" w:lineRule="auto"/>
              <w:ind w:left="695" w:hanging="646"/>
              <w:jc w:val="left"/>
              <w:rPr/>
            </w:pPr>
            <w:r w:rsidDel="00000000" w:rsidR="00000000" w:rsidRPr="00000000">
              <w:rPr>
                <w:rtl w:val="0"/>
              </w:rPr>
              <w:t xml:space="preserve">Transferring Former Supplier Employees; </w:t>
            </w:r>
          </w:p>
        </w:tc>
      </w:tr>
      <w:tr>
        <w:trPr>
          <w:cantSplit w:val="0"/>
          <w:tblHeader w:val="0"/>
        </w:trPr>
        <w:tc>
          <w:tcPr>
            <w:shd w:fill="auto" w:val="clear"/>
          </w:tcPr>
          <w:p w:rsidR="00000000" w:rsidDel="00000000" w:rsidP="00000000" w:rsidRDefault="00000000" w:rsidRPr="00000000" w14:paraId="00000129">
            <w:pPr>
              <w:widowControl w:val="0"/>
              <w:spacing w:after="120" w:before="120" w:lineRule="auto"/>
              <w:ind w:left="720" w:firstLine="0"/>
              <w:jc w:val="left"/>
              <w:rPr>
                <w:b w:val="1"/>
                <w:bCs w:val="1"/>
              </w:rPr>
            </w:pPr>
            <w:r w:rsidDel="00000000" w:rsidR="00000000" w:rsidRPr="00000000">
              <w:rPr>
                <w:rtl w:val="0"/>
              </w:rPr>
            </w:r>
          </w:p>
        </w:tc>
        <w:tc>
          <w:tcPr>
            <w:shd w:fill="auto" w:val="clear"/>
          </w:tcPr>
          <w:p w:rsidR="00000000" w:rsidDel="00000000" w:rsidP="00000000" w:rsidRDefault="00000000" w:rsidRPr="00000000" w14:paraId="0000012A">
            <w:pPr>
              <w:widowControl w:val="0"/>
              <w:numPr>
                <w:ilvl w:val="0"/>
                <w:numId w:val="18"/>
              </w:numPr>
              <w:spacing w:after="120" w:before="120" w:lineRule="auto"/>
              <w:ind w:left="695" w:hanging="646"/>
              <w:jc w:val="left"/>
              <w:rPr/>
            </w:pPr>
            <w:r w:rsidDel="00000000" w:rsidR="00000000" w:rsidRPr="00000000">
              <w:rPr>
                <w:rtl w:val="0"/>
              </w:rPr>
              <w:t xml:space="preserve">employees who are not Transferring Buyer Employees or Transferring Former Supplier Employees but to whom the Employment Regulations apply on the Relevant Transfer Date to transfer their employment to the Supplier or a Subcontractor, and whose employment is not terminated in accordance with the provisions of Paragraphs 2.5 of Parts A or B or Paragraph 1.4 of Part C;</w:t>
            </w:r>
          </w:p>
        </w:tc>
      </w:tr>
      <w:tr>
        <w:trPr>
          <w:cantSplit w:val="0"/>
          <w:tblHeader w:val="0"/>
        </w:trPr>
        <w:tc>
          <w:tcPr>
            <w:shd w:fill="auto" w:val="clear"/>
          </w:tcPr>
          <w:p w:rsidR="00000000" w:rsidDel="00000000" w:rsidP="00000000" w:rsidRDefault="00000000" w:rsidRPr="00000000" w14:paraId="0000012B">
            <w:pPr>
              <w:keepNext w:val="1"/>
              <w:widowControl w:val="0"/>
              <w:spacing w:after="120" w:before="120" w:lineRule="auto"/>
              <w:ind w:left="720" w:firstLine="0"/>
              <w:jc w:val="left"/>
              <w:rPr>
                <w:b w:val="1"/>
                <w:bCs w:val="1"/>
              </w:rPr>
            </w:pPr>
            <w:r w:rsidDel="00000000" w:rsidR="00000000" w:rsidRPr="00000000">
              <w:rPr>
                <w:rtl w:val="0"/>
              </w:rPr>
            </w:r>
          </w:p>
        </w:tc>
        <w:tc>
          <w:tcPr>
            <w:shd w:fill="auto" w:val="clear"/>
          </w:tcPr>
          <w:p w:rsidR="00000000" w:rsidDel="00000000" w:rsidP="00000000" w:rsidRDefault="00000000" w:rsidRPr="00000000" w14:paraId="0000012C">
            <w:pPr>
              <w:widowControl w:val="0"/>
              <w:numPr>
                <w:ilvl w:val="0"/>
                <w:numId w:val="18"/>
              </w:numPr>
              <w:spacing w:after="120" w:before="120" w:lineRule="auto"/>
              <w:ind w:left="695" w:hanging="646"/>
              <w:jc w:val="left"/>
              <w:rPr/>
            </w:pPr>
            <w:r w:rsidDel="00000000" w:rsidR="00000000" w:rsidRPr="00000000">
              <w:rPr>
                <w:rtl w:val="0"/>
              </w:rPr>
              <w:t xml:space="preserve">where the Supplier or a Subcontractor was the Former Supplier, the employees of the Supplier (or Subcontractor); </w:t>
            </w:r>
          </w:p>
        </w:tc>
      </w:tr>
      <w:tr>
        <w:trPr>
          <w:cantSplit w:val="0"/>
          <w:tblHeader w:val="0"/>
        </w:trPr>
        <w:tc>
          <w:tcPr>
            <w:shd w:fill="auto" w:val="clear"/>
          </w:tcPr>
          <w:p w:rsidR="00000000" w:rsidDel="00000000" w:rsidP="00000000" w:rsidRDefault="00000000" w:rsidRPr="00000000" w14:paraId="0000012D">
            <w:pPr>
              <w:widowControl w:val="0"/>
              <w:spacing w:after="120" w:before="120" w:lineRule="auto"/>
              <w:ind w:left="720" w:firstLine="0"/>
              <w:jc w:val="left"/>
              <w:rPr>
                <w:b w:val="1"/>
                <w:bCs w:val="1"/>
              </w:rPr>
            </w:pPr>
            <w:r w:rsidDel="00000000" w:rsidR="00000000" w:rsidRPr="00000000">
              <w:rPr>
                <w:rtl w:val="0"/>
              </w:rPr>
            </w:r>
          </w:p>
        </w:tc>
        <w:tc>
          <w:tcPr>
            <w:shd w:fill="auto" w:val="clear"/>
          </w:tcPr>
          <w:p w:rsidR="00000000" w:rsidDel="00000000" w:rsidP="00000000" w:rsidRDefault="00000000" w:rsidRPr="00000000" w14:paraId="0000012E">
            <w:pPr>
              <w:widowControl w:val="0"/>
              <w:spacing w:after="120" w:before="120" w:lineRule="auto"/>
              <w:jc w:val="left"/>
              <w:rPr/>
            </w:pPr>
            <w:r w:rsidDel="00000000" w:rsidR="00000000" w:rsidRPr="00000000">
              <w:rPr>
                <w:rtl w:val="0"/>
              </w:rPr>
              <w:t xml:space="preserve">who at the Relevant Transfer Date are or become entitled to New Fair Deal or Best Value Direction protection in respect of any of the Statutory Schemes or a Broadly Comparable pension scheme provided in accordance with Paragraph 10 of this Part D as notified by the Buyer;</w:t>
            </w:r>
          </w:p>
        </w:tc>
      </w:tr>
      <w:tr>
        <w:trPr>
          <w:cantSplit w:val="0"/>
          <w:tblHeader w:val="0"/>
        </w:trPr>
        <w:tc>
          <w:tcPr>
            <w:shd w:fill="auto" w:val="clear"/>
          </w:tcPr>
          <w:p w:rsidR="00000000" w:rsidDel="00000000" w:rsidP="00000000" w:rsidRDefault="00000000" w:rsidRPr="00000000" w14:paraId="0000012F">
            <w:pPr>
              <w:widowControl w:val="0"/>
              <w:spacing w:after="120" w:before="120" w:lineRule="auto"/>
              <w:ind w:left="720" w:firstLine="0"/>
              <w:jc w:val="left"/>
              <w:rPr>
                <w:b w:val="1"/>
                <w:bCs w:val="1"/>
              </w:rPr>
            </w:pPr>
            <w:r w:rsidDel="00000000" w:rsidR="00000000" w:rsidRPr="00000000">
              <w:rPr>
                <w:b w:val="1"/>
                <w:bCs w:val="1"/>
                <w:rtl w:val="0"/>
              </w:rPr>
              <w:t xml:space="preserve">"Fund Actuary"</w:t>
            </w:r>
          </w:p>
        </w:tc>
        <w:tc>
          <w:tcPr>
            <w:shd w:fill="auto" w:val="clear"/>
          </w:tcPr>
          <w:p w:rsidR="00000000" w:rsidDel="00000000" w:rsidP="00000000" w:rsidRDefault="00000000" w:rsidRPr="00000000" w14:paraId="00000130">
            <w:pPr>
              <w:widowControl w:val="0"/>
              <w:spacing w:after="120" w:before="120" w:lineRule="auto"/>
              <w:jc w:val="left"/>
              <w:rPr/>
            </w:pPr>
            <w:r w:rsidDel="00000000" w:rsidR="00000000" w:rsidRPr="00000000">
              <w:rPr>
                <w:rtl w:val="0"/>
              </w:rPr>
              <w:t xml:space="preserve">a Fund Actuary as defined in Annex D3 to this Part D;</w:t>
            </w:r>
          </w:p>
        </w:tc>
      </w:tr>
      <w:tr>
        <w:trPr>
          <w:cantSplit w:val="0"/>
          <w:tblHeader w:val="0"/>
        </w:trPr>
        <w:tc>
          <w:tcPr>
            <w:shd w:fill="auto" w:val="clear"/>
          </w:tcPr>
          <w:p w:rsidR="00000000" w:rsidDel="00000000" w:rsidP="00000000" w:rsidRDefault="00000000" w:rsidRPr="00000000" w14:paraId="00000131">
            <w:pPr>
              <w:widowControl w:val="0"/>
              <w:spacing w:after="120" w:before="120" w:lineRule="auto"/>
              <w:ind w:left="720" w:firstLine="0"/>
              <w:jc w:val="left"/>
              <w:rPr>
                <w:b w:val="1"/>
                <w:bCs w:val="1"/>
              </w:rPr>
            </w:pPr>
            <w:r w:rsidDel="00000000" w:rsidR="00000000" w:rsidRPr="00000000">
              <w:rPr>
                <w:b w:val="1"/>
                <w:bCs w:val="1"/>
                <w:rtl w:val="0"/>
              </w:rPr>
              <w:t xml:space="preserve">"LGPS"</w:t>
            </w:r>
          </w:p>
        </w:tc>
        <w:tc>
          <w:tcPr>
            <w:shd w:fill="auto" w:val="clear"/>
          </w:tcPr>
          <w:p w:rsidR="00000000" w:rsidDel="00000000" w:rsidP="00000000" w:rsidRDefault="00000000" w:rsidRPr="00000000" w14:paraId="00000132">
            <w:pPr>
              <w:widowControl w:val="0"/>
              <w:spacing w:after="120" w:before="120" w:lineRule="auto"/>
              <w:jc w:val="left"/>
              <w:rPr/>
            </w:pPr>
            <w:r w:rsidDel="00000000" w:rsidR="00000000" w:rsidRPr="00000000">
              <w:rPr>
                <w:rtl w:val="0"/>
              </w:rPr>
              <w:t xml:space="preserve">the scheme as defined in Annex D3 to this Part D;</w:t>
            </w:r>
          </w:p>
        </w:tc>
      </w:tr>
      <w:tr>
        <w:trPr>
          <w:cantSplit w:val="0"/>
          <w:tblHeader w:val="0"/>
        </w:trPr>
        <w:tc>
          <w:tcPr>
            <w:shd w:fill="auto" w:val="clear"/>
          </w:tcPr>
          <w:p w:rsidR="00000000" w:rsidDel="00000000" w:rsidP="00000000" w:rsidRDefault="00000000" w:rsidRPr="00000000" w14:paraId="00000133">
            <w:pPr>
              <w:widowControl w:val="0"/>
              <w:spacing w:after="120" w:before="120" w:lineRule="auto"/>
              <w:ind w:left="720" w:firstLine="0"/>
              <w:jc w:val="left"/>
              <w:rPr>
                <w:b w:val="1"/>
                <w:bCs w:val="1"/>
              </w:rPr>
            </w:pPr>
            <w:r w:rsidDel="00000000" w:rsidR="00000000" w:rsidRPr="00000000">
              <w:rPr>
                <w:b w:val="1"/>
                <w:bCs w:val="1"/>
                <w:rtl w:val="0"/>
              </w:rPr>
              <w:t xml:space="preserve">"NHSPS"</w:t>
            </w:r>
          </w:p>
        </w:tc>
        <w:tc>
          <w:tcPr>
            <w:shd w:fill="auto" w:val="clear"/>
          </w:tcPr>
          <w:p w:rsidR="00000000" w:rsidDel="00000000" w:rsidP="00000000" w:rsidRDefault="00000000" w:rsidRPr="00000000" w14:paraId="00000134">
            <w:pPr>
              <w:keepNext w:val="1"/>
              <w:widowControl w:val="0"/>
              <w:spacing w:after="120" w:before="120" w:lineRule="auto"/>
              <w:jc w:val="left"/>
              <w:rPr/>
            </w:pPr>
            <w:r w:rsidDel="00000000" w:rsidR="00000000" w:rsidRPr="00000000">
              <w:rPr>
                <w:rtl w:val="0"/>
              </w:rPr>
              <w:t xml:space="preserve">the schemes as defined in Annex D2 to this Part D; and</w:t>
            </w:r>
          </w:p>
        </w:tc>
      </w:tr>
      <w:tr>
        <w:trPr>
          <w:cantSplit w:val="0"/>
          <w:tblHeader w:val="0"/>
        </w:trPr>
        <w:tc>
          <w:tcPr>
            <w:shd w:fill="auto" w:val="clear"/>
          </w:tcPr>
          <w:p w:rsidR="00000000" w:rsidDel="00000000" w:rsidP="00000000" w:rsidRDefault="00000000" w:rsidRPr="00000000" w14:paraId="00000135">
            <w:pPr>
              <w:widowControl w:val="0"/>
              <w:spacing w:after="120" w:before="120" w:lineRule="auto"/>
              <w:ind w:left="720" w:firstLine="0"/>
              <w:jc w:val="left"/>
              <w:rPr>
                <w:b w:val="1"/>
                <w:bCs w:val="1"/>
              </w:rPr>
            </w:pPr>
            <w:r w:rsidDel="00000000" w:rsidR="00000000" w:rsidRPr="00000000">
              <w:rPr>
                <w:b w:val="1"/>
                <w:bCs w:val="1"/>
                <w:rtl w:val="0"/>
              </w:rPr>
              <w:t xml:space="preserve">"Statutory Schemes"</w:t>
            </w:r>
          </w:p>
        </w:tc>
        <w:tc>
          <w:tcPr>
            <w:shd w:fill="auto" w:val="clear"/>
          </w:tcPr>
          <w:p w:rsidR="00000000" w:rsidDel="00000000" w:rsidP="00000000" w:rsidRDefault="00000000" w:rsidRPr="00000000" w14:paraId="00000136">
            <w:pPr>
              <w:spacing w:after="120" w:before="120" w:lineRule="auto"/>
              <w:jc w:val="left"/>
              <w:rPr/>
            </w:pPr>
            <w:r w:rsidDel="00000000" w:rsidR="00000000" w:rsidRPr="00000000">
              <w:rPr>
                <w:rtl w:val="0"/>
              </w:rPr>
              <w:t xml:space="preserve">the CSPS, NHSPS or LGPS.</w:t>
            </w:r>
          </w:p>
        </w:tc>
      </w:tr>
    </w:tbl>
    <w:p w:rsidR="00000000" w:rsidDel="00000000" w:rsidP="00000000" w:rsidRDefault="00000000" w:rsidRPr="00000000" w14:paraId="00000137">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Supplier obligations to participate in the pension schemes</w:t>
      </w:r>
      <w:r w:rsidDel="00000000" w:rsidR="00000000" w:rsidRPr="00000000">
        <w:rPr>
          <w:rtl w:val="0"/>
        </w:rPr>
      </w:r>
    </w:p>
    <w:p w:rsidR="00000000" w:rsidDel="00000000" w:rsidP="00000000" w:rsidRDefault="00000000" w:rsidRPr="00000000" w14:paraId="00000138">
      <w:pPr>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In respect of all or any Fair Deal Employees each of Annex D1: CSPS, Annex D2: NHSPS and/or Annex D3: LGPS shall apply, as appropriate.</w:t>
      </w:r>
    </w:p>
    <w:p w:rsidR="00000000" w:rsidDel="00000000" w:rsidP="00000000" w:rsidRDefault="00000000" w:rsidRPr="00000000" w14:paraId="00000139">
      <w:pPr>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undertakes to do all such things and execute any documents (including any relevant Admission Agreement and/or Direction Letter/ Determination, if necessary) as may be required to enable the Supplier to participate in the appropriate Statutory Scheme in respect of the Fair Deal Employees and shall bear its own costs in such regard.</w:t>
      </w:r>
    </w:p>
    <w:p w:rsidR="00000000" w:rsidDel="00000000" w:rsidP="00000000" w:rsidRDefault="00000000" w:rsidRPr="00000000" w14:paraId="0000013A">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undertakes:</w:t>
      </w:r>
    </w:p>
    <w:p w:rsidR="00000000" w:rsidDel="00000000" w:rsidP="00000000" w:rsidRDefault="00000000" w:rsidRPr="00000000" w14:paraId="0000013B">
      <w:pPr>
        <w:numPr>
          <w:ilvl w:val="2"/>
          <w:numId w:val="12"/>
        </w:numPr>
        <w:pBdr>
          <w:top w:space="0" w:sz="0" w:val="nil"/>
          <w:left w:space="0" w:sz="0" w:val="nil"/>
          <w:bottom w:space="0" w:sz="0" w:val="nil"/>
          <w:right w:space="0" w:sz="0" w:val="nil"/>
          <w:between w:space="0" w:sz="0" w:val="nil"/>
        </w:pBdr>
        <w:spacing w:after="120" w:before="120" w:lineRule="auto"/>
        <w:ind w:left="2214" w:hanging="1080"/>
        <w:jc w:val="left"/>
        <w:rPr>
          <w:color w:val="000000"/>
        </w:rPr>
      </w:pPr>
      <w:r w:rsidDel="00000000" w:rsidR="00000000" w:rsidRPr="00000000">
        <w:rPr>
          <w:color w:val="000000"/>
          <w:rtl w:val="0"/>
        </w:rPr>
        <w:t xml:space="preserve">to pay to the Statutory Schemes all such amounts as are due under the relevant Admission Agreement and/or Direction Letter/ Determination or otherwise and shall deduct and pay to the Statutory Schemes such employee contributions as are required; and</w:t>
      </w:r>
    </w:p>
    <w:p w:rsidR="00000000" w:rsidDel="00000000" w:rsidP="00000000" w:rsidRDefault="00000000" w:rsidRPr="00000000" w14:paraId="0000013C">
      <w:pPr>
        <w:numPr>
          <w:ilvl w:val="2"/>
          <w:numId w:val="12"/>
        </w:numPr>
        <w:pBdr>
          <w:top w:space="0" w:sz="0" w:val="nil"/>
          <w:left w:space="0" w:sz="0" w:val="nil"/>
          <w:bottom w:space="0" w:sz="0" w:val="nil"/>
          <w:right w:space="0" w:sz="0" w:val="nil"/>
          <w:between w:space="0" w:sz="0" w:val="nil"/>
        </w:pBdr>
        <w:spacing w:after="120" w:before="120" w:lineRule="auto"/>
        <w:ind w:left="2214" w:hanging="1080"/>
        <w:jc w:val="left"/>
        <w:rPr>
          <w:color w:val="000000"/>
        </w:rPr>
      </w:pPr>
      <w:r w:rsidDel="00000000" w:rsidR="00000000" w:rsidRPr="00000000">
        <w:rPr>
          <w:color w:val="000000"/>
          <w:rtl w:val="0"/>
        </w:rPr>
        <w:t xml:space="preserve">subject to Paragraph 5 of Annex D3: LGPS to be fully responsible for all other costs, contributions, payments and other amounts relating to its participation in the Statutory Schemes, including for the avoidance of doubt any exit payments and the costs of providing any bond, indemnity or guarantee required in relation to such participation. </w:t>
      </w:r>
    </w:p>
    <w:p w:rsidR="00000000" w:rsidDel="00000000" w:rsidP="00000000" w:rsidRDefault="00000000" w:rsidRPr="00000000" w14:paraId="0000013D">
      <w:pPr>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Where the Supplier is the Former Supplier (or a Subcontractor is a Subcontractor of the Former Supplier) and there is no Relevant Transfer of the Fair Deal Employees because they remain continuously employed by the Supplier (or Subcontractor) at the Start Date, this Part D and its Annexes shall be modified accordingly so that the Supplier (or Subcontractor) shall comply with its requirements from the Start Date or, where it previously provided a Broadly Comparable pension scheme, from the date it is able to close accrual of its Broadly Comparable pension scheme (following appropriate consultation and contractual changes as appropriate) if later. The Supplier (or Sub- contractor) shall make arrangements for a bulk transfer from its Broadly Comparable pension scheme to the relevant Statutory Scheme in accordance with the requirements of the previous contract with the Buyer</w:t>
      </w:r>
      <w:r w:rsidDel="00000000" w:rsidR="00000000" w:rsidRPr="00000000">
        <w:rPr>
          <w:color w:val="000000"/>
          <w:vertAlign w:val="superscript"/>
        </w:rPr>
        <w:footnoteReference w:customMarkFollows="0" w:id="0"/>
      </w:r>
      <w:r w:rsidDel="00000000" w:rsidR="00000000" w:rsidRPr="00000000">
        <w:rPr>
          <w:color w:val="000000"/>
          <w:rtl w:val="0"/>
        </w:rPr>
        <w:t xml:space="preserve">.</w:t>
      </w:r>
    </w:p>
    <w:p w:rsidR="00000000" w:rsidDel="00000000" w:rsidP="00000000" w:rsidRDefault="00000000" w:rsidRPr="00000000" w14:paraId="0000013E">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Supplier obligation to provide information</w:t>
      </w:r>
    </w:p>
    <w:p w:rsidR="00000000" w:rsidDel="00000000" w:rsidP="00000000" w:rsidRDefault="00000000" w:rsidRPr="00000000" w14:paraId="0000013F">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undertakes to the Buyer</w:t>
      </w:r>
      <w:r w:rsidDel="00000000" w:rsidR="00000000" w:rsidRPr="00000000">
        <w:rPr>
          <w:i w:val="1"/>
          <w:iCs w:val="1"/>
          <w:color w:val="000000"/>
          <w:rtl w:val="0"/>
        </w:rPr>
        <w:t xml:space="preserve">:</w:t>
      </w:r>
      <w:r w:rsidDel="00000000" w:rsidR="00000000" w:rsidRPr="00000000">
        <w:rPr>
          <w:rtl w:val="0"/>
        </w:rPr>
      </w:r>
    </w:p>
    <w:p w:rsidR="00000000" w:rsidDel="00000000" w:rsidP="00000000" w:rsidRDefault="00000000" w:rsidRPr="00000000" w14:paraId="00000140">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1hmsyys" w:id="35"/>
      <w:bookmarkEnd w:id="35"/>
      <w:r w:rsidDel="00000000" w:rsidR="00000000" w:rsidRPr="00000000">
        <w:rPr>
          <w:color w:val="000000"/>
          <w:rtl w:val="0"/>
        </w:rPr>
        <w:t xml:space="preserve">to provide all information which the Buyer</w:t>
      </w:r>
      <w:r w:rsidDel="00000000" w:rsidR="00000000" w:rsidRPr="00000000">
        <w:rPr>
          <w:i w:val="1"/>
          <w:iCs w:val="1"/>
          <w:color w:val="000000"/>
          <w:rtl w:val="0"/>
        </w:rPr>
        <w:t xml:space="preserve"> </w:t>
      </w:r>
      <w:r w:rsidDel="00000000" w:rsidR="00000000" w:rsidRPr="00000000">
        <w:rPr>
          <w:color w:val="000000"/>
          <w:rtl w:val="0"/>
        </w:rPr>
        <w:t xml:space="preserve">may reasonably request concerning matters referred to in this Part D as expeditiously as possible; and</w:t>
      </w:r>
    </w:p>
    <w:p w:rsidR="00000000" w:rsidDel="00000000" w:rsidP="00000000" w:rsidRDefault="00000000" w:rsidRPr="00000000" w14:paraId="00000141">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not to issue any announcements to any Fair Deal Employee prior to the Relevant Transfer Date concerning the matters stated in this Part D without the consent in writing of the Buyer (such consent not to be unreasonably withheld or delayed); </w:t>
      </w:r>
    </w:p>
    <w:p w:rsidR="00000000" w:rsidDel="00000000" w:rsidP="00000000" w:rsidRDefault="00000000" w:rsidRPr="00000000" w14:paraId="00000142">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retain such records as would be necessary to manage the pension aspects in relation to any current or former Fair Deal Eligible Employees arising on expiry or termination of the relevant Contract.</w:t>
      </w:r>
    </w:p>
    <w:p w:rsidR="00000000" w:rsidDel="00000000" w:rsidP="00000000" w:rsidRDefault="00000000" w:rsidRPr="00000000" w14:paraId="00000143">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Indemnities the Supplier must give</w:t>
      </w:r>
    </w:p>
    <w:p w:rsidR="00000000" w:rsidDel="00000000" w:rsidP="00000000" w:rsidRDefault="00000000" w:rsidRPr="00000000" w14:paraId="00000144">
      <w:pPr>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indemnify and keep indemnified </w:t>
      </w:r>
      <w:r w:rsidDel="00000000" w:rsidR="00000000" w:rsidRPr="00000000">
        <w:rPr>
          <w:rtl w:val="0"/>
        </w:rPr>
        <w:t xml:space="preserve">GCA</w:t>
      </w:r>
      <w:r w:rsidDel="00000000" w:rsidR="00000000" w:rsidRPr="00000000">
        <w:rPr>
          <w:color w:val="000000"/>
          <w:rtl w:val="0"/>
        </w:rPr>
        <w:t xml:space="preserve">, [NHS Pensions], the Buyer</w:t>
      </w:r>
      <w:r w:rsidDel="00000000" w:rsidR="00000000" w:rsidRPr="00000000">
        <w:rPr>
          <w:i w:val="1"/>
          <w:iCs w:val="1"/>
          <w:color w:val="000000"/>
          <w:rtl w:val="0"/>
        </w:rPr>
        <w:t xml:space="preserve"> </w:t>
      </w:r>
      <w:r w:rsidDel="00000000" w:rsidR="00000000" w:rsidRPr="00000000">
        <w:rPr>
          <w:color w:val="000000"/>
          <w:rtl w:val="0"/>
        </w:rPr>
        <w:t xml:space="preserve">and/or any Replacement Supplier and/or any Replacement Subcontractor on demand from and against all and any Losses whatsoever suffered or incurred by it or them which: </w:t>
      </w:r>
    </w:p>
    <w:p w:rsidR="00000000" w:rsidDel="00000000" w:rsidP="00000000" w:rsidRDefault="00000000" w:rsidRPr="00000000" w14:paraId="00000145">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 arise out of or in connection with any liability towards all and any Fair Deal Employees arising in respect of service on or after the Relevant Transfer Date which arise from any breach by the Supplier of this Part D, and/or the CSPS Admission Agreement and/or the Direction Letter/Determination and/or the LGPS Admission Agreement; </w:t>
      </w:r>
    </w:p>
    <w:p w:rsidR="00000000" w:rsidDel="00000000" w:rsidP="00000000" w:rsidRDefault="00000000" w:rsidRPr="00000000" w14:paraId="00000146">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relate to the payment of benefits under and/or participation in a pension scheme (as defined in section 150(1) Finance Act 2004) provided by the Supplier or a Subcontractor on and after the Relevant Transfer Date until the date of termination or expiry of the relevant Contract, including the Statutory Schemes or any Broadly Comparable pension scheme provided in accordance with Paragraphs 10 or 11 of this Part D; </w:t>
      </w:r>
    </w:p>
    <w:p w:rsidR="00000000" w:rsidDel="00000000" w:rsidP="00000000" w:rsidRDefault="00000000" w:rsidRPr="00000000" w14:paraId="00000147">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relate to claims by Fair Deal Employees of the Supplier and/or of any Subcontractor or by any trade unions, elected employee representatives or staff associations in respect of all or any such Fair Deal Employees which Losses:</w:t>
      </w:r>
    </w:p>
    <w:p w:rsidR="00000000" w:rsidDel="00000000" w:rsidP="00000000" w:rsidRDefault="00000000" w:rsidRPr="00000000" w14:paraId="00000148">
      <w:pPr>
        <w:numPr>
          <w:ilvl w:val="3"/>
          <w:numId w:val="12"/>
        </w:numPr>
        <w:pBdr>
          <w:top w:space="0" w:sz="0" w:val="nil"/>
          <w:left w:space="0" w:sz="0" w:val="nil"/>
          <w:bottom w:space="0" w:sz="0" w:val="nil"/>
          <w:right w:space="0" w:sz="0" w:val="nil"/>
          <w:between w:space="0" w:sz="0" w:val="nil"/>
        </w:pBdr>
        <w:spacing w:after="120" w:before="120" w:lineRule="auto"/>
        <w:ind w:left="2835" w:hanging="850"/>
        <w:jc w:val="left"/>
        <w:rPr>
          <w:color w:val="000000"/>
        </w:rPr>
      </w:pPr>
      <w:bookmarkStart w:colFirst="0" w:colLast="0" w:name="_heading=h.2grqrue" w:id="36"/>
      <w:bookmarkEnd w:id="36"/>
      <w:r w:rsidDel="00000000" w:rsidR="00000000" w:rsidRPr="00000000">
        <w:rPr>
          <w:color w:val="000000"/>
          <w:rtl w:val="0"/>
        </w:rPr>
        <w:t xml:space="preserve">relate to any rights to benefits under a pension scheme (as defined in section 150(1) Finance Act 2004) in respect of periods of employment on and after the Relevant Transfer Date until the date of termination or expiry of the relevant Contract; or</w:t>
      </w:r>
    </w:p>
    <w:p w:rsidR="00000000" w:rsidDel="00000000" w:rsidP="00000000" w:rsidRDefault="00000000" w:rsidRPr="00000000" w14:paraId="00000149">
      <w:pPr>
        <w:numPr>
          <w:ilvl w:val="3"/>
          <w:numId w:val="12"/>
        </w:numPr>
        <w:pBdr>
          <w:top w:space="0" w:sz="0" w:val="nil"/>
          <w:left w:space="0" w:sz="0" w:val="nil"/>
          <w:bottom w:space="0" w:sz="0" w:val="nil"/>
          <w:right w:space="0" w:sz="0" w:val="nil"/>
          <w:between w:space="0" w:sz="0" w:val="nil"/>
        </w:pBdr>
        <w:spacing w:after="120" w:before="120" w:lineRule="auto"/>
        <w:ind w:left="2835" w:hanging="850"/>
        <w:jc w:val="left"/>
        <w:rPr>
          <w:color w:val="000000"/>
        </w:rPr>
      </w:pPr>
      <w:bookmarkStart w:colFirst="0" w:colLast="0" w:name="_heading=h.vx1227" w:id="37"/>
      <w:bookmarkEnd w:id="37"/>
      <w:r w:rsidDel="00000000" w:rsidR="00000000" w:rsidRPr="00000000">
        <w:rPr>
          <w:color w:val="000000"/>
          <w:rtl w:val="0"/>
        </w:rPr>
        <w:t xml:space="preserve">arise out of the failure of the Supplier and/or any relevant Subcontractor to comply with the provisions of this Part D before the date of termination or expiry of the relevant Contract; and/or</w:t>
      </w:r>
    </w:p>
    <w:p w:rsidR="00000000" w:rsidDel="00000000" w:rsidP="00000000" w:rsidRDefault="00000000" w:rsidRPr="00000000" w14:paraId="0000014A">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arise out of or in connection with the Supplier (or its Subcontractor) allowing anyone who is not an NHSPS Fair Deal Employee to join or claim membership of the NHSPS at any time during the Contract Period.</w:t>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120" w:before="120" w:lineRule="auto"/>
        <w:ind w:left="2214" w:hanging="1080"/>
        <w:jc w:val="left"/>
        <w:rPr>
          <w:color w:val="000000"/>
        </w:rPr>
      </w:pPr>
      <w:r w:rsidDel="00000000" w:rsidR="00000000" w:rsidRPr="00000000">
        <w:rPr>
          <w:rtl w:val="0"/>
        </w:rPr>
      </w:r>
    </w:p>
    <w:p w:rsidR="00000000" w:rsidDel="00000000" w:rsidP="00000000" w:rsidRDefault="00000000" w:rsidRPr="00000000" w14:paraId="0000014C">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indemnities in this Part D and its Annexes:</w:t>
      </w:r>
    </w:p>
    <w:p w:rsidR="00000000" w:rsidDel="00000000" w:rsidP="00000000" w:rsidRDefault="00000000" w:rsidRPr="00000000" w14:paraId="0000014D">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shall survive termination of the relevant Contract; and</w:t>
      </w:r>
    </w:p>
    <w:p w:rsidR="00000000" w:rsidDel="00000000" w:rsidP="00000000" w:rsidRDefault="00000000" w:rsidRPr="00000000" w14:paraId="0000014E">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shall not be affected by the caps on liability contained in Clause 14 </w:t>
      </w:r>
      <w:r w:rsidDel="00000000" w:rsidR="00000000" w:rsidRPr="00000000">
        <w:rPr>
          <w:i w:val="1"/>
          <w:iCs w:val="1"/>
          <w:color w:val="000000"/>
          <w:rtl w:val="0"/>
        </w:rPr>
        <w:t xml:space="preserve">(How much you can be held responsible for) </w:t>
      </w:r>
      <w:r w:rsidDel="00000000" w:rsidR="00000000" w:rsidRPr="00000000">
        <w:rPr>
          <w:color w:val="000000"/>
          <w:rtl w:val="0"/>
        </w:rPr>
        <w:t xml:space="preserve">of the General Terms.</w:t>
      </w:r>
    </w:p>
    <w:p w:rsidR="00000000" w:rsidDel="00000000" w:rsidP="00000000" w:rsidRDefault="00000000" w:rsidRPr="00000000" w14:paraId="0000014F">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What happens if there is a dispute</w:t>
      </w:r>
    </w:p>
    <w:p w:rsidR="00000000" w:rsidDel="00000000" w:rsidP="00000000" w:rsidRDefault="00000000" w:rsidRPr="00000000" w14:paraId="00000150">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Dispute Resolution Procedure will not apply to any dispute (i) between the </w:t>
      </w:r>
      <w:r w:rsidDel="00000000" w:rsidR="00000000" w:rsidRPr="00000000">
        <w:rPr>
          <w:rtl w:val="0"/>
        </w:rPr>
        <w:t xml:space="preserve">GCA</w:t>
      </w:r>
      <w:r w:rsidDel="00000000" w:rsidR="00000000" w:rsidRPr="00000000">
        <w:rPr>
          <w:color w:val="000000"/>
          <w:rtl w:val="0"/>
        </w:rPr>
        <w:t xml:space="preserve"> and/or the Buyer and/or the Supplier or (ii) between their respective actuaries and/or the Fund Actuary about any of the actuarial matters referred to in this Part D and its Annexes shall in the absence of agreement between the </w:t>
      </w:r>
      <w:r w:rsidDel="00000000" w:rsidR="00000000" w:rsidRPr="00000000">
        <w:rPr>
          <w:rtl w:val="0"/>
        </w:rPr>
        <w:t xml:space="preserve">GCA</w:t>
      </w:r>
      <w:r w:rsidDel="00000000" w:rsidR="00000000" w:rsidRPr="00000000">
        <w:rPr>
          <w:color w:val="000000"/>
          <w:rtl w:val="0"/>
        </w:rPr>
        <w:t xml:space="preserve"> and/or the Buyer and/or the Supplier be referred to an independent Actuary: </w:t>
      </w:r>
    </w:p>
    <w:p w:rsidR="00000000" w:rsidDel="00000000" w:rsidP="00000000" w:rsidRDefault="00000000" w:rsidRPr="00000000" w14:paraId="00000151">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who will act as an expert and not as an arbitrator; </w:t>
      </w:r>
    </w:p>
    <w:p w:rsidR="00000000" w:rsidDel="00000000" w:rsidP="00000000" w:rsidRDefault="00000000" w:rsidRPr="00000000" w14:paraId="00000152">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whose decision will be final and binding on the </w:t>
      </w:r>
      <w:r w:rsidDel="00000000" w:rsidR="00000000" w:rsidRPr="00000000">
        <w:rPr>
          <w:rtl w:val="0"/>
        </w:rPr>
        <w:t xml:space="preserve">GCA</w:t>
      </w:r>
      <w:r w:rsidDel="00000000" w:rsidR="00000000" w:rsidRPr="00000000">
        <w:rPr>
          <w:color w:val="000000"/>
          <w:rtl w:val="0"/>
        </w:rPr>
        <w:t xml:space="preserve"> and/or the Buyer and/or the Supplier; and </w:t>
      </w:r>
    </w:p>
    <w:p w:rsidR="00000000" w:rsidDel="00000000" w:rsidP="00000000" w:rsidRDefault="00000000" w:rsidRPr="00000000" w14:paraId="00000153">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whose expenses shall be borne equally by the </w:t>
      </w:r>
      <w:r w:rsidDel="00000000" w:rsidR="00000000" w:rsidRPr="00000000">
        <w:rPr>
          <w:rtl w:val="0"/>
        </w:rPr>
        <w:t xml:space="preserve">GCA</w:t>
      </w:r>
      <w:r w:rsidDel="00000000" w:rsidR="00000000" w:rsidRPr="00000000">
        <w:rPr>
          <w:color w:val="000000"/>
          <w:rtl w:val="0"/>
        </w:rPr>
        <w:t xml:space="preserve"> and/or the Buyer and/or the Supplier unless the independent Actuary shall otherwise direct.</w:t>
      </w:r>
    </w:p>
    <w:p w:rsidR="00000000" w:rsidDel="00000000" w:rsidP="00000000" w:rsidRDefault="00000000" w:rsidRPr="00000000" w14:paraId="00000154">
      <w:pPr>
        <w:keepNext w:val="1"/>
        <w:pBdr>
          <w:top w:space="0" w:sz="0" w:val="nil"/>
          <w:left w:space="0" w:sz="0" w:val="nil"/>
          <w:bottom w:space="0" w:sz="0" w:val="nil"/>
          <w:right w:space="0" w:sz="0" w:val="nil"/>
          <w:between w:space="0" w:sz="0" w:val="nil"/>
        </w:pBdr>
        <w:spacing w:after="120" w:before="120" w:lineRule="auto"/>
        <w:ind w:left="1134" w:firstLine="0"/>
        <w:jc w:val="left"/>
        <w:rPr>
          <w:color w:val="000000"/>
        </w:rPr>
      </w:pPr>
      <w:r w:rsidDel="00000000" w:rsidR="00000000" w:rsidRPr="00000000">
        <w:rPr>
          <w:color w:val="000000"/>
          <w:rtl w:val="0"/>
        </w:rPr>
        <w:t xml:space="preserve">The independent Actuary shall be agreed by the Parties or, failing such agreement the independent Actuary shall be appointed by the President for the time being of the Institute and Faculty of Actuaries on the application by the Parties. </w:t>
      </w:r>
    </w:p>
    <w:p w:rsidR="00000000" w:rsidDel="00000000" w:rsidP="00000000" w:rsidRDefault="00000000" w:rsidRPr="00000000" w14:paraId="00000155">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Other people’s rights</w:t>
      </w:r>
      <w:r w:rsidDel="00000000" w:rsidR="00000000" w:rsidRPr="00000000">
        <w:rPr>
          <w:rtl w:val="0"/>
        </w:rPr>
      </w:r>
    </w:p>
    <w:p w:rsidR="00000000" w:rsidDel="00000000" w:rsidP="00000000" w:rsidRDefault="00000000" w:rsidRPr="00000000" w14:paraId="00000156">
      <w:pPr>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Parties agree Clause 22.1 </w:t>
      </w:r>
      <w:r w:rsidDel="00000000" w:rsidR="00000000" w:rsidRPr="00000000">
        <w:rPr>
          <w:i w:val="1"/>
          <w:iCs w:val="1"/>
          <w:color w:val="000000"/>
          <w:rtl w:val="0"/>
        </w:rPr>
        <w:t xml:space="preserve">(Other people’s rights in a contract)</w:t>
      </w:r>
      <w:r w:rsidDel="00000000" w:rsidR="00000000" w:rsidRPr="00000000">
        <w:rPr>
          <w:color w:val="000000"/>
          <w:rtl w:val="0"/>
        </w:rPr>
        <w:t xml:space="preserve"> of the General Terms applies and that the CRTPA applies to this Part D to the extent necessary to ensure that any Fair Deal Employee will have the right to enforce any obligation owed to him or her or it by the Supplier under this Part D, in his or her or its own right under section 1(1) of the CRTPA. </w:t>
      </w:r>
    </w:p>
    <w:p w:rsidR="00000000" w:rsidDel="00000000" w:rsidP="00000000" w:rsidRDefault="00000000" w:rsidRPr="00000000" w14:paraId="00000157">
      <w:pPr>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Further, the Supplier must ensure that the CRTPA will apply to any Sub-Contract to the extent necessary to ensure that any Fair Deal Employee will have the right to enforce any obligation owed to them by the Subcontractor in his or her or its own right under section 1(1) of the CRTPA.</w:t>
      </w:r>
    </w:p>
    <w:p w:rsidR="00000000" w:rsidDel="00000000" w:rsidP="00000000" w:rsidRDefault="00000000" w:rsidRPr="00000000" w14:paraId="00000158">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What happens if there is a breach of this Part D</w:t>
      </w:r>
      <w:r w:rsidDel="00000000" w:rsidR="00000000" w:rsidRPr="00000000">
        <w:rPr>
          <w:rtl w:val="0"/>
        </w:rPr>
      </w:r>
    </w:p>
    <w:p w:rsidR="00000000" w:rsidDel="00000000" w:rsidP="00000000" w:rsidRDefault="00000000" w:rsidRPr="00000000" w14:paraId="00000159">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agrees to notify the Buyer</w:t>
      </w:r>
      <w:r w:rsidDel="00000000" w:rsidR="00000000" w:rsidRPr="00000000">
        <w:rPr>
          <w:i w:val="1"/>
          <w:iCs w:val="1"/>
          <w:color w:val="000000"/>
          <w:rtl w:val="0"/>
        </w:rPr>
        <w:t xml:space="preserve"> </w:t>
      </w:r>
      <w:r w:rsidDel="00000000" w:rsidR="00000000" w:rsidRPr="00000000">
        <w:rPr>
          <w:color w:val="000000"/>
          <w:rtl w:val="0"/>
        </w:rPr>
        <w:t xml:space="preserve">should it breach any obligations it has under this Part D and agrees that the Buyer</w:t>
      </w:r>
      <w:r w:rsidDel="00000000" w:rsidR="00000000" w:rsidRPr="00000000">
        <w:rPr>
          <w:i w:val="1"/>
          <w:iCs w:val="1"/>
          <w:color w:val="000000"/>
          <w:rtl w:val="0"/>
        </w:rPr>
        <w:t xml:space="preserve"> </w:t>
      </w:r>
      <w:r w:rsidDel="00000000" w:rsidR="00000000" w:rsidRPr="00000000">
        <w:rPr>
          <w:color w:val="000000"/>
          <w:rtl w:val="0"/>
        </w:rPr>
        <w:t xml:space="preserve">shall be entitled to terminate its Contract for material Default in the event that the Supplier:</w:t>
      </w:r>
    </w:p>
    <w:p w:rsidR="00000000" w:rsidDel="00000000" w:rsidP="00000000" w:rsidRDefault="00000000" w:rsidRPr="00000000" w14:paraId="0000015A">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commits an irremediable breach of any provision or obligation it has under this Part D; or</w:t>
      </w:r>
    </w:p>
    <w:p w:rsidR="00000000" w:rsidDel="00000000" w:rsidP="00000000" w:rsidRDefault="00000000" w:rsidRPr="00000000" w14:paraId="0000015B">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commits a breach of any provision or obligation it has under this Part D which, where capable of remedy, it fails to remedy within a reasonable time and in any event within 28 days of the date of a notice from the Buyer giving particulars of the breach and requiring the Supplier to remedy it.</w:t>
      </w:r>
    </w:p>
    <w:p w:rsidR="00000000" w:rsidDel="00000000" w:rsidP="00000000" w:rsidRDefault="00000000" w:rsidRPr="00000000" w14:paraId="0000015C">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Transferring Fair Deal Employees</w:t>
      </w:r>
      <w:r w:rsidDel="00000000" w:rsidR="00000000" w:rsidRPr="00000000">
        <w:rPr>
          <w:rtl w:val="0"/>
        </w:rPr>
      </w:r>
    </w:p>
    <w:p w:rsidR="00000000" w:rsidDel="00000000" w:rsidP="00000000" w:rsidRDefault="00000000" w:rsidRPr="00000000" w14:paraId="0000015D">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Save on expiry or termination of the relevant Contract, if the employment of any Fair Deal Eligible Employee transfers to another employer (by way of a transfer under the Employment Regulations or other form of compulsory transfer of employment) the Supplier shall or shall procure that any relevant Sub-contractor shall:</w:t>
      </w:r>
    </w:p>
    <w:p w:rsidR="00000000" w:rsidDel="00000000" w:rsidP="00000000" w:rsidRDefault="00000000" w:rsidRPr="00000000" w14:paraId="0000015E">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notify the Buyer as far as reasonably practicable in advance of the transfer to allow the Buyer to make the necessary arrangements for participation with the relevant Statutory Scheme(s);</w:t>
      </w:r>
    </w:p>
    <w:p w:rsidR="00000000" w:rsidDel="00000000" w:rsidP="00000000" w:rsidRDefault="00000000" w:rsidRPr="00000000" w14:paraId="0000015F">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consult with about, and inform those Fair Deal Eligible Employees of the pension provisions relating to that transfer; and</w:t>
      </w:r>
    </w:p>
    <w:p w:rsidR="00000000" w:rsidDel="00000000" w:rsidP="00000000" w:rsidRDefault="00000000" w:rsidRPr="00000000" w14:paraId="00000160">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procure that the employer to which the Fair Deal Eligible Employees are transferred (the </w:t>
      </w:r>
      <w:r w:rsidDel="00000000" w:rsidR="00000000" w:rsidRPr="00000000">
        <w:rPr>
          <w:b w:val="1"/>
          <w:bCs w:val="1"/>
          <w:color w:val="000000"/>
          <w:rtl w:val="0"/>
        </w:rPr>
        <w:t xml:space="preserve">"New Employer"</w:t>
      </w:r>
      <w:r w:rsidDel="00000000" w:rsidR="00000000" w:rsidRPr="00000000">
        <w:rPr>
          <w:color w:val="000000"/>
          <w:rtl w:val="0"/>
        </w:rPr>
        <w:t xml:space="preserve">) complies with the provisions of this Part D and its Annexes provided that references to the "Supplier" will become references to the New Employer, references to "Relevant Transfer Date" will become references to the date of the transfer to the New Employer and references to "Fair Deal Employees" will become references to the Fair Deal Eligible Employees so transferred to the New Employer.</w:t>
      </w:r>
    </w:p>
    <w:p w:rsidR="00000000" w:rsidDel="00000000" w:rsidP="00000000" w:rsidRDefault="00000000" w:rsidRPr="00000000" w14:paraId="00000161">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b w:val="1"/>
          <w:bCs w:val="1"/>
          <w:smallCaps w:val="1"/>
          <w:color w:val="000000"/>
          <w:rtl w:val="0"/>
        </w:rPr>
        <w:t xml:space="preserve">W</w:t>
      </w:r>
      <w:r w:rsidDel="00000000" w:rsidR="00000000" w:rsidRPr="00000000">
        <w:rPr>
          <w:rFonts w:ascii="Arial" w:cs="Arial" w:eastAsia="Arial" w:hAnsi="Arial"/>
          <w:b w:val="1"/>
          <w:bCs w:val="1"/>
          <w:color w:val="000000"/>
          <w:rtl w:val="0"/>
        </w:rPr>
        <w:t xml:space="preserve">hat happens to pensions if the Contract ends</w:t>
      </w:r>
      <w:r w:rsidDel="00000000" w:rsidR="00000000" w:rsidRPr="00000000">
        <w:rPr>
          <w:rtl w:val="0"/>
        </w:rPr>
      </w:r>
    </w:p>
    <w:p w:rsidR="00000000" w:rsidDel="00000000" w:rsidP="00000000" w:rsidRDefault="00000000" w:rsidRPr="00000000" w14:paraId="00000162">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provisions of Part E: Staff Transfer On Exit (Mandatory) apply in relation to pension issues on expiry or termination of the relevant Contract.</w:t>
      </w:r>
    </w:p>
    <w:p w:rsidR="00000000" w:rsidDel="00000000" w:rsidP="00000000" w:rsidRDefault="00000000" w:rsidRPr="00000000" w14:paraId="00000163">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(and shall procure that any of its Subcontractors shall) prior to the termination of the relevant Contract provide all such co-operation and assistance (including co-operation and assistance from the Broadly Comparable pension scheme’s Actuary) as the Replacement Supplier and/or NHS Pension and/or CSPS and/or the relevant Administering Buyer and/or the Buyer may reasonably require, to enable the Replacement Supplier to participate in the appropriate Statutory Scheme in respect of any Fair Deal Eligible Employee that remains eligible for New Fair Deal protection following a Service Transfer.</w:t>
      </w:r>
    </w:p>
    <w:p w:rsidR="00000000" w:rsidDel="00000000" w:rsidP="00000000" w:rsidRDefault="00000000" w:rsidRPr="00000000" w14:paraId="00000164">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b w:val="1"/>
          <w:bCs w:val="1"/>
          <w:smallCaps w:val="1"/>
          <w:color w:val="000000"/>
          <w:rtl w:val="0"/>
        </w:rPr>
        <w:t xml:space="preserve">B</w:t>
      </w:r>
      <w:r w:rsidDel="00000000" w:rsidR="00000000" w:rsidRPr="00000000">
        <w:rPr>
          <w:rFonts w:ascii="Arial" w:cs="Arial" w:eastAsia="Arial" w:hAnsi="Arial"/>
          <w:b w:val="1"/>
          <w:bCs w:val="1"/>
          <w:color w:val="000000"/>
          <w:rtl w:val="0"/>
        </w:rPr>
        <w:t xml:space="preserve">roadly Comparable Pension Schemes on the Relevant Transfer Date</w:t>
      </w:r>
    </w:p>
    <w:p w:rsidR="00000000" w:rsidDel="00000000" w:rsidP="00000000" w:rsidRDefault="00000000" w:rsidRPr="00000000" w14:paraId="00000165">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fwokq0" w:id="38"/>
      <w:bookmarkEnd w:id="38"/>
      <w:r w:rsidDel="00000000" w:rsidR="00000000" w:rsidRPr="00000000">
        <w:rPr>
          <w:color w:val="000000"/>
          <w:rtl w:val="0"/>
        </w:rPr>
        <w:t xml:space="preserve">If the terms of any of Paragraphs 4 of Annex D2: NHSPS or 3.1 of Annex D3: LGPS applies, the Supplier must (and must, where relevant, procure that each of its Subcontractors will) ensure that, with effect from the Relevant Transfer Date until the day before the Service Transfer Date, the relevant Fair Deal Employees will be eligible for membership of a pension scheme under which the benefits are Broadly Comparable to those provided under the relevant Statutory Scheme, and then on such terms as may be decided by the Buyer.</w:t>
      </w:r>
    </w:p>
    <w:p w:rsidR="00000000" w:rsidDel="00000000" w:rsidP="00000000" w:rsidRDefault="00000000" w:rsidRPr="00000000" w14:paraId="00000166">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Such Broadly Comparable pension scheme must be:  </w:t>
      </w:r>
    </w:p>
    <w:p w:rsidR="00000000" w:rsidDel="00000000" w:rsidP="00000000" w:rsidRDefault="00000000" w:rsidRPr="00000000" w14:paraId="00000167">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established by the Relevant Transfer Date</w:t>
      </w:r>
      <w:r w:rsidDel="00000000" w:rsidR="00000000" w:rsidRPr="00000000">
        <w:rPr>
          <w:color w:val="000000"/>
          <w:vertAlign w:val="superscript"/>
        </w:rPr>
        <w:footnoteReference w:customMarkFollows="0" w:id="1"/>
      </w:r>
      <w:r w:rsidDel="00000000" w:rsidR="00000000" w:rsidRPr="00000000">
        <w:rPr>
          <w:color w:val="000000"/>
          <w:rtl w:val="0"/>
        </w:rPr>
        <w:t xml:space="preserve">;</w:t>
      </w:r>
    </w:p>
    <w:p w:rsidR="00000000" w:rsidDel="00000000" w:rsidP="00000000" w:rsidRDefault="00000000" w:rsidRPr="00000000" w14:paraId="00000168">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registered pension scheme for the purposes of Part 4 of the Finance Act 2004; </w:t>
      </w:r>
    </w:p>
    <w:p w:rsidR="00000000" w:rsidDel="00000000" w:rsidP="00000000" w:rsidRDefault="00000000" w:rsidRPr="00000000" w14:paraId="00000169">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capable of receiving a bulk transfer payment from the relevant Statutory Scheme or from a Former Supplier’s Broadly Comparable pension scheme (unless otherwise instructed by the Buyer); </w:t>
      </w:r>
    </w:p>
    <w:p w:rsidR="00000000" w:rsidDel="00000000" w:rsidP="00000000" w:rsidRDefault="00000000" w:rsidRPr="00000000" w14:paraId="0000016A">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capable of paying a bulk transfer payment to the Replacement Supplier’s Broadly Comparable pension scheme (or the relevant Statutory Scheme if applicable) (unless otherwise instructed by the Buyer); and </w:t>
      </w:r>
    </w:p>
    <w:p w:rsidR="00000000" w:rsidDel="00000000" w:rsidP="00000000" w:rsidRDefault="00000000" w:rsidRPr="00000000" w14:paraId="0000016B">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maintained until such bulk transfer payments have been received or paid (unless otherwise instructed by the Buyer).  </w:t>
      </w:r>
    </w:p>
    <w:p w:rsidR="00000000" w:rsidDel="00000000" w:rsidP="00000000" w:rsidRDefault="00000000" w:rsidRPr="00000000" w14:paraId="0000016C">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Where the Supplier has set up a Broadly Comparable pension scheme pursuant to the provisions of this Paragraph 10, the Supplier shall (and shall procure that any of its Subcontractors shall):</w:t>
      </w:r>
    </w:p>
    <w:p w:rsidR="00000000" w:rsidDel="00000000" w:rsidP="00000000" w:rsidRDefault="00000000" w:rsidRPr="00000000" w14:paraId="0000016D">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supply to the Buyer details of its (or its Subcontractor’s) Broadly Comparable pension scheme and provide a full copy of the valid certificate of broad comparability (which remains valid as at the Relevant Transfer Date) covering all relevant Fair Deal Employees, as soon as it is able to do so before the Relevant Transfer Date (where possible) and in any event no later than seven (7) days after receipt of the certificate;</w:t>
      </w:r>
    </w:p>
    <w:p w:rsidR="00000000" w:rsidDel="00000000" w:rsidP="00000000" w:rsidRDefault="00000000" w:rsidRPr="00000000" w14:paraId="0000016E">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be fully responsible for all costs, contributions, payments and other amounts relating to the setting up, certification of, ongoing participation in and/or withdrawal and exit from the Broadly Comparable pension scheme, including for the avoidance of doubt any debts arising under section 75 or 75A of the Pensions Act 1995;</w:t>
      </w:r>
    </w:p>
    <w:p w:rsidR="00000000" w:rsidDel="00000000" w:rsidP="00000000" w:rsidRDefault="00000000" w:rsidRPr="00000000" w14:paraId="0000016F">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instruct any such Broadly Comparable pension scheme’s Actuary to provide all such co-operation and assistance in agreeing bulk transfer process with the Actuary to the Former Supplier’s Broadly Comparable pension scheme or the Actuary to the relevant Statutory Scheme (as appropriate) and to provide all such co-operation and assistance with any other Actuary appointed by the Buyer (where applicable). This will be with a view to the bulk transfer terms providing day for day and/or pound for pound (as applicable) (or actuarially equivalent where there are benefit differences between the two schemes) credits in the Broadly Comparable pension scheme in respect of any Fair Deal Eligible Employee who consents to such a transfer</w:t>
      </w:r>
      <w:r w:rsidDel="00000000" w:rsidR="00000000" w:rsidRPr="00000000">
        <w:rPr>
          <w:color w:val="000000"/>
          <w:vertAlign w:val="superscript"/>
        </w:rPr>
        <w:footnoteReference w:customMarkFollows="0" w:id="2"/>
      </w:r>
      <w:r w:rsidDel="00000000" w:rsidR="00000000" w:rsidRPr="00000000">
        <w:rPr>
          <w:color w:val="000000"/>
          <w:rtl w:val="0"/>
        </w:rPr>
        <w:t xml:space="preserve">; and</w:t>
      </w:r>
    </w:p>
    <w:p w:rsidR="00000000" w:rsidDel="00000000" w:rsidP="00000000" w:rsidRDefault="00000000" w:rsidRPr="00000000" w14:paraId="00000170">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provide a replacement Broadly Comparable pension scheme in accordance with this Paragraph 10 with immediate effect for those Fair Deal Eligible Employees who are still employed by the Supplier and/or relevant Subcontractor and are still eligible for New Fair Deal protection in the event that the Supplier and/or Subcontractor's Broadly Comparable pension scheme is terminated. The relevant Fair Deal Eligible Employees must be given the option to transfer their accrued benefits from the previous Broadly Comparable pension scheme to the new Broadly Comparable pension scheme on day for day and/or pound for pound terms (as applicable) (or actuarially equivalent where there are benefit differences between the two schemes). </w:t>
      </w:r>
    </w:p>
    <w:p w:rsidR="00000000" w:rsidDel="00000000" w:rsidP="00000000" w:rsidRDefault="00000000" w:rsidRPr="00000000" w14:paraId="00000171">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Where the Supplier has provided a Broadly Comparable pension scheme pursuant to the provisions of this Paragraph 10, the Supplier shall (and shall procure that any of its Subcontractors shall) prior to the termination of the relevant Contract:</w:t>
      </w:r>
    </w:p>
    <w:p w:rsidR="00000000" w:rsidDel="00000000" w:rsidP="00000000" w:rsidRDefault="00000000" w:rsidRPr="00000000" w14:paraId="00000172">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allow and make all necessary arrangements to effect, in respect of any Fair Deal Eligible Employee that remains eligible for New Fair Deal protection, following a Service Transfer, the bulk transfer of past service from any such Broadly Comparable pension scheme into the Replacement Supplier’s Broadly Comparable pension scheme (or the relevant Statutory Scheme if applicable). The bulk transfer terms provided shall be on a past service reserve basis which should be calculated allowing for projected final salary at the assumed date of retirement, leaving service or death (in the case of final salary benefits). The actuarial basis for this past service reserve basis should be aligned to the funding requirements of the Broadly Comparable pension scheme in place at the time the bulk transfer terms are offered. The bulk transfer terms shall be subject to an underpin in relation to any service credits awarded in the Broadly Comparable pension scheme in accordance with Paragraph 10.3.3 such that the element of the past service reserve amount which relates to such service credits shall be no lower than that required by the bulk transfer terms that were agreed in accordance with Paragraph 10.3.3 but using the last day of the Fair Deal Eligible Employees’ employment with the Supplier or Subcontractor (as appropriate) as the date used to determine the actuarial assumptions; and </w:t>
      </w:r>
    </w:p>
    <w:p w:rsidR="00000000" w:rsidDel="00000000" w:rsidP="00000000" w:rsidRDefault="00000000" w:rsidRPr="00000000" w14:paraId="00000173">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if the transfer payment paid by the trustees of the Broadly Comparable pension scheme is less (in the opinion of the Actuary to the Replacement Supplier’s Broadly Comparable pension scheme (or to the relevant Statutory Scheme if applicable)) than the transfer payment which would have been paid had Paragraph 10.4.1 been complied with, the Supplier shall (or shall procure that the Subcontractor shall) pay the amount of the difference to the Replacement Supplier’s Broadly Comparable pension scheme (or relevant Statutory Scheme if applicable) or as the Buyer shall otherwise direct. The Supplier shall indemnify the Buyer or the Replacement Supplier’s Broadly Comparable pension scheme (or the relevant Statutory Scheme if applicable) (as the Buyer directs) for any failure to pay the difference as required under this Paragraph.</w:t>
      </w:r>
    </w:p>
    <w:p w:rsidR="00000000" w:rsidDel="00000000" w:rsidP="00000000" w:rsidRDefault="00000000" w:rsidRPr="00000000" w14:paraId="00000174">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b w:val="1"/>
          <w:bCs w:val="1"/>
          <w:color w:val="000000"/>
          <w:rtl w:val="0"/>
        </w:rPr>
        <w:t xml:space="preserve">Broadly Comparable Pension Scheme in Other Circumstances</w:t>
      </w:r>
      <w:r w:rsidDel="00000000" w:rsidR="00000000" w:rsidRPr="00000000">
        <w:rPr>
          <w:rtl w:val="0"/>
        </w:rPr>
      </w:r>
    </w:p>
    <w:p w:rsidR="00000000" w:rsidDel="00000000" w:rsidP="00000000" w:rsidRDefault="00000000" w:rsidRPr="00000000" w14:paraId="00000175">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If the terms of any of Paragraphs 2.2 of Annex D1: CSPS, 5.2 of Annex D2: NHSPS and/or 3.2 of Annex D3: LGPS apply, the Supplier must (and must, where relevant, procure that each of its Subcontractors will) ensure that, with effect from the cessation of participation in the Statutory Scheme, until the day before the Service Transfer Date, the relevant Fair Deal Eligible Employees will be eligible for membership of a pension scheme under which the benefits are Broadly Comparable to those provided under the relevant Statutory Scheme at the date of cessation of participation in the relevant Statutory Scheme, and then on such terms as may be decided by the Buyer.</w:t>
      </w:r>
    </w:p>
    <w:p w:rsidR="00000000" w:rsidDel="00000000" w:rsidP="00000000" w:rsidRDefault="00000000" w:rsidRPr="00000000" w14:paraId="00000176">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Such Broadly Comparable pension scheme must be:  </w:t>
      </w:r>
    </w:p>
    <w:p w:rsidR="00000000" w:rsidDel="00000000" w:rsidP="00000000" w:rsidRDefault="00000000" w:rsidRPr="00000000" w14:paraId="00000177">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established by the date of cessation of participation in the Statutory Scheme</w:t>
      </w:r>
      <w:r w:rsidDel="00000000" w:rsidR="00000000" w:rsidRPr="00000000">
        <w:rPr>
          <w:color w:val="000000"/>
          <w:vertAlign w:val="superscript"/>
        </w:rPr>
        <w:footnoteReference w:customMarkFollows="0" w:id="3"/>
      </w:r>
      <w:r w:rsidDel="00000000" w:rsidR="00000000" w:rsidRPr="00000000">
        <w:rPr>
          <w:color w:val="000000"/>
          <w:rtl w:val="0"/>
        </w:rPr>
        <w:t xml:space="preserve">; </w:t>
      </w:r>
    </w:p>
    <w:p w:rsidR="00000000" w:rsidDel="00000000" w:rsidP="00000000" w:rsidRDefault="00000000" w:rsidRPr="00000000" w14:paraId="00000178">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registered pension scheme for the purposes of Part 4 of the Finance Act 2004; </w:t>
      </w:r>
    </w:p>
    <w:p w:rsidR="00000000" w:rsidDel="00000000" w:rsidP="00000000" w:rsidRDefault="00000000" w:rsidRPr="00000000" w14:paraId="00000179">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capable of receiving a bulk transfer payment from the relevant Statutory Scheme (where instructed to do so by the Buyer); </w:t>
      </w:r>
    </w:p>
    <w:p w:rsidR="00000000" w:rsidDel="00000000" w:rsidP="00000000" w:rsidRDefault="00000000" w:rsidRPr="00000000" w14:paraId="0000017A">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capable of paying a bulk transfer payment to the Replacement Supplier’s Broadly Comparable pension scheme (or the relevant Statutory Scheme if applicable) (unless otherwise instructed by the Buyer); and </w:t>
      </w:r>
    </w:p>
    <w:p w:rsidR="00000000" w:rsidDel="00000000" w:rsidP="00000000" w:rsidRDefault="00000000" w:rsidRPr="00000000" w14:paraId="0000017B">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maintained until such bulk transfer payments have been received or paid (unless otherwise instructed by the Buyer).  </w:t>
      </w:r>
    </w:p>
    <w:p w:rsidR="00000000" w:rsidDel="00000000" w:rsidP="00000000" w:rsidRDefault="00000000" w:rsidRPr="00000000" w14:paraId="0000017C">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Where the Supplier has provided a Broadly Comparable pension scheme pursuant to the provisions of this Paragraph 11, the Supplier shall (and shall procure that any of its Subcontractors shall):</w:t>
      </w:r>
    </w:p>
    <w:p w:rsidR="00000000" w:rsidDel="00000000" w:rsidP="00000000" w:rsidRDefault="00000000" w:rsidRPr="00000000" w14:paraId="0000017D">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supply to the Buyer details of its (or its Subcontractor’s) Broadly Comparable pension scheme and provide a full copy of the valid certificate of broad comparability (which remains valid as at the date of cessation of participation in the Statutory Scheme) covering all relevant Fair Deal Eligible Employees, as soon as it is able to do so before the cessation of participation in the Statutory Scheme (where possible) and in any event no later than seven (7) days after receipt of the certificate;</w:t>
      </w:r>
    </w:p>
    <w:p w:rsidR="00000000" w:rsidDel="00000000" w:rsidP="00000000" w:rsidRDefault="00000000" w:rsidRPr="00000000" w14:paraId="0000017E">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be fully responsible for all costs, contributions, payments and other amounts relating to the setting up, certification of, ongoing participation in and/or withdrawal and exit from the Broadly Comparable pension scheme, including for the avoidance of doubt any debts arising under section 75 or 75A of the Pensions Act 1995;   </w:t>
      </w:r>
    </w:p>
    <w:p w:rsidR="00000000" w:rsidDel="00000000" w:rsidP="00000000" w:rsidRDefault="00000000" w:rsidRPr="00000000" w14:paraId="0000017F">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where required to do so by the Buyer, instruct any such Broadly Comparable pension scheme’s Actuary to provide all such co-operation and assistance in agreeing a bulk transfer process with the Actuary to the relevant Statutory Scheme and to provide all such co-operation and assistance with any other Actuary appointed by the Buyer (where applicable). The Supplier must ensure that day for day and/or pound for pound (as applicable) (or actuarially equivalent where there are benefit differences between the two schemes) credits in the Broadly Comparable pension scheme are provided in respect of any Fair Deal Employee who consents to such a transfer from the Statutory Scheme and the Supplier shall be fully responsible for any costs of providing those credits in excess of the bulk transfer payment received by the Broadly Comparable pension scheme</w:t>
      </w:r>
      <w:r w:rsidDel="00000000" w:rsidR="00000000" w:rsidRPr="00000000">
        <w:rPr>
          <w:color w:val="000000"/>
          <w:vertAlign w:val="superscript"/>
        </w:rPr>
        <w:footnoteReference w:customMarkFollows="0" w:id="4"/>
      </w:r>
      <w:r w:rsidDel="00000000" w:rsidR="00000000" w:rsidRPr="00000000">
        <w:rPr>
          <w:color w:val="000000"/>
          <w:rtl w:val="0"/>
        </w:rPr>
        <w:t xml:space="preserve">; and  </w:t>
      </w:r>
    </w:p>
    <w:p w:rsidR="00000000" w:rsidDel="00000000" w:rsidP="00000000" w:rsidRDefault="00000000" w:rsidRPr="00000000" w14:paraId="00000180">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provide a replacement Broadly Comparable pension scheme in accordance with this Paragraph 11 with immediate effect for those Fair Deal Eligible Employees who are still employed by the Supplier and/or relevant Subcontractor and are still eligible for New Fair Deal protection in the event that the Supplier and/or Subcontractor's Broadly Comparable pension scheme is closed to future accrual and/or terminated. The relevant Fair Deal Eligible Employees must be given the option to transfer their accrued benefits from the previous Broadly Comparable pension scheme to the new Broadly Comparable pension scheme on day for day and/or pound for pound terms (as applicable) (or actuarially equivalent where there are benefit differences between the two schemes). </w:t>
      </w:r>
    </w:p>
    <w:p w:rsidR="00000000" w:rsidDel="00000000" w:rsidP="00000000" w:rsidRDefault="00000000" w:rsidRPr="00000000" w14:paraId="00000181">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Where the Supplier has provided a Broadly Comparable pension scheme pursuant to the provisions of this Paragraph 11, the Supplier shall (and shall procure that any of its Subcontractors shall) prior to the termination of the relevant Contract allow and make all necessary arrangements to effect, in respect of any Fair Deal Eligible Employee that remains eligible for New Fair Deal protection, following a Service Transfer, the bulk transfer of past service from any such Broadly Comparable pension scheme into the Replacement Supplier’s Broadly Comparable pension scheme (or relevant Statutory Scheme if applicable). The bulk transfer terms provided shall be sufficient to secure day for day and/or pound for pound credits (as applicable) (or actuarially equivalent where there are benefit differences between the two schemes) in the Replacement Supplier’s Broadly Comparable pension scheme (or relevant Statutory Scheme if applicable). For the avoidance of doubt, should the amount offered by the Broadly Comparable pension scheme be less than the amount required by the Replacement Supplier’s Broadly Comparable pension scheme (or the relevant Statutory Scheme if applicable) to fund the required credits (“</w:t>
      </w:r>
      <w:r w:rsidDel="00000000" w:rsidR="00000000" w:rsidRPr="00000000">
        <w:rPr>
          <w:b w:val="1"/>
          <w:bCs w:val="1"/>
          <w:color w:val="000000"/>
          <w:rtl w:val="0"/>
        </w:rPr>
        <w:t xml:space="preserve">the Shortfall</w:t>
      </w:r>
      <w:r w:rsidDel="00000000" w:rsidR="00000000" w:rsidRPr="00000000">
        <w:rPr>
          <w:color w:val="000000"/>
          <w:rtl w:val="0"/>
        </w:rPr>
        <w:t xml:space="preserve">”), the Supplier or the Subcontractor (as agreed between them) must pay the Replacement Supplier’s Broadly Comparable pension scheme (or relevant Statutory Scheme if applicable) the Shortfall as required, provided that in the absence of any agreement between the Supplier and any Subcontractor, the Shortfall shall be paid by the Supplier. The Supplier shall indemnify the Buyer or the Replacement Supplier’s Broadly Comparable pension scheme (or the relevant Statutory Scheme if applicable) (as the Buyer directs) for any failure to pay the Shortfall under this Paragraph. </w:t>
      </w:r>
    </w:p>
    <w:p w:rsidR="00000000" w:rsidDel="00000000" w:rsidP="00000000" w:rsidRDefault="00000000" w:rsidRPr="00000000" w14:paraId="00000182">
      <w:pPr>
        <w:keepNext w:val="1"/>
        <w:numPr>
          <w:ilvl w:val="0"/>
          <w:numId w:val="1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b w:val="1"/>
          <w:bCs w:val="1"/>
          <w:color w:val="000000"/>
          <w:rtl w:val="0"/>
        </w:rPr>
        <w:t xml:space="preserve">Right of Set-off</w:t>
      </w:r>
    </w:p>
    <w:p w:rsidR="00000000" w:rsidDel="00000000" w:rsidP="00000000" w:rsidRDefault="00000000" w:rsidRPr="00000000" w14:paraId="00000183">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Buyer shall have a right to set off against any payments due to the Supplier under the relevant Contract an amount equal to: </w:t>
      </w:r>
    </w:p>
    <w:p w:rsidR="00000000" w:rsidDel="00000000" w:rsidP="00000000" w:rsidRDefault="00000000" w:rsidRPr="00000000" w14:paraId="00000184">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1v1yuxt" w:id="39"/>
      <w:bookmarkEnd w:id="39"/>
      <w:r w:rsidDel="00000000" w:rsidR="00000000" w:rsidRPr="00000000">
        <w:rPr>
          <w:color w:val="000000"/>
          <w:rtl w:val="0"/>
        </w:rPr>
        <w:t xml:space="preserve">any unpaid employer’s contributions or employee’s contributions or any other financial obligations under the CSPS or any CSPS Admission Agreement in respect of the CSPS Eligible Employees whether due from the Supplier or from any relevant Subcontractor or due from any third party under any indemnity, bond or guarantee;</w:t>
      </w:r>
    </w:p>
    <w:p w:rsidR="00000000" w:rsidDel="00000000" w:rsidP="00000000" w:rsidRDefault="00000000" w:rsidRPr="00000000" w14:paraId="00000185">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unpaid employer’s contributions or employee’s contributions or any other financial obligations under the NHSPS or any Direction Letter/Determination in respect of the NHSPS Eligible Employees whether due from the Supplier or from any relevant Subcontractor or due from any third party under any indemnity, bond or guarantee; or</w:t>
      </w:r>
    </w:p>
    <w:p w:rsidR="00000000" w:rsidDel="00000000" w:rsidP="00000000" w:rsidRDefault="00000000" w:rsidRPr="00000000" w14:paraId="00000186">
      <w:pPr>
        <w:numPr>
          <w:ilvl w:val="2"/>
          <w:numId w:val="12"/>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unpaid employer’s contributions or employee’s contributions or any other financial obligations under the LGPS or any LGPS Admission Agreement in respect of the LGPS Eligible Employees whether due from the Supplier or from any relevant Subcontractor or due from any third party under any indemnity, bond or guarantee;</w:t>
      </w:r>
    </w:p>
    <w:p w:rsidR="00000000" w:rsidDel="00000000" w:rsidP="00000000" w:rsidRDefault="00000000" w:rsidRPr="00000000" w14:paraId="00000187">
      <w:pPr>
        <w:pStyle w:val="Heading4"/>
        <w:spacing w:after="120" w:before="120" w:lineRule="auto"/>
        <w:ind w:left="1123" w:firstLine="10.999999999999943"/>
        <w:jc w:val="left"/>
        <w:rPr>
          <w:rFonts w:ascii="Arial" w:cs="Arial" w:eastAsia="Arial" w:hAnsi="Arial"/>
        </w:rPr>
      </w:pPr>
      <w:bookmarkStart w:colFirst="0" w:colLast="0" w:name="_heading=h.4f1mdlm" w:id="40"/>
      <w:bookmarkEnd w:id="40"/>
      <w:r w:rsidDel="00000000" w:rsidR="00000000" w:rsidRPr="00000000">
        <w:rPr>
          <w:rFonts w:ascii="Arial" w:cs="Arial" w:eastAsia="Arial" w:hAnsi="Arial"/>
          <w:rtl w:val="0"/>
        </w:rPr>
        <w:t xml:space="preserve">and shall pay such set off amount to the relevant Statutory Scheme. </w:t>
      </w:r>
    </w:p>
    <w:p w:rsidR="00000000" w:rsidDel="00000000" w:rsidP="00000000" w:rsidRDefault="00000000" w:rsidRPr="00000000" w14:paraId="00000188">
      <w:pPr>
        <w:keepNext w:val="1"/>
        <w:numPr>
          <w:ilvl w:val="1"/>
          <w:numId w:val="1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Buyer shall also have a right to set off against any payments due to the Supplier under the relevant Contract all reasonable costs and expenses incurred by the Buyer as result of Paragraph 12.1 above.</w:t>
      </w:r>
    </w:p>
    <w:p w:rsidR="00000000" w:rsidDel="00000000" w:rsidP="00000000" w:rsidRDefault="00000000" w:rsidRPr="00000000" w14:paraId="00000189">
      <w:pPr>
        <w:spacing w:after="120" w:before="120" w:lineRule="auto"/>
        <w:jc w:val="left"/>
        <w:rPr>
          <w:rFonts w:ascii="Arial" w:cs="Arial" w:eastAsia="Arial" w:hAnsi="Arial"/>
          <w:b w:val="1"/>
          <w:bCs w:val="1"/>
          <w:sz w:val="36"/>
          <w:szCs w:val="36"/>
        </w:rPr>
      </w:pPr>
      <w:r w:rsidDel="00000000" w:rsidR="00000000" w:rsidRPr="00000000">
        <w:br w:type="page"/>
      </w:r>
      <w:r w:rsidDel="00000000" w:rsidR="00000000" w:rsidRPr="00000000">
        <w:rPr>
          <w:rFonts w:ascii="Arial" w:cs="Arial" w:eastAsia="Arial" w:hAnsi="Arial"/>
          <w:b w:val="1"/>
          <w:bCs w:val="1"/>
          <w:sz w:val="36"/>
          <w:szCs w:val="36"/>
          <w:rtl w:val="0"/>
        </w:rPr>
        <w:t xml:space="preserve">Annex D1: </w:t>
      </w:r>
    </w:p>
    <w:p w:rsidR="00000000" w:rsidDel="00000000" w:rsidP="00000000" w:rsidRDefault="00000000" w:rsidRPr="00000000" w14:paraId="0000018A">
      <w:pPr>
        <w:spacing w:after="120" w:before="120" w:lineRule="auto"/>
        <w:jc w:val="left"/>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Civil Service Pensions Schemes (CSPS)</w:t>
      </w:r>
    </w:p>
    <w:p w:rsidR="00000000" w:rsidDel="00000000" w:rsidP="00000000" w:rsidRDefault="00000000" w:rsidRPr="00000000" w14:paraId="0000018B">
      <w:pPr>
        <w:keepNext w:val="1"/>
        <w:pBdr>
          <w:top w:space="0" w:sz="0" w:val="nil"/>
          <w:left w:space="0" w:sz="0" w:val="nil"/>
          <w:bottom w:space="0" w:sz="0" w:val="nil"/>
          <w:right w:space="0" w:sz="0" w:val="nil"/>
          <w:between w:space="0" w:sz="0" w:val="nil"/>
        </w:pBdr>
        <w:spacing w:after="120" w:before="120" w:lineRule="auto"/>
        <w:ind w:left="357" w:firstLine="0"/>
        <w:jc w:val="left"/>
        <w:rPr>
          <w:b w:val="1"/>
          <w:bCs w:val="1"/>
          <w:smallCaps w:val="1"/>
          <w:color w:val="000000"/>
        </w:rPr>
      </w:pPr>
      <w:r w:rsidDel="00000000" w:rsidR="00000000" w:rsidRPr="00000000">
        <w:rPr>
          <w:rtl w:val="0"/>
        </w:rPr>
      </w:r>
    </w:p>
    <w:p w:rsidR="00000000" w:rsidDel="00000000" w:rsidP="00000000" w:rsidRDefault="00000000" w:rsidRPr="00000000" w14:paraId="0000018C">
      <w:pPr>
        <w:keepNext w:val="1"/>
        <w:numPr>
          <w:ilvl w:val="0"/>
          <w:numId w:val="20"/>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b w:val="1"/>
          <w:bCs w:val="1"/>
          <w:smallCaps w:val="1"/>
          <w:color w:val="000000"/>
          <w:rtl w:val="0"/>
        </w:rPr>
        <w:t xml:space="preserve">D</w:t>
      </w:r>
      <w:r w:rsidDel="00000000" w:rsidR="00000000" w:rsidRPr="00000000">
        <w:rPr>
          <w:rFonts w:ascii="Arial" w:cs="Arial" w:eastAsia="Arial" w:hAnsi="Arial"/>
          <w:b w:val="1"/>
          <w:bCs w:val="1"/>
          <w:color w:val="000000"/>
          <w:rtl w:val="0"/>
        </w:rPr>
        <w:t xml:space="preserve">efinitions</w:t>
      </w:r>
      <w:r w:rsidDel="00000000" w:rsidR="00000000" w:rsidRPr="00000000">
        <w:rPr>
          <w:rtl w:val="0"/>
        </w:rPr>
      </w:r>
    </w:p>
    <w:p w:rsidR="00000000" w:rsidDel="00000000" w:rsidP="00000000" w:rsidRDefault="00000000" w:rsidRPr="00000000" w14:paraId="0000018D">
      <w:pPr>
        <w:keepNext w:val="1"/>
        <w:spacing w:after="120" w:before="120" w:lineRule="auto"/>
        <w:ind w:left="426" w:hanging="11.000000000000014"/>
        <w:jc w:val="left"/>
        <w:rPr/>
      </w:pPr>
      <w:r w:rsidDel="00000000" w:rsidR="00000000" w:rsidRPr="00000000">
        <w:rPr>
          <w:rtl w:val="0"/>
        </w:rPr>
        <w:t xml:space="preserve">In this Annex D1: CSPS to Part D: Pensions, the following words have the following meanings and they shall supplement Joint Schedule 1 </w:t>
      </w:r>
      <w:r w:rsidDel="00000000" w:rsidR="00000000" w:rsidRPr="00000000">
        <w:rPr>
          <w:i w:val="1"/>
          <w:iCs w:val="1"/>
          <w:rtl w:val="0"/>
        </w:rPr>
        <w:t xml:space="preserve">(Definitions)</w:t>
      </w:r>
      <w:r w:rsidDel="00000000" w:rsidR="00000000" w:rsidRPr="00000000">
        <w:rPr>
          <w:rtl w:val="0"/>
        </w:rPr>
        <w:t xml:space="preserve">:</w:t>
      </w:r>
    </w:p>
    <w:tbl>
      <w:tblPr>
        <w:tblStyle w:val="Table3"/>
        <w:tblW w:w="9378.0" w:type="dxa"/>
        <w:jc w:val="left"/>
        <w:tblInd w:w="-115.0" w:type="dxa"/>
        <w:tblLayout w:type="fixed"/>
        <w:tblLook w:val="0400"/>
      </w:tblPr>
      <w:tblGrid>
        <w:gridCol w:w="2835"/>
        <w:gridCol w:w="6543"/>
        <w:tblGridChange w:id="0">
          <w:tblGrid>
            <w:gridCol w:w="2835"/>
            <w:gridCol w:w="6543"/>
          </w:tblGrid>
        </w:tblGridChange>
      </w:tblGrid>
      <w:tr>
        <w:trPr>
          <w:cantSplit w:val="0"/>
          <w:tblHeader w:val="0"/>
        </w:trPr>
        <w:tc>
          <w:tcPr/>
          <w:p w:rsidR="00000000" w:rsidDel="00000000" w:rsidP="00000000" w:rsidRDefault="00000000" w:rsidRPr="00000000" w14:paraId="0000018E">
            <w:pPr>
              <w:spacing w:after="120" w:before="120" w:lineRule="auto"/>
              <w:ind w:left="709" w:firstLine="0"/>
              <w:jc w:val="left"/>
              <w:rPr>
                <w:b w:val="1"/>
                <w:bCs w:val="1"/>
                <w:color w:val="000000"/>
              </w:rPr>
            </w:pPr>
            <w:r w:rsidDel="00000000" w:rsidR="00000000" w:rsidRPr="00000000">
              <w:rPr>
                <w:b w:val="1"/>
                <w:bCs w:val="1"/>
                <w:color w:val="000000"/>
                <w:rtl w:val="0"/>
              </w:rPr>
              <w:t xml:space="preserve">"CSPS Admission Agreement"</w:t>
            </w:r>
          </w:p>
        </w:tc>
        <w:tc>
          <w:tcPr/>
          <w:p w:rsidR="00000000" w:rsidDel="00000000" w:rsidP="00000000" w:rsidRDefault="00000000" w:rsidRPr="00000000" w14:paraId="0000018F">
            <w:pPr>
              <w:spacing w:after="120" w:before="120" w:lineRule="auto"/>
              <w:jc w:val="left"/>
              <w:rPr>
                <w:color w:val="000000"/>
              </w:rPr>
            </w:pPr>
            <w:r w:rsidDel="00000000" w:rsidR="00000000" w:rsidRPr="00000000">
              <w:rPr>
                <w:color w:val="000000"/>
                <w:rtl w:val="0"/>
              </w:rPr>
              <w:t xml:space="preserve">an admission agreement in the form available on the Civil Service Pensions website immediately prior to the Relevant Transfer Date to be entered into for the CSPS in respect of the Services;</w:t>
            </w:r>
          </w:p>
        </w:tc>
      </w:tr>
      <w:tr>
        <w:trPr>
          <w:cantSplit w:val="0"/>
          <w:tblHeader w:val="0"/>
        </w:trPr>
        <w:tc>
          <w:tcPr/>
          <w:p w:rsidR="00000000" w:rsidDel="00000000" w:rsidP="00000000" w:rsidRDefault="00000000" w:rsidRPr="00000000" w14:paraId="00000190">
            <w:pPr>
              <w:spacing w:after="120" w:before="120" w:lineRule="auto"/>
              <w:ind w:left="709" w:firstLine="0"/>
              <w:jc w:val="left"/>
              <w:rPr>
                <w:b w:val="1"/>
                <w:bCs w:val="1"/>
                <w:color w:val="000000"/>
              </w:rPr>
            </w:pPr>
            <w:r w:rsidDel="00000000" w:rsidR="00000000" w:rsidRPr="00000000">
              <w:rPr>
                <w:b w:val="1"/>
                <w:bCs w:val="1"/>
                <w:color w:val="000000"/>
                <w:rtl w:val="0"/>
              </w:rPr>
              <w:t xml:space="preserve">"CSPS Eligible Employee"</w:t>
            </w:r>
          </w:p>
        </w:tc>
        <w:tc>
          <w:tcPr/>
          <w:p w:rsidR="00000000" w:rsidDel="00000000" w:rsidP="00000000" w:rsidRDefault="00000000" w:rsidRPr="00000000" w14:paraId="00000191">
            <w:pPr>
              <w:spacing w:after="120" w:before="120" w:lineRule="auto"/>
              <w:jc w:val="left"/>
              <w:rPr>
                <w:color w:val="000000"/>
              </w:rPr>
            </w:pPr>
            <w:r w:rsidDel="00000000" w:rsidR="00000000" w:rsidRPr="00000000">
              <w:rPr>
                <w:color w:val="000000"/>
                <w:rtl w:val="0"/>
              </w:rPr>
              <w:t xml:space="preserve">any CSPS Fair Deal Employee who at the relevant time is an active member or eligible to participate in the CSPS under a CSPS Admission Agreement;</w:t>
            </w:r>
          </w:p>
        </w:tc>
      </w:tr>
      <w:tr>
        <w:trPr>
          <w:cantSplit w:val="0"/>
          <w:tblHeader w:val="0"/>
        </w:trPr>
        <w:tc>
          <w:tcPr/>
          <w:p w:rsidR="00000000" w:rsidDel="00000000" w:rsidP="00000000" w:rsidRDefault="00000000" w:rsidRPr="00000000" w14:paraId="00000192">
            <w:pPr>
              <w:spacing w:after="120" w:before="120" w:lineRule="auto"/>
              <w:ind w:left="709" w:firstLine="0"/>
              <w:jc w:val="left"/>
              <w:rPr>
                <w:b w:val="1"/>
                <w:bCs w:val="1"/>
                <w:color w:val="000000"/>
              </w:rPr>
            </w:pPr>
            <w:r w:rsidDel="00000000" w:rsidR="00000000" w:rsidRPr="00000000">
              <w:rPr>
                <w:b w:val="1"/>
                <w:bCs w:val="1"/>
                <w:color w:val="000000"/>
                <w:rtl w:val="0"/>
              </w:rPr>
              <w:t xml:space="preserve">“CSPS Fair Deal Employee”</w:t>
            </w:r>
          </w:p>
        </w:tc>
        <w:tc>
          <w:tcPr/>
          <w:p w:rsidR="00000000" w:rsidDel="00000000" w:rsidP="00000000" w:rsidRDefault="00000000" w:rsidRPr="00000000" w14:paraId="00000193">
            <w:pPr>
              <w:spacing w:after="120" w:before="120" w:lineRule="auto"/>
              <w:jc w:val="left"/>
              <w:rPr>
                <w:color w:val="000000"/>
              </w:rPr>
            </w:pPr>
            <w:r w:rsidDel="00000000" w:rsidR="00000000" w:rsidRPr="00000000">
              <w:rPr>
                <w:color w:val="000000"/>
                <w:rtl w:val="0"/>
              </w:rPr>
              <w:t xml:space="preserve">a Fair Deal Employee who at the Relevant Transfer Date is or becomes entitled to protection in respect of the CSPS in accordance with the provisions of New Fair Deal; and</w:t>
            </w:r>
          </w:p>
        </w:tc>
      </w:tr>
      <w:tr>
        <w:trPr>
          <w:cantSplit w:val="0"/>
          <w:tblHeader w:val="0"/>
        </w:trPr>
        <w:tc>
          <w:tcPr/>
          <w:p w:rsidR="00000000" w:rsidDel="00000000" w:rsidP="00000000" w:rsidRDefault="00000000" w:rsidRPr="00000000" w14:paraId="00000194">
            <w:pPr>
              <w:spacing w:after="120" w:before="120" w:lineRule="auto"/>
              <w:ind w:left="709" w:firstLine="0"/>
              <w:jc w:val="left"/>
              <w:rPr/>
            </w:pPr>
            <w:r w:rsidDel="00000000" w:rsidR="00000000" w:rsidRPr="00000000">
              <w:rPr>
                <w:b w:val="1"/>
                <w:bCs w:val="1"/>
                <w:color w:val="000000"/>
                <w:rtl w:val="0"/>
              </w:rPr>
              <w:t xml:space="preserve">"CSPS"</w:t>
            </w:r>
            <w:r w:rsidDel="00000000" w:rsidR="00000000" w:rsidRPr="00000000">
              <w:rPr>
                <w:rtl w:val="0"/>
              </w:rPr>
            </w:r>
          </w:p>
        </w:tc>
        <w:tc>
          <w:tcPr/>
          <w:p w:rsidR="00000000" w:rsidDel="00000000" w:rsidP="00000000" w:rsidRDefault="00000000" w:rsidRPr="00000000" w14:paraId="00000195">
            <w:pPr>
              <w:spacing w:after="120" w:before="120" w:lineRule="auto"/>
              <w:jc w:val="left"/>
              <w:rPr/>
            </w:pPr>
            <w:r w:rsidDel="00000000" w:rsidR="00000000" w:rsidRPr="00000000">
              <w:rPr>
                <w:color w:val="222222"/>
                <w:highlight w:val="white"/>
                <w:rtl w:val="0"/>
              </w:rPr>
              <w:t xml:space="preserve">the Principal Civil Service Pension Scheme available to Civil Servants and employees of bodies under Schedule 1 of the Superannuation Act 1972 (and eligible employees of other bodies admitted to participate under a determination under section 25 of the Public Service Pensions Act 2013), as governed by rules adopted by Parliament; the Partnership Pension Account and its (i) Ill health Benefits Arrangements and (ii) Death Benefits Arrangements; the Civil Service Additional Voluntary Contribution Scheme; and "alpha" introduced under The Public Service (Civil Servants and Others) Pensions Regulations 2014.</w:t>
            </w:r>
            <w:r w:rsidDel="00000000" w:rsidR="00000000" w:rsidRPr="00000000">
              <w:rPr>
                <w:rtl w:val="0"/>
              </w:rPr>
            </w:r>
          </w:p>
        </w:tc>
      </w:tr>
    </w:tbl>
    <w:p w:rsidR="00000000" w:rsidDel="00000000" w:rsidP="00000000" w:rsidRDefault="00000000" w:rsidRPr="00000000" w14:paraId="00000196">
      <w:pPr>
        <w:keepNext w:val="1"/>
        <w:numPr>
          <w:ilvl w:val="0"/>
          <w:numId w:val="20"/>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Access to equivalent pension schemes after transfer</w:t>
      </w:r>
      <w:r w:rsidDel="00000000" w:rsidR="00000000" w:rsidRPr="00000000">
        <w:rPr>
          <w:rtl w:val="0"/>
        </w:rPr>
      </w:r>
    </w:p>
    <w:p w:rsidR="00000000" w:rsidDel="00000000" w:rsidP="00000000" w:rsidRDefault="00000000" w:rsidRPr="00000000" w14:paraId="00000197">
      <w:pPr>
        <w:numPr>
          <w:ilvl w:val="1"/>
          <w:numId w:val="20"/>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In accordance with New Fair Deal, the Supplier and/or any of its Subcontractors to which the employment of any CSPS Fair Deal Employee compulsorily transfers as a result of either the award of the relevant Contract or a Relevant Transfer, if not an employer which participates automatically in the CSPS, shall each secure a CSPS Admission Agreement to ensure that CSPS Fair Deal Employees or CSPS Eligible Employees as appropriate shall be either admitted into, or offered continued membership of, the relevant section of the CSPS that they currently contribute to, or were eligible to join immediately prior to the Relevant Transfer Date or became eligible to join on the Relevant Transfer Date. The Supplier and/or any of its Subcontractors shall procure that the CSPS Fair Deal Employees continue to accrue benefits in the CSPS in accordance with the provisions governing the relevant section of the CSPS for service from (and including) the Relevant Transfer Date. </w:t>
      </w:r>
    </w:p>
    <w:p w:rsidR="00000000" w:rsidDel="00000000" w:rsidP="00000000" w:rsidRDefault="00000000" w:rsidRPr="00000000" w14:paraId="00000198">
      <w:pPr>
        <w:numPr>
          <w:ilvl w:val="1"/>
          <w:numId w:val="20"/>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u6wntf" w:id="41"/>
      <w:bookmarkEnd w:id="41"/>
      <w:r w:rsidDel="00000000" w:rsidR="00000000" w:rsidRPr="00000000">
        <w:rPr>
          <w:color w:val="000000"/>
          <w:rtl w:val="0"/>
        </w:rPr>
        <w:t xml:space="preserve">If the Supplier and/or any of its Subcontractors enters into a CSPS Admission Agreement in accordance with Paragraph 2.1 but the CSPS Admission Agreement is terminated during the term of the relevant Contract for any reason at a time when the Supplier or Subcontractor still employs any CSPS Eligible Employees, the Supplier shall (and procure that its Subcontractors shall) at no extra cost to the Buyer, offer the remaining CSPS Eligible Employees membership of a pension scheme which is Broadly Comparable to the CSPS on the date those CSPS Eligible Employees ceased to participate in the CSPS in accordance with the provisions of Paragraph 11 of Part D. </w:t>
      </w:r>
    </w:p>
    <w:p w:rsidR="00000000" w:rsidDel="00000000" w:rsidP="00000000" w:rsidRDefault="00000000" w:rsidRPr="00000000" w14:paraId="00000199">
      <w:pPr>
        <w:spacing w:after="120" w:before="120" w:lineRule="auto"/>
        <w:jc w:val="left"/>
        <w:rPr/>
      </w:pPr>
      <w:r w:rsidDel="00000000" w:rsidR="00000000" w:rsidRPr="00000000">
        <w:rPr>
          <w:rtl w:val="0"/>
        </w:rPr>
      </w:r>
    </w:p>
    <w:p w:rsidR="00000000" w:rsidDel="00000000" w:rsidP="00000000" w:rsidRDefault="00000000" w:rsidRPr="00000000" w14:paraId="0000019A">
      <w:pPr>
        <w:spacing w:after="120" w:before="120" w:lineRule="auto"/>
        <w:jc w:val="left"/>
        <w:rPr>
          <w:rFonts w:ascii="Arial" w:cs="Arial" w:eastAsia="Arial" w:hAnsi="Arial"/>
          <w:b w:val="1"/>
          <w:bCs w:val="1"/>
          <w:sz w:val="36"/>
          <w:szCs w:val="36"/>
        </w:rPr>
      </w:pPr>
      <w:r w:rsidDel="00000000" w:rsidR="00000000" w:rsidRPr="00000000">
        <w:br w:type="page"/>
      </w:r>
      <w:r w:rsidDel="00000000" w:rsidR="00000000" w:rsidRPr="00000000">
        <w:rPr>
          <w:rFonts w:ascii="Arial" w:cs="Arial" w:eastAsia="Arial" w:hAnsi="Arial"/>
          <w:b w:val="1"/>
          <w:bCs w:val="1"/>
          <w:sz w:val="36"/>
          <w:szCs w:val="36"/>
          <w:rtl w:val="0"/>
        </w:rPr>
        <w:t xml:space="preserve">Annex D2: NHS Pension Schemes</w:t>
      </w:r>
    </w:p>
    <w:p w:rsidR="00000000" w:rsidDel="00000000" w:rsidP="00000000" w:rsidRDefault="00000000" w:rsidRPr="00000000" w14:paraId="0000019B">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b w:val="1"/>
          <w:bCs w:val="1"/>
          <w:smallCaps w:val="1"/>
          <w:color w:val="000000"/>
          <w:rtl w:val="0"/>
        </w:rPr>
        <w:t xml:space="preserve">D</w:t>
      </w:r>
      <w:r w:rsidDel="00000000" w:rsidR="00000000" w:rsidRPr="00000000">
        <w:rPr>
          <w:rFonts w:ascii="Arial" w:cs="Arial" w:eastAsia="Arial" w:hAnsi="Arial"/>
          <w:b w:val="1"/>
          <w:bCs w:val="1"/>
          <w:color w:val="000000"/>
          <w:rtl w:val="0"/>
        </w:rPr>
        <w:t xml:space="preserve">efinitions</w:t>
      </w:r>
      <w:r w:rsidDel="00000000" w:rsidR="00000000" w:rsidRPr="00000000">
        <w:rPr>
          <w:rtl w:val="0"/>
        </w:rPr>
      </w:r>
    </w:p>
    <w:p w:rsidR="00000000" w:rsidDel="00000000" w:rsidP="00000000" w:rsidRDefault="00000000" w:rsidRPr="00000000" w14:paraId="0000019C">
      <w:pPr>
        <w:keepNext w:val="1"/>
        <w:spacing w:after="120" w:before="120" w:lineRule="auto"/>
        <w:ind w:left="426" w:hanging="11.000000000000014"/>
        <w:jc w:val="left"/>
        <w:rPr/>
      </w:pPr>
      <w:r w:rsidDel="00000000" w:rsidR="00000000" w:rsidRPr="00000000">
        <w:rPr>
          <w:rtl w:val="0"/>
        </w:rPr>
        <w:t xml:space="preserve">In this Annex D2: NHSPS to Part D: Pensions, the following words have the following meanings and they shall supplement Joint Schedule 1 </w:t>
      </w:r>
      <w:r w:rsidDel="00000000" w:rsidR="00000000" w:rsidRPr="00000000">
        <w:rPr>
          <w:i w:val="1"/>
          <w:iCs w:val="1"/>
          <w:rtl w:val="0"/>
        </w:rPr>
        <w:t xml:space="preserve">(Definitions)</w:t>
      </w:r>
      <w:r w:rsidDel="00000000" w:rsidR="00000000" w:rsidRPr="00000000">
        <w:rPr>
          <w:rtl w:val="0"/>
        </w:rPr>
        <w:t xml:space="preserve">:</w:t>
      </w:r>
    </w:p>
    <w:tbl>
      <w:tblPr>
        <w:tblStyle w:val="Table4"/>
        <w:tblW w:w="9026.0" w:type="dxa"/>
        <w:jc w:val="left"/>
        <w:tblInd w:w="-115.0" w:type="dxa"/>
        <w:tblLayout w:type="fixed"/>
        <w:tblLook w:val="0400"/>
      </w:tblPr>
      <w:tblGrid>
        <w:gridCol w:w="3397"/>
        <w:gridCol w:w="5629"/>
        <w:tblGridChange w:id="0">
          <w:tblGrid>
            <w:gridCol w:w="3397"/>
            <w:gridCol w:w="5629"/>
          </w:tblGrid>
        </w:tblGridChange>
      </w:tblGrid>
      <w:tr>
        <w:trPr>
          <w:cantSplit w:val="0"/>
          <w:tblHeader w:val="0"/>
        </w:trPr>
        <w:tc>
          <w:tcPr/>
          <w:p w:rsidR="00000000" w:rsidDel="00000000" w:rsidP="00000000" w:rsidRDefault="00000000" w:rsidRPr="00000000" w14:paraId="0000019D">
            <w:pPr>
              <w:spacing w:after="120" w:before="120" w:lineRule="auto"/>
              <w:ind w:left="720" w:firstLine="0"/>
              <w:jc w:val="left"/>
              <w:rPr>
                <w:b w:val="1"/>
                <w:bCs w:val="1"/>
              </w:rPr>
            </w:pPr>
            <w:r w:rsidDel="00000000" w:rsidR="00000000" w:rsidRPr="00000000">
              <w:rPr>
                <w:b w:val="1"/>
                <w:bCs w:val="1"/>
                <w:rtl w:val="0"/>
              </w:rPr>
              <w:t xml:space="preserve">"Direction Letter/Determination"</w:t>
            </w:r>
          </w:p>
        </w:tc>
        <w:tc>
          <w:tcPr/>
          <w:p w:rsidR="00000000" w:rsidDel="00000000" w:rsidP="00000000" w:rsidRDefault="00000000" w:rsidRPr="00000000" w14:paraId="0000019E">
            <w:pPr>
              <w:spacing w:after="120" w:before="120" w:lineRule="auto"/>
              <w:jc w:val="left"/>
              <w:rPr>
                <w:color w:val="000000"/>
              </w:rPr>
            </w:pPr>
            <w:r w:rsidDel="00000000" w:rsidR="00000000" w:rsidRPr="00000000">
              <w:rPr>
                <w:color w:val="000000"/>
                <w:rtl w:val="0"/>
              </w:rPr>
              <w:t xml:space="preserve">an NHS Pensions Direction or Determination (as appropriate) issued by the Secretary of State in exercise of the powers conferred by section 7 of the Superannuation (Miscellaneous Provisions) Act 1967 or by section 25 of the Public Service Pensions Act 2013 (as appropriate) and issued to the Supplier or a Subcontractor of the Supplier (as appropriate) relating to the terms of participation of the Supplier or Subcontractor in the NHSPS in respect of the NHSPS Fair Deal Employees;</w:t>
            </w:r>
          </w:p>
        </w:tc>
      </w:tr>
      <w:tr>
        <w:trPr>
          <w:cantSplit w:val="0"/>
          <w:tblHeader w:val="0"/>
        </w:trPr>
        <w:tc>
          <w:tcPr/>
          <w:p w:rsidR="00000000" w:rsidDel="00000000" w:rsidP="00000000" w:rsidRDefault="00000000" w:rsidRPr="00000000" w14:paraId="0000019F">
            <w:pPr>
              <w:spacing w:after="120" w:before="120" w:lineRule="auto"/>
              <w:ind w:left="720" w:firstLine="0"/>
              <w:jc w:val="left"/>
              <w:rPr>
                <w:b w:val="1"/>
                <w:bCs w:val="1"/>
              </w:rPr>
            </w:pPr>
            <w:r w:rsidDel="00000000" w:rsidR="00000000" w:rsidRPr="00000000">
              <w:rPr>
                <w:b w:val="1"/>
                <w:bCs w:val="1"/>
                <w:rtl w:val="0"/>
              </w:rPr>
              <w:t xml:space="preserve">“NHS Broadly Comparable Employees”</w:t>
            </w:r>
          </w:p>
        </w:tc>
        <w:tc>
          <w:tcPr/>
          <w:p w:rsidR="00000000" w:rsidDel="00000000" w:rsidP="00000000" w:rsidRDefault="00000000" w:rsidRPr="00000000" w14:paraId="000001A0">
            <w:pPr>
              <w:spacing w:after="120" w:before="120" w:lineRule="auto"/>
              <w:jc w:val="left"/>
              <w:rPr>
                <w:color w:val="000000"/>
              </w:rPr>
            </w:pPr>
            <w:r w:rsidDel="00000000" w:rsidR="00000000" w:rsidRPr="00000000">
              <w:rPr>
                <w:color w:val="000000"/>
                <w:rtl w:val="0"/>
              </w:rPr>
              <w:t xml:space="preserve">each of the Fair Deal Employees who at a Relevant Transfer Date was a member of, or was entitled to become a member of, or but for their compulsory transfer of employment would have been entitled to be or become a member of, the NHSPS as a result of either:</w:t>
            </w:r>
          </w:p>
          <w:p w:rsidR="00000000" w:rsidDel="00000000" w:rsidP="00000000" w:rsidRDefault="00000000" w:rsidRPr="00000000" w14:paraId="000001A1">
            <w:pPr>
              <w:spacing w:after="120" w:before="120" w:lineRule="auto"/>
              <w:ind w:left="720" w:hanging="720"/>
              <w:jc w:val="left"/>
              <w:rPr>
                <w:color w:val="000000"/>
              </w:rPr>
            </w:pPr>
            <w:r w:rsidDel="00000000" w:rsidR="00000000" w:rsidRPr="00000000">
              <w:rPr>
                <w:color w:val="000000"/>
                <w:rtl w:val="0"/>
              </w:rPr>
              <w:t xml:space="preserve">(a)     their employment with the Buyer</w:t>
            </w:r>
            <w:r w:rsidDel="00000000" w:rsidR="00000000" w:rsidRPr="00000000">
              <w:rPr>
                <w:i w:val="1"/>
                <w:iCs w:val="1"/>
                <w:color w:val="000000"/>
                <w:rtl w:val="0"/>
              </w:rPr>
              <w:t xml:space="preserve">,</w:t>
            </w:r>
            <w:r w:rsidDel="00000000" w:rsidR="00000000" w:rsidRPr="00000000">
              <w:rPr>
                <w:color w:val="000000"/>
                <w:rtl w:val="0"/>
              </w:rPr>
              <w:t xml:space="preserve"> an NHS Body or other employer which participates automatically in the NHSPS; or</w:t>
            </w:r>
          </w:p>
          <w:p w:rsidR="00000000" w:rsidDel="00000000" w:rsidP="00000000" w:rsidRDefault="00000000" w:rsidRPr="00000000" w14:paraId="000001A2">
            <w:pPr>
              <w:spacing w:after="120" w:before="120" w:lineRule="auto"/>
              <w:ind w:left="720" w:hanging="720"/>
              <w:jc w:val="left"/>
              <w:rPr>
                <w:color w:val="000000"/>
              </w:rPr>
            </w:pPr>
            <w:r w:rsidDel="00000000" w:rsidR="00000000" w:rsidRPr="00000000">
              <w:rPr>
                <w:color w:val="000000"/>
                <w:rtl w:val="0"/>
              </w:rPr>
              <w:t xml:space="preserve">(b)      their employment with a Former Supplier who provides access to either the NHSPS pursuant to a Direction Letter/Determination or to a Broadly Comparable pension scheme in respect of their employment with that Former Supplier (on the basis that they are entitled to protection under New Fair Deal (or previous guidance), having been formerly in employment with the Buyer, an NHS Body or other employer who participated automatically in the NHSPS in connection with the Services, prior to being employed by the Former Supplier),</w:t>
            </w:r>
          </w:p>
          <w:p w:rsidR="00000000" w:rsidDel="00000000" w:rsidP="00000000" w:rsidRDefault="00000000" w:rsidRPr="00000000" w14:paraId="000001A3">
            <w:pPr>
              <w:spacing w:after="120" w:before="120" w:lineRule="auto"/>
              <w:jc w:val="left"/>
              <w:rPr>
                <w:color w:val="000000"/>
              </w:rPr>
            </w:pPr>
            <w:r w:rsidDel="00000000" w:rsidR="00000000" w:rsidRPr="00000000">
              <w:rPr>
                <w:rtl w:val="0"/>
              </w:rPr>
              <w:t xml:space="preserve">but who is now ineligible to participate in the NHSPS under the rules of the NHSPS and in respect of whom the Buyer has agreed are to be provided with a Broadly Comparable pension scheme to provide Pension Benefits that are Broadly Comparable to those provided under the NHSPS.</w:t>
            </w:r>
            <w:r w:rsidDel="00000000" w:rsidR="00000000" w:rsidRPr="00000000">
              <w:rPr>
                <w:rtl w:val="0"/>
              </w:rPr>
            </w:r>
          </w:p>
        </w:tc>
      </w:tr>
      <w:tr>
        <w:trPr>
          <w:cantSplit w:val="0"/>
          <w:tblHeader w:val="0"/>
        </w:trPr>
        <w:tc>
          <w:tcPr/>
          <w:p w:rsidR="00000000" w:rsidDel="00000000" w:rsidP="00000000" w:rsidRDefault="00000000" w:rsidRPr="00000000" w14:paraId="000001A4">
            <w:pPr>
              <w:spacing w:after="120" w:before="120" w:lineRule="auto"/>
              <w:ind w:left="720" w:firstLine="0"/>
              <w:jc w:val="left"/>
              <w:rPr>
                <w:b w:val="1"/>
                <w:bCs w:val="1"/>
              </w:rPr>
            </w:pPr>
            <w:r w:rsidDel="00000000" w:rsidR="00000000" w:rsidRPr="00000000">
              <w:rPr>
                <w:b w:val="1"/>
                <w:bCs w:val="1"/>
                <w:rtl w:val="0"/>
              </w:rPr>
              <w:t xml:space="preserve">"NHSPS Eligible Employees"</w:t>
            </w:r>
          </w:p>
        </w:tc>
        <w:tc>
          <w:tcPr/>
          <w:p w:rsidR="00000000" w:rsidDel="00000000" w:rsidP="00000000" w:rsidRDefault="00000000" w:rsidRPr="00000000" w14:paraId="000001A5">
            <w:pPr>
              <w:spacing w:after="120" w:before="120" w:lineRule="auto"/>
              <w:jc w:val="left"/>
              <w:rPr>
                <w:color w:val="000000"/>
              </w:rPr>
            </w:pPr>
            <w:r w:rsidDel="00000000" w:rsidR="00000000" w:rsidRPr="00000000">
              <w:rPr>
                <w:color w:val="000000"/>
                <w:rtl w:val="0"/>
              </w:rPr>
              <w:t xml:space="preserve">any NHSPS Fair Deal Employee who at the relevant time is an active member or eligible to participate in the NHSPS under a Direction Letter/Determination Letter.</w:t>
            </w:r>
          </w:p>
        </w:tc>
      </w:tr>
      <w:tr>
        <w:trPr>
          <w:cantSplit w:val="0"/>
          <w:tblHeader w:val="0"/>
        </w:trPr>
        <w:tc>
          <w:tcPr/>
          <w:p w:rsidR="00000000" w:rsidDel="00000000" w:rsidP="00000000" w:rsidRDefault="00000000" w:rsidRPr="00000000" w14:paraId="000001A6">
            <w:pPr>
              <w:spacing w:after="120" w:before="120" w:lineRule="auto"/>
              <w:ind w:left="720" w:firstLine="0"/>
              <w:jc w:val="left"/>
              <w:rPr>
                <w:b w:val="1"/>
                <w:bCs w:val="1"/>
              </w:rPr>
            </w:pPr>
            <w:r w:rsidDel="00000000" w:rsidR="00000000" w:rsidRPr="00000000">
              <w:rPr>
                <w:b w:val="1"/>
                <w:bCs w:val="1"/>
                <w:rtl w:val="0"/>
              </w:rPr>
              <w:t xml:space="preserve">"NHSPS Fair Deal  Employees"</w:t>
            </w:r>
          </w:p>
        </w:tc>
        <w:tc>
          <w:tcPr/>
          <w:p w:rsidR="00000000" w:rsidDel="00000000" w:rsidP="00000000" w:rsidRDefault="00000000" w:rsidRPr="00000000" w14:paraId="000001A7">
            <w:pPr>
              <w:spacing w:after="120" w:before="120" w:lineRule="auto"/>
              <w:jc w:val="left"/>
              <w:rPr>
                <w:color w:val="000000"/>
              </w:rPr>
            </w:pPr>
            <w:r w:rsidDel="00000000" w:rsidR="00000000" w:rsidRPr="00000000">
              <w:rPr>
                <w:color w:val="000000"/>
                <w:rtl w:val="0"/>
              </w:rPr>
              <w:t xml:space="preserve">other than the NHS Broadly Comparable Employees, each of the Fair Deal Employees who at a Relevant Transfer Date was a member of, or was entitled to become a member of, or but for their compulsory transfer of employment would have been entitled to be or become a member of, the NHSPS as a result of either: </w:t>
            </w:r>
          </w:p>
        </w:tc>
      </w:tr>
      <w:tr>
        <w:trPr>
          <w:cantSplit w:val="0"/>
          <w:tblHeader w:val="0"/>
        </w:trPr>
        <w:tc>
          <w:tcPr/>
          <w:p w:rsidR="00000000" w:rsidDel="00000000" w:rsidP="00000000" w:rsidRDefault="00000000" w:rsidRPr="00000000" w14:paraId="000001A8">
            <w:pPr>
              <w:spacing w:after="120" w:before="120" w:lineRule="auto"/>
              <w:ind w:left="720" w:firstLine="0"/>
              <w:jc w:val="left"/>
              <w:rPr>
                <w:b w:val="1"/>
                <w:bCs w:val="1"/>
              </w:rPr>
            </w:pPr>
            <w:r w:rsidDel="00000000" w:rsidR="00000000" w:rsidRPr="00000000">
              <w:rPr>
                <w:rtl w:val="0"/>
              </w:rPr>
            </w:r>
          </w:p>
        </w:tc>
        <w:tc>
          <w:tcPr/>
          <w:p w:rsidR="00000000" w:rsidDel="00000000" w:rsidP="00000000" w:rsidRDefault="00000000" w:rsidRPr="00000000" w14:paraId="000001A9">
            <w:pPr>
              <w:widowControl w:val="0"/>
              <w:numPr>
                <w:ilvl w:val="0"/>
                <w:numId w:val="5"/>
              </w:numPr>
              <w:spacing w:after="120" w:before="120" w:lineRule="auto"/>
              <w:ind w:left="743" w:hanging="709"/>
              <w:jc w:val="left"/>
              <w:rPr>
                <w:color w:val="000000"/>
              </w:rPr>
            </w:pPr>
            <w:r w:rsidDel="00000000" w:rsidR="00000000" w:rsidRPr="00000000">
              <w:rPr>
                <w:color w:val="000000"/>
                <w:rtl w:val="0"/>
              </w:rPr>
              <w:t xml:space="preserve">their employment with the Buyer</w:t>
            </w:r>
            <w:r w:rsidDel="00000000" w:rsidR="00000000" w:rsidRPr="00000000">
              <w:rPr>
                <w:i w:val="1"/>
                <w:iCs w:val="1"/>
                <w:color w:val="000000"/>
                <w:rtl w:val="0"/>
              </w:rPr>
              <w:t xml:space="preserve">,</w:t>
            </w:r>
            <w:r w:rsidDel="00000000" w:rsidR="00000000" w:rsidRPr="00000000">
              <w:rPr>
                <w:color w:val="000000"/>
                <w:rtl w:val="0"/>
              </w:rPr>
              <w:t xml:space="preserve"> an NHS Body or other employer which participates automatically in the NHSPS; or</w:t>
            </w:r>
          </w:p>
        </w:tc>
      </w:tr>
      <w:tr>
        <w:trPr>
          <w:cantSplit w:val="0"/>
          <w:tblHeader w:val="0"/>
        </w:trPr>
        <w:tc>
          <w:tcPr/>
          <w:p w:rsidR="00000000" w:rsidDel="00000000" w:rsidP="00000000" w:rsidRDefault="00000000" w:rsidRPr="00000000" w14:paraId="000001AA">
            <w:pPr>
              <w:spacing w:after="120" w:before="120" w:lineRule="auto"/>
              <w:ind w:left="720" w:firstLine="0"/>
              <w:jc w:val="left"/>
              <w:rPr>
                <w:b w:val="1"/>
                <w:bCs w:val="1"/>
              </w:rPr>
            </w:pPr>
            <w:r w:rsidDel="00000000" w:rsidR="00000000" w:rsidRPr="00000000">
              <w:rPr>
                <w:rtl w:val="0"/>
              </w:rPr>
            </w:r>
          </w:p>
        </w:tc>
        <w:tc>
          <w:tcPr/>
          <w:p w:rsidR="00000000" w:rsidDel="00000000" w:rsidP="00000000" w:rsidRDefault="00000000" w:rsidRPr="00000000" w14:paraId="000001AB">
            <w:pPr>
              <w:widowControl w:val="0"/>
              <w:numPr>
                <w:ilvl w:val="0"/>
                <w:numId w:val="5"/>
              </w:numPr>
              <w:spacing w:after="120" w:before="120" w:lineRule="auto"/>
              <w:ind w:left="695" w:hanging="646"/>
              <w:jc w:val="left"/>
              <w:rPr>
                <w:color w:val="000000"/>
              </w:rPr>
            </w:pPr>
            <w:r w:rsidDel="00000000" w:rsidR="00000000" w:rsidRPr="00000000">
              <w:rPr>
                <w:color w:val="000000"/>
                <w:rtl w:val="0"/>
              </w:rPr>
              <w:t xml:space="preserve">their employment with a Former Supplier who provides access to the NHSPS pursuant to a Direction Letter/Determination or to a Broadly Comparable pension scheme in respect of their employment with that Former Supplier (on the basis that they are </w:t>
            </w:r>
            <w:r w:rsidDel="00000000" w:rsidR="00000000" w:rsidRPr="00000000">
              <w:rPr>
                <w:rtl w:val="0"/>
              </w:rPr>
              <w:t xml:space="preserve">entitled</w:t>
            </w:r>
            <w:r w:rsidDel="00000000" w:rsidR="00000000" w:rsidRPr="00000000">
              <w:rPr>
                <w:color w:val="000000"/>
                <w:rtl w:val="0"/>
              </w:rPr>
              <w:t xml:space="preserve"> to protection under New Fair Deal (or previous guidance), having been formerly in employment with the Buyer, an NHS Body or other employer who participated automatically in the NHSPS in connection with the Services, prior to being employed by the Former Supplier),</w:t>
            </w:r>
          </w:p>
        </w:tc>
      </w:tr>
      <w:tr>
        <w:trPr>
          <w:cantSplit w:val="0"/>
          <w:tblHeader w:val="0"/>
        </w:trPr>
        <w:tc>
          <w:tcPr/>
          <w:p w:rsidR="00000000" w:rsidDel="00000000" w:rsidP="00000000" w:rsidRDefault="00000000" w:rsidRPr="00000000" w14:paraId="000001AC">
            <w:pPr>
              <w:spacing w:after="120" w:before="120" w:lineRule="auto"/>
              <w:ind w:left="720" w:firstLine="0"/>
              <w:jc w:val="left"/>
              <w:rPr>
                <w:b w:val="1"/>
                <w:bCs w:val="1"/>
              </w:rPr>
            </w:pPr>
            <w:r w:rsidDel="00000000" w:rsidR="00000000" w:rsidRPr="00000000">
              <w:rPr>
                <w:rtl w:val="0"/>
              </w:rPr>
            </w:r>
          </w:p>
        </w:tc>
        <w:tc>
          <w:tcPr/>
          <w:p w:rsidR="00000000" w:rsidDel="00000000" w:rsidP="00000000" w:rsidRDefault="00000000" w:rsidRPr="00000000" w14:paraId="000001AD">
            <w:pPr>
              <w:spacing w:after="120" w:before="120" w:lineRule="auto"/>
              <w:jc w:val="left"/>
              <w:rPr>
                <w:color w:val="000000"/>
              </w:rPr>
            </w:pPr>
            <w:r w:rsidDel="00000000" w:rsidR="00000000" w:rsidRPr="00000000">
              <w:rPr>
                <w:color w:val="000000"/>
                <w:rtl w:val="0"/>
              </w:rPr>
              <w:t xml:space="preserve">and, in each case, being continuously engaged for more than fifty per cent (50%) of their employed time in the delivery of services (the same as or similar to the Services).</w:t>
            </w:r>
          </w:p>
        </w:tc>
      </w:tr>
      <w:tr>
        <w:trPr>
          <w:cantSplit w:val="0"/>
          <w:tblHeader w:val="0"/>
        </w:trPr>
        <w:tc>
          <w:tcPr/>
          <w:p w:rsidR="00000000" w:rsidDel="00000000" w:rsidP="00000000" w:rsidRDefault="00000000" w:rsidRPr="00000000" w14:paraId="000001AE">
            <w:pPr>
              <w:spacing w:after="120" w:before="120" w:lineRule="auto"/>
              <w:ind w:left="720" w:firstLine="0"/>
              <w:jc w:val="left"/>
              <w:rPr>
                <w:b w:val="1"/>
                <w:bCs w:val="1"/>
              </w:rPr>
            </w:pPr>
            <w:r w:rsidDel="00000000" w:rsidR="00000000" w:rsidRPr="00000000">
              <w:rPr>
                <w:rtl w:val="0"/>
              </w:rPr>
            </w:r>
          </w:p>
        </w:tc>
        <w:tc>
          <w:tcPr/>
          <w:p w:rsidR="00000000" w:rsidDel="00000000" w:rsidP="00000000" w:rsidRDefault="00000000" w:rsidRPr="00000000" w14:paraId="000001AF">
            <w:pPr>
              <w:spacing w:after="120" w:before="120" w:lineRule="auto"/>
              <w:jc w:val="left"/>
              <w:rPr>
                <w:color w:val="000000"/>
              </w:rPr>
            </w:pPr>
            <w:r w:rsidDel="00000000" w:rsidR="00000000" w:rsidRPr="00000000">
              <w:rPr>
                <w:color w:val="000000"/>
                <w:rtl w:val="0"/>
              </w:rPr>
              <w:t xml:space="preserve">For the avoidance of doubt, an individual who is in or entitled to become a member of the NHSPS as a result of being engaged in the Services and being covered by an "open" Direction Letter/ Determination or other NHSPS "access" facility but who has never been employed directly by the Buyer, an NHS Body (or other body which participates automatically in the NHSPS) is not an NHSPS Fair Deal Employee;  </w:t>
            </w:r>
          </w:p>
        </w:tc>
      </w:tr>
      <w:tr>
        <w:trPr>
          <w:cantSplit w:val="0"/>
          <w:tblHeader w:val="0"/>
        </w:trPr>
        <w:tc>
          <w:tcPr/>
          <w:p w:rsidR="00000000" w:rsidDel="00000000" w:rsidP="00000000" w:rsidRDefault="00000000" w:rsidRPr="00000000" w14:paraId="000001B0">
            <w:pPr>
              <w:spacing w:after="120" w:before="120" w:lineRule="auto"/>
              <w:ind w:left="993" w:firstLine="0"/>
              <w:jc w:val="left"/>
              <w:rPr>
                <w:b w:val="1"/>
                <w:bCs w:val="1"/>
              </w:rPr>
            </w:pPr>
            <w:r w:rsidDel="00000000" w:rsidR="00000000" w:rsidRPr="00000000">
              <w:rPr>
                <w:b w:val="1"/>
                <w:bCs w:val="1"/>
                <w:rtl w:val="0"/>
              </w:rPr>
              <w:t xml:space="preserve">"NHS Body"</w:t>
            </w:r>
          </w:p>
        </w:tc>
        <w:tc>
          <w:tcPr/>
          <w:p w:rsidR="00000000" w:rsidDel="00000000" w:rsidP="00000000" w:rsidRDefault="00000000" w:rsidRPr="00000000" w14:paraId="000001B1">
            <w:pPr>
              <w:spacing w:after="120" w:before="120" w:lineRule="auto"/>
              <w:jc w:val="left"/>
              <w:rPr>
                <w:color w:val="000000"/>
              </w:rPr>
            </w:pPr>
            <w:r w:rsidDel="00000000" w:rsidR="00000000" w:rsidRPr="00000000">
              <w:rPr>
                <w:color w:val="000000"/>
                <w:rtl w:val="0"/>
              </w:rPr>
              <w:t xml:space="preserve">has the meaning given to it in section 275 of the National Health Service Act 2006 as amended by section 138(2)(c) of Schedule 4 to the Health and Social Care Act 2012; </w:t>
            </w:r>
          </w:p>
        </w:tc>
      </w:tr>
      <w:tr>
        <w:trPr>
          <w:cantSplit w:val="0"/>
          <w:tblHeader w:val="0"/>
        </w:trPr>
        <w:tc>
          <w:tcPr/>
          <w:p w:rsidR="00000000" w:rsidDel="00000000" w:rsidP="00000000" w:rsidRDefault="00000000" w:rsidRPr="00000000" w14:paraId="000001B2">
            <w:pPr>
              <w:spacing w:after="120" w:before="120" w:lineRule="auto"/>
              <w:ind w:left="993" w:firstLine="0"/>
              <w:jc w:val="left"/>
              <w:rPr>
                <w:b w:val="1"/>
                <w:bCs w:val="1"/>
              </w:rPr>
            </w:pPr>
            <w:r w:rsidDel="00000000" w:rsidR="00000000" w:rsidRPr="00000000">
              <w:rPr>
                <w:b w:val="1"/>
                <w:bCs w:val="1"/>
                <w:rtl w:val="0"/>
              </w:rPr>
              <w:t xml:space="preserve">"NHS Pensions"</w:t>
            </w:r>
          </w:p>
        </w:tc>
        <w:tc>
          <w:tcPr/>
          <w:p w:rsidR="00000000" w:rsidDel="00000000" w:rsidP="00000000" w:rsidRDefault="00000000" w:rsidRPr="00000000" w14:paraId="000001B3">
            <w:pPr>
              <w:spacing w:after="120" w:before="120" w:lineRule="auto"/>
              <w:jc w:val="left"/>
              <w:rPr>
                <w:color w:val="000000"/>
              </w:rPr>
            </w:pPr>
            <w:r w:rsidDel="00000000" w:rsidR="00000000" w:rsidRPr="00000000">
              <w:rPr>
                <w:color w:val="000000"/>
                <w:rtl w:val="0"/>
              </w:rPr>
              <w:t xml:space="preserve">NHS Pensions as the administrators of the NHSPS or such other body as may from time to time be responsible for relevant administrative functions of the NHSPS;</w:t>
            </w:r>
          </w:p>
        </w:tc>
      </w:tr>
      <w:tr>
        <w:trPr>
          <w:cantSplit w:val="0"/>
          <w:tblHeader w:val="0"/>
        </w:trPr>
        <w:tc>
          <w:tcPr/>
          <w:p w:rsidR="00000000" w:rsidDel="00000000" w:rsidP="00000000" w:rsidRDefault="00000000" w:rsidRPr="00000000" w14:paraId="000001B4">
            <w:pPr>
              <w:spacing w:after="120" w:before="120" w:lineRule="auto"/>
              <w:ind w:left="993" w:firstLine="0"/>
              <w:jc w:val="left"/>
              <w:rPr>
                <w:b w:val="1"/>
                <w:bCs w:val="1"/>
              </w:rPr>
            </w:pPr>
            <w:r w:rsidDel="00000000" w:rsidR="00000000" w:rsidRPr="00000000">
              <w:rPr>
                <w:b w:val="1"/>
                <w:bCs w:val="1"/>
                <w:rtl w:val="0"/>
              </w:rPr>
              <w:t xml:space="preserve">"NHSPS"</w:t>
            </w:r>
          </w:p>
        </w:tc>
        <w:tc>
          <w:tcPr/>
          <w:p w:rsidR="00000000" w:rsidDel="00000000" w:rsidP="00000000" w:rsidRDefault="00000000" w:rsidRPr="00000000" w14:paraId="000001B5">
            <w:pPr>
              <w:spacing w:after="120" w:before="120" w:lineRule="auto"/>
              <w:jc w:val="left"/>
              <w:rPr>
                <w:color w:val="000000"/>
              </w:rPr>
            </w:pPr>
            <w:r w:rsidDel="00000000" w:rsidR="00000000" w:rsidRPr="00000000">
              <w:rPr>
                <w:color w:val="000000"/>
                <w:rtl w:val="0"/>
              </w:rPr>
              <w:t xml:space="preserve">the National Health Service Pension Scheme for England and Wales, established pursuant to the Superannuation Act 1972 and the Public Service Pensions Act 2013 governed by subsequent regulations under those Acts including the NHS Pension Scheme Regulations;</w:t>
            </w:r>
          </w:p>
        </w:tc>
      </w:tr>
      <w:tr>
        <w:trPr>
          <w:cantSplit w:val="0"/>
          <w:tblHeader w:val="0"/>
        </w:trPr>
        <w:tc>
          <w:tcPr/>
          <w:p w:rsidR="00000000" w:rsidDel="00000000" w:rsidP="00000000" w:rsidRDefault="00000000" w:rsidRPr="00000000" w14:paraId="000001B6">
            <w:pPr>
              <w:spacing w:after="120" w:before="120" w:lineRule="auto"/>
              <w:ind w:left="993" w:firstLine="0"/>
              <w:jc w:val="left"/>
              <w:rPr>
                <w:b w:val="1"/>
                <w:bCs w:val="1"/>
              </w:rPr>
            </w:pPr>
            <w:r w:rsidDel="00000000" w:rsidR="00000000" w:rsidRPr="00000000">
              <w:rPr>
                <w:b w:val="1"/>
                <w:bCs w:val="1"/>
                <w:rtl w:val="0"/>
              </w:rPr>
              <w:t xml:space="preserve">"NHS Pension Scheme Regulations"</w:t>
            </w:r>
          </w:p>
        </w:tc>
        <w:tc>
          <w:tcPr/>
          <w:p w:rsidR="00000000" w:rsidDel="00000000" w:rsidP="00000000" w:rsidRDefault="00000000" w:rsidRPr="00000000" w14:paraId="000001B7">
            <w:pPr>
              <w:spacing w:after="120" w:before="120" w:lineRule="auto"/>
              <w:jc w:val="left"/>
              <w:rPr>
                <w:color w:val="000000"/>
              </w:rPr>
            </w:pPr>
            <w:r w:rsidDel="00000000" w:rsidR="00000000" w:rsidRPr="00000000">
              <w:rPr>
                <w:color w:val="000000"/>
                <w:rtl w:val="0"/>
              </w:rPr>
              <w:t xml:space="preserve">as appropriate, any or all of the National Health Service Pension Scheme Regulations 1995 (SI 1995/300), the National Health Service Pension Scheme Regulations 2008 (SI 2008/653), the National Health Service Pension Scheme Regulations 2015 (2015/94) and any subsequent regulations made in respect of the NHSPS, each as amended from time to time;</w:t>
            </w:r>
          </w:p>
        </w:tc>
      </w:tr>
      <w:tr>
        <w:trPr>
          <w:cantSplit w:val="0"/>
          <w:tblHeader w:val="0"/>
        </w:trPr>
        <w:tc>
          <w:tcPr/>
          <w:p w:rsidR="00000000" w:rsidDel="00000000" w:rsidP="00000000" w:rsidRDefault="00000000" w:rsidRPr="00000000" w14:paraId="000001B8">
            <w:pPr>
              <w:spacing w:after="120" w:before="120" w:lineRule="auto"/>
              <w:ind w:left="993" w:firstLine="0"/>
              <w:jc w:val="left"/>
              <w:rPr>
                <w:b w:val="1"/>
                <w:bCs w:val="1"/>
              </w:rPr>
            </w:pPr>
            <w:r w:rsidDel="00000000" w:rsidR="00000000" w:rsidRPr="00000000">
              <w:rPr>
                <w:b w:val="1"/>
                <w:bCs w:val="1"/>
                <w:rtl w:val="0"/>
              </w:rPr>
              <w:t xml:space="preserve">"NHS Premature Retirement Rights"</w:t>
            </w:r>
          </w:p>
        </w:tc>
        <w:tc>
          <w:tcPr/>
          <w:p w:rsidR="00000000" w:rsidDel="00000000" w:rsidP="00000000" w:rsidRDefault="00000000" w:rsidRPr="00000000" w14:paraId="000001B9">
            <w:pPr>
              <w:spacing w:after="120" w:before="120" w:lineRule="auto"/>
              <w:jc w:val="left"/>
              <w:rPr>
                <w:color w:val="000000"/>
              </w:rPr>
            </w:pPr>
            <w:r w:rsidDel="00000000" w:rsidR="00000000" w:rsidRPr="00000000">
              <w:rPr>
                <w:color w:val="000000"/>
                <w:rtl w:val="0"/>
              </w:rPr>
              <w:t xml:space="preserve">rights to which any NHS Fair Deal Employee (had they remained in the employment of the Buyer, an NHS Body or other employer which participates automatically in the NHSPS) would have been or is entitled under the NHS Pension Scheme Regulations, the NHS Compensation for Premature Retirement Regulations 2002 (SI 2002/1311), the NHS (Injury Benefits) Regulations 1995 (SI 1995/866) and section 45 of the General Whitley Council conditions of service, or any other legislative or contractual provision which replaces, amends, extends or consolidates the same from time to time; and</w:t>
            </w:r>
          </w:p>
        </w:tc>
      </w:tr>
      <w:tr>
        <w:trPr>
          <w:cantSplit w:val="0"/>
          <w:tblHeader w:val="0"/>
        </w:trPr>
        <w:tc>
          <w:tcPr/>
          <w:p w:rsidR="00000000" w:rsidDel="00000000" w:rsidP="00000000" w:rsidRDefault="00000000" w:rsidRPr="00000000" w14:paraId="000001BA">
            <w:pPr>
              <w:spacing w:after="120" w:before="120" w:lineRule="auto"/>
              <w:ind w:left="993" w:firstLine="0"/>
              <w:jc w:val="left"/>
              <w:rPr>
                <w:b w:val="1"/>
                <w:bCs w:val="1"/>
              </w:rPr>
            </w:pPr>
            <w:r w:rsidDel="00000000" w:rsidR="00000000" w:rsidRPr="00000000">
              <w:rPr>
                <w:b w:val="1"/>
                <w:bCs w:val="1"/>
                <w:rtl w:val="0"/>
              </w:rPr>
              <w:t xml:space="preserve">"Pension Benefits"</w:t>
            </w:r>
          </w:p>
        </w:tc>
        <w:tc>
          <w:tcPr/>
          <w:p w:rsidR="00000000" w:rsidDel="00000000" w:rsidP="00000000" w:rsidRDefault="00000000" w:rsidRPr="00000000" w14:paraId="000001BB">
            <w:pPr>
              <w:spacing w:after="120" w:before="120" w:lineRule="auto"/>
              <w:jc w:val="left"/>
              <w:rPr>
                <w:color w:val="000000"/>
              </w:rPr>
            </w:pPr>
            <w:r w:rsidDel="00000000" w:rsidR="00000000" w:rsidRPr="00000000">
              <w:rPr>
                <w:color w:val="000000"/>
                <w:rtl w:val="0"/>
              </w:rPr>
              <w:t xml:space="preserve">any benefits payable in respect of an individual (including but not limited to pensions related allowances and lump sums) relating to old age, invalidity or survivor’s benefits provided under an occupational pension scheme. </w:t>
            </w:r>
          </w:p>
        </w:tc>
      </w:tr>
      <w:tr>
        <w:trPr>
          <w:cantSplit w:val="0"/>
          <w:tblHeader w:val="0"/>
        </w:trPr>
        <w:tc>
          <w:tcPr/>
          <w:p w:rsidR="00000000" w:rsidDel="00000000" w:rsidP="00000000" w:rsidRDefault="00000000" w:rsidRPr="00000000" w14:paraId="000001BC">
            <w:pPr>
              <w:spacing w:after="120" w:before="120" w:lineRule="auto"/>
              <w:ind w:left="993" w:firstLine="0"/>
              <w:jc w:val="left"/>
              <w:rPr>
                <w:b w:val="1"/>
                <w:bCs w:val="1"/>
              </w:rPr>
            </w:pPr>
            <w:r w:rsidDel="00000000" w:rsidR="00000000" w:rsidRPr="00000000">
              <w:rPr>
                <w:rtl w:val="0"/>
              </w:rPr>
            </w:r>
          </w:p>
        </w:tc>
        <w:tc>
          <w:tcPr/>
          <w:p w:rsidR="00000000" w:rsidDel="00000000" w:rsidP="00000000" w:rsidRDefault="00000000" w:rsidRPr="00000000" w14:paraId="000001BD">
            <w:pPr>
              <w:spacing w:after="120" w:before="120" w:lineRule="auto"/>
              <w:jc w:val="left"/>
              <w:rPr/>
            </w:pPr>
            <w:r w:rsidDel="00000000" w:rsidR="00000000" w:rsidRPr="00000000">
              <w:rPr>
                <w:rtl w:val="0"/>
              </w:rPr>
            </w:r>
          </w:p>
        </w:tc>
      </w:tr>
    </w:tbl>
    <w:p w:rsidR="00000000" w:rsidDel="00000000" w:rsidP="00000000" w:rsidRDefault="00000000" w:rsidRPr="00000000" w14:paraId="000001BE">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bookmarkStart w:colFirst="0" w:colLast="0" w:name="_heading=h.19c6y18" w:id="42"/>
      <w:bookmarkEnd w:id="42"/>
      <w:r w:rsidDel="00000000" w:rsidR="00000000" w:rsidRPr="00000000">
        <w:rPr>
          <w:rFonts w:ascii="Arial" w:cs="Arial" w:eastAsia="Arial" w:hAnsi="Arial"/>
          <w:b w:val="1"/>
          <w:bCs w:val="1"/>
          <w:color w:val="000000"/>
          <w:rtl w:val="0"/>
        </w:rPr>
        <w:t xml:space="preserve">Membership of the NHS Pension Scheme</w:t>
      </w:r>
      <w:r w:rsidDel="00000000" w:rsidR="00000000" w:rsidRPr="00000000">
        <w:rPr>
          <w:rtl w:val="0"/>
        </w:rPr>
      </w:r>
    </w:p>
    <w:p w:rsidR="00000000" w:rsidDel="00000000" w:rsidP="00000000" w:rsidRDefault="00000000" w:rsidRPr="00000000" w14:paraId="000001BF">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tbugp1" w:id="43"/>
      <w:bookmarkEnd w:id="43"/>
      <w:r w:rsidDel="00000000" w:rsidR="00000000" w:rsidRPr="00000000">
        <w:rPr>
          <w:color w:val="000000"/>
          <w:rtl w:val="0"/>
        </w:rPr>
        <w:t xml:space="preserve">In accordance with New Fair Deal, the Supplier and/or any of its Subcontractors to which the employment of any NHSPS Fair Deal Employee compulsorily transfers as a result of either the award of the Contract or a Relevant Transfer, if not an NHS Body or other employer which participates automatically in the NHSPS, shall each secure a Direction Letter/Determination to enable the NHSPS Fair Deal Employees to retain either continuous active membership of or eligibility for the NHSPS for so long as they remain employed in connection with the delivery of the Services under the relevant Contract. </w:t>
      </w:r>
    </w:p>
    <w:p w:rsidR="00000000" w:rsidDel="00000000" w:rsidP="00000000" w:rsidRDefault="00000000" w:rsidRPr="00000000" w14:paraId="000001C0">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Where it is not possible for the Supplier and/or any of its Subcontractors to secure a Direction Letter/Determination on or before the Relevant Transfer Date, the Supplier must secure a Direction Letter/Determination as soon as possible after the Relevant Transfer Date, and in the period between the Relevant Transfer Date and the date the Direction Letter/Determination is secure, the Supplier must ensure that:</w:t>
      </w:r>
    </w:p>
    <w:p w:rsidR="00000000" w:rsidDel="00000000" w:rsidP="00000000" w:rsidRDefault="00000000" w:rsidRPr="00000000" w14:paraId="000001C1">
      <w:pPr>
        <w:pStyle w:val="Heading4"/>
        <w:numPr>
          <w:ilvl w:val="3"/>
          <w:numId w:val="11"/>
        </w:numPr>
        <w:spacing w:after="120" w:before="120" w:lineRule="auto"/>
        <w:ind w:left="1985" w:hanging="851"/>
        <w:jc w:val="left"/>
        <w:rPr>
          <w:rFonts w:ascii="Arial" w:cs="Arial" w:eastAsia="Arial" w:hAnsi="Arial"/>
        </w:rPr>
      </w:pPr>
      <w:r w:rsidDel="00000000" w:rsidR="00000000" w:rsidRPr="00000000">
        <w:rPr>
          <w:rFonts w:ascii="Arial" w:cs="Arial" w:eastAsia="Arial" w:hAnsi="Arial"/>
          <w:rtl w:val="0"/>
        </w:rPr>
        <w:t xml:space="preserve">all employer's and NHSPS Fair Deal Employees' contributions intended to go to the NHSPS are kept in a separate bank account; and</w:t>
      </w:r>
    </w:p>
    <w:p w:rsidR="00000000" w:rsidDel="00000000" w:rsidP="00000000" w:rsidRDefault="00000000" w:rsidRPr="00000000" w14:paraId="000001C2">
      <w:pPr>
        <w:pStyle w:val="Heading4"/>
        <w:numPr>
          <w:ilvl w:val="3"/>
          <w:numId w:val="11"/>
        </w:numPr>
        <w:spacing w:after="120" w:before="120" w:lineRule="auto"/>
        <w:ind w:left="1985" w:hanging="851"/>
        <w:jc w:val="left"/>
        <w:rPr>
          <w:rFonts w:ascii="Arial" w:cs="Arial" w:eastAsia="Arial" w:hAnsi="Arial"/>
        </w:rPr>
      </w:pPr>
      <w:r w:rsidDel="00000000" w:rsidR="00000000" w:rsidRPr="00000000">
        <w:rPr>
          <w:rFonts w:ascii="Arial" w:cs="Arial" w:eastAsia="Arial" w:hAnsi="Arial"/>
          <w:rtl w:val="0"/>
        </w:rPr>
        <w:t xml:space="preserve">the Pension Benefits and Premature Retirement Rights of NHSPS Fair Deal Employees are not adversely affected.</w:t>
      </w:r>
    </w:p>
    <w:p w:rsidR="00000000" w:rsidDel="00000000" w:rsidP="00000000" w:rsidRDefault="00000000" w:rsidRPr="00000000" w14:paraId="000001C3">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8h4qwu" w:id="44"/>
      <w:bookmarkEnd w:id="44"/>
      <w:r w:rsidDel="00000000" w:rsidR="00000000" w:rsidRPr="00000000">
        <w:rPr>
          <w:color w:val="000000"/>
          <w:rtl w:val="0"/>
        </w:rPr>
        <w:t xml:space="preserve">The Supplier must supply to the Buyer</w:t>
      </w:r>
      <w:r w:rsidDel="00000000" w:rsidR="00000000" w:rsidRPr="00000000">
        <w:rPr>
          <w:i w:val="1"/>
          <w:iCs w:val="1"/>
          <w:color w:val="000000"/>
          <w:rtl w:val="0"/>
        </w:rPr>
        <w:t xml:space="preserve"> </w:t>
      </w:r>
      <w:r w:rsidDel="00000000" w:rsidR="00000000" w:rsidRPr="00000000">
        <w:rPr>
          <w:color w:val="000000"/>
          <w:rtl w:val="0"/>
        </w:rPr>
        <w:t xml:space="preserve">a complete copy of each Direction Letter/ Determination within 5 Working Days of receipt of the Direction Letter/Determination.</w:t>
      </w:r>
    </w:p>
    <w:p w:rsidR="00000000" w:rsidDel="00000000" w:rsidP="00000000" w:rsidRDefault="00000000" w:rsidRPr="00000000" w14:paraId="000001C4">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nmf14n" w:id="45"/>
      <w:bookmarkEnd w:id="45"/>
      <w:r w:rsidDel="00000000" w:rsidR="00000000" w:rsidRPr="00000000">
        <w:rPr>
          <w:color w:val="000000"/>
          <w:rtl w:val="0"/>
        </w:rPr>
        <w:t xml:space="preserve">The Supplier must ensure (and procure that each of its Sub-Contracts (if any) ensures) that all of its NHSPS Fair Deal Employees have a contractual right to continuous active membership of or eligibility for the NHSPS for so long as they have a right to membership or eligibility of that scheme under the terms of the Direction Letter/Determination.</w:t>
      </w:r>
    </w:p>
    <w:p w:rsidR="00000000" w:rsidDel="00000000" w:rsidP="00000000" w:rsidRDefault="00000000" w:rsidRPr="00000000" w14:paraId="000001C5">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7m2jsg" w:id="46"/>
      <w:bookmarkEnd w:id="46"/>
      <w:r w:rsidDel="00000000" w:rsidR="00000000" w:rsidRPr="00000000">
        <w:rPr>
          <w:color w:val="000000"/>
          <w:rtl w:val="0"/>
        </w:rPr>
        <w:t xml:space="preserve">The Supplier will (and will procure that its Subcontractors (if any) will) comply with the terms of the Direction Letter/Determination, the NHS Pension Scheme Regulations (including any terms which change as a result of changes in Law) and any relevant policy issued by the Department of Health and Social Care in respect of the NHSPS Fair Deal Employees for so long as it remains bound by the terms of any such Direction Letter/Determination. </w:t>
      </w:r>
    </w:p>
    <w:p w:rsidR="00000000" w:rsidDel="00000000" w:rsidP="00000000" w:rsidRDefault="00000000" w:rsidRPr="00000000" w14:paraId="000001C6">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1mrcu09" w:id="47"/>
      <w:bookmarkEnd w:id="47"/>
      <w:r w:rsidDel="00000000" w:rsidR="00000000" w:rsidRPr="00000000">
        <w:rPr>
          <w:color w:val="000000"/>
          <w:rtl w:val="0"/>
        </w:rPr>
        <w:t xml:space="preserve">Where any employee omitted from the Direction Letter/Determination supplied in accordance with Paragraph 2 of this Annex are subsequently found to be an NHSPS Fair Deal Employee, the Supplier will (and will procure that its Subcontractors (if any) will) treat that person as if they had been an NHSPS Fair Deal Employee from the Relevant Transfer Date so that their Pension Benefits and NHS Premature Retirement Rights are not adversely affected.</w:t>
      </w:r>
    </w:p>
    <w:p w:rsidR="00000000" w:rsidDel="00000000" w:rsidP="00000000" w:rsidRDefault="00000000" w:rsidRPr="00000000" w14:paraId="000001C7">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46r0co2" w:id="48"/>
      <w:bookmarkEnd w:id="48"/>
      <w:r w:rsidDel="00000000" w:rsidR="00000000" w:rsidRPr="00000000">
        <w:rPr>
          <w:color w:val="000000"/>
          <w:rtl w:val="0"/>
        </w:rPr>
        <w:t xml:space="preserve">The Supplier will (and will procure that its Subcontractors (if any) will) Subcontractor provide any guarantee, bond or indemnity required by NHS Pensions in relation to a Direction Letter/Determination.</w:t>
      </w:r>
    </w:p>
    <w:p w:rsidR="00000000" w:rsidDel="00000000" w:rsidP="00000000" w:rsidRDefault="00000000" w:rsidRPr="00000000" w14:paraId="000001C8">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Continuation of early retirement rights after transfer</w:t>
      </w:r>
      <w:r w:rsidDel="00000000" w:rsidR="00000000" w:rsidRPr="00000000">
        <w:rPr>
          <w:rtl w:val="0"/>
        </w:rPr>
      </w:r>
    </w:p>
    <w:p w:rsidR="00000000" w:rsidDel="00000000" w:rsidP="00000000" w:rsidRDefault="00000000" w:rsidRPr="00000000" w14:paraId="000001C9">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lwamvv" w:id="49"/>
      <w:bookmarkEnd w:id="49"/>
      <w:r w:rsidDel="00000000" w:rsidR="00000000" w:rsidRPr="00000000">
        <w:rPr>
          <w:color w:val="000000"/>
          <w:rtl w:val="0"/>
        </w:rPr>
        <w:t xml:space="preserve">From the Relevant Transfer Date until the Service Transfer Date, the Supplier must provide (and/or must ensure that its Subcontractors (if any) provide) NHS Premature Retirement Rights in respect of the NHSPS Fair Deal Employees that are identical to the benefits they would have received had they remained employees of the Buyer, an NHS Body or other employer which participates automatically in the NHSPS. </w:t>
      </w:r>
    </w:p>
    <w:p w:rsidR="00000000" w:rsidDel="00000000" w:rsidP="00000000" w:rsidRDefault="00000000" w:rsidRPr="00000000" w14:paraId="000001CA">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b w:val="1"/>
          <w:bCs w:val="1"/>
          <w:color w:val="000000"/>
          <w:rtl w:val="0"/>
        </w:rPr>
        <w:t xml:space="preserve">NHS Broadly Comparable Employees</w:t>
      </w:r>
      <w:r w:rsidDel="00000000" w:rsidR="00000000" w:rsidRPr="00000000">
        <w:rPr>
          <w:rtl w:val="0"/>
        </w:rPr>
      </w:r>
    </w:p>
    <w:p w:rsidR="00000000" w:rsidDel="00000000" w:rsidP="00000000" w:rsidRDefault="00000000" w:rsidRPr="00000000" w14:paraId="000001CB">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(and procure that its Subcontractors shall), with effect from the Relevant Transfer Date, offer the NHSPS Broadly Comparable Employees membership of a pension scheme which is Broadly Comparable to NHSPS on the Relevant Transfer Date in accordance with Paragraph 10 of Part D. For the avoidance of doubt, this requirement is separate from any requirement to offer a Broadly Comparable pension scheme in accordance with Paragraph 5.2 below.  </w:t>
      </w:r>
    </w:p>
    <w:p w:rsidR="00000000" w:rsidDel="00000000" w:rsidP="00000000" w:rsidRDefault="00000000" w:rsidRPr="00000000" w14:paraId="000001CC">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bookmarkStart w:colFirst="0" w:colLast="0" w:name="_heading=h.111kx3o" w:id="50"/>
      <w:bookmarkEnd w:id="50"/>
      <w:r w:rsidDel="00000000" w:rsidR="00000000" w:rsidRPr="00000000">
        <w:rPr>
          <w:b w:val="1"/>
          <w:bCs w:val="1"/>
          <w:smallCaps w:val="1"/>
          <w:color w:val="000000"/>
          <w:rtl w:val="0"/>
        </w:rPr>
        <w:t xml:space="preserve">W</w:t>
      </w:r>
      <w:r w:rsidDel="00000000" w:rsidR="00000000" w:rsidRPr="00000000">
        <w:rPr>
          <w:rFonts w:ascii="Arial" w:cs="Arial" w:eastAsia="Arial" w:hAnsi="Arial"/>
          <w:b w:val="1"/>
          <w:bCs w:val="1"/>
          <w:color w:val="000000"/>
          <w:rtl w:val="0"/>
        </w:rPr>
        <w:t xml:space="preserve">hat the buyer can do if the Supplier breaches its pension obligations</w:t>
      </w:r>
      <w:r w:rsidDel="00000000" w:rsidR="00000000" w:rsidRPr="00000000">
        <w:rPr>
          <w:rtl w:val="0"/>
        </w:rPr>
      </w:r>
    </w:p>
    <w:p w:rsidR="00000000" w:rsidDel="00000000" w:rsidP="00000000" w:rsidRDefault="00000000" w:rsidRPr="00000000" w14:paraId="000001CD">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l18frh" w:id="51"/>
      <w:bookmarkEnd w:id="51"/>
      <w:r w:rsidDel="00000000" w:rsidR="00000000" w:rsidRPr="00000000">
        <w:rPr>
          <w:color w:val="000000"/>
          <w:rtl w:val="0"/>
        </w:rPr>
        <w:t xml:space="preserve">The Supplier agrees that the Buyer is entitled to make arrangements with NHS Pensions for the Buyer to be notified if the Supplier (or its Subcontractor) breaches the terms of its Direction Letter/Determination. Notwithstanding the provisions of the foregoing, the Supplier shall notify the Buyer in the event that it (or its Subcontractor) breaches the terms of its Direction Letter/Determination.</w:t>
      </w:r>
    </w:p>
    <w:p w:rsidR="00000000" w:rsidDel="00000000" w:rsidP="00000000" w:rsidRDefault="00000000" w:rsidRPr="00000000" w14:paraId="000001CE">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06ipza" w:id="52"/>
      <w:bookmarkEnd w:id="52"/>
      <w:r w:rsidDel="00000000" w:rsidR="00000000" w:rsidRPr="00000000">
        <w:rPr>
          <w:color w:val="000000"/>
          <w:rtl w:val="0"/>
        </w:rPr>
        <w:t xml:space="preserve">If the Supplier (or its Subcontractors, if relevant) ceases to participate in the NHSPS for whatever reason, the</w:t>
      </w:r>
      <w:r w:rsidDel="00000000" w:rsidR="00000000" w:rsidRPr="00000000">
        <w:rPr>
          <w:i w:val="1"/>
          <w:iCs w:val="1"/>
          <w:color w:val="000000"/>
          <w:rtl w:val="0"/>
        </w:rPr>
        <w:t xml:space="preserve"> </w:t>
      </w:r>
      <w:r w:rsidDel="00000000" w:rsidR="00000000" w:rsidRPr="00000000">
        <w:rPr>
          <w:color w:val="000000"/>
          <w:rtl w:val="0"/>
        </w:rPr>
        <w:t xml:space="preserve">Supplier (or any such Subcontractor, as appropriate) shall offer to offer the NHSPS Eligible Employees membership of a pension scheme which is Broadly Comparable to the NHSPS on the date the NHSPS Eligible Employees ceased to participate in the NHSPS in accordance with the provisions of Paragraph 11 of Part D. </w:t>
      </w:r>
    </w:p>
    <w:p w:rsidR="00000000" w:rsidDel="00000000" w:rsidP="00000000" w:rsidRDefault="00000000" w:rsidRPr="00000000" w14:paraId="000001CF">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Compensation when pension scheme access can’t be provided</w:t>
      </w:r>
      <w:r w:rsidDel="00000000" w:rsidR="00000000" w:rsidRPr="00000000">
        <w:rPr>
          <w:rtl w:val="0"/>
        </w:rPr>
      </w:r>
    </w:p>
    <w:p w:rsidR="00000000" w:rsidDel="00000000" w:rsidP="00000000" w:rsidRDefault="00000000" w:rsidRPr="00000000" w14:paraId="000001D0">
      <w:pPr>
        <w:keepNext w:val="1"/>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4k668n3" w:id="53"/>
      <w:bookmarkEnd w:id="53"/>
      <w:r w:rsidDel="00000000" w:rsidR="00000000" w:rsidRPr="00000000">
        <w:rPr>
          <w:color w:val="000000"/>
          <w:rtl w:val="0"/>
        </w:rPr>
        <w:t xml:space="preserve">If the Supplier (or its Subcontractor, if relevant) is unable to provide the NHSPS Fair Deal Employees with either membership of: </w:t>
      </w:r>
    </w:p>
    <w:p w:rsidR="00000000" w:rsidDel="00000000" w:rsidP="00000000" w:rsidRDefault="00000000" w:rsidRPr="00000000" w14:paraId="000001D1">
      <w:pPr>
        <w:numPr>
          <w:ilvl w:val="2"/>
          <w:numId w:val="2"/>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2zbgiuw" w:id="54"/>
      <w:bookmarkEnd w:id="54"/>
      <w:r w:rsidDel="00000000" w:rsidR="00000000" w:rsidRPr="00000000">
        <w:rPr>
          <w:color w:val="000000"/>
          <w:rtl w:val="0"/>
        </w:rPr>
        <w:t xml:space="preserve">the NHSPS (having used its best endeavours to secure a Direction Letter/Determination); or </w:t>
      </w:r>
    </w:p>
    <w:p w:rsidR="00000000" w:rsidDel="00000000" w:rsidP="00000000" w:rsidRDefault="00000000" w:rsidRPr="00000000" w14:paraId="000001D2">
      <w:pPr>
        <w:numPr>
          <w:ilvl w:val="2"/>
          <w:numId w:val="2"/>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1egqt2p" w:id="55"/>
      <w:bookmarkEnd w:id="55"/>
      <w:r w:rsidDel="00000000" w:rsidR="00000000" w:rsidRPr="00000000">
        <w:rPr>
          <w:color w:val="000000"/>
          <w:rtl w:val="0"/>
        </w:rPr>
        <w:t xml:space="preserve">a Broadly Comparable pension scheme, </w:t>
      </w:r>
    </w:p>
    <w:p w:rsidR="00000000" w:rsidDel="00000000" w:rsidP="00000000" w:rsidRDefault="00000000" w:rsidRPr="00000000" w14:paraId="000001D3">
      <w:pPr>
        <w:spacing w:after="120" w:before="120" w:lineRule="auto"/>
        <w:ind w:left="1134" w:firstLine="0"/>
        <w:jc w:val="left"/>
        <w:rPr/>
      </w:pPr>
      <w:r w:rsidDel="00000000" w:rsidR="00000000" w:rsidRPr="00000000">
        <w:rPr>
          <w:rtl w:val="0"/>
        </w:rPr>
        <w:t xml:space="preserve">the Buyer</w:t>
      </w:r>
      <w:r w:rsidDel="00000000" w:rsidR="00000000" w:rsidRPr="00000000">
        <w:rPr>
          <w:i w:val="1"/>
          <w:iCs w:val="1"/>
          <w:rtl w:val="0"/>
        </w:rPr>
        <w:t xml:space="preserve"> </w:t>
      </w:r>
      <w:r w:rsidDel="00000000" w:rsidR="00000000" w:rsidRPr="00000000">
        <w:rPr>
          <w:rtl w:val="0"/>
        </w:rPr>
        <w:t xml:space="preserve">may in its sole discretion permit the Supplier (or any of its Subcontractors) to compensate the NHSPS Fair Deal Employees in a manner that is Broadly Comparable or equivalent in cash terms, the Supplier (or Subcontractor as relevant) having consulted with a view to reaching agreement with any recognised trade union or, in the absence of such body, the NHSPS Fair Deal Employees. The Supplier must meet (or must procure that the relevant Subcontractor meets) the costs of the Buyer</w:t>
      </w:r>
      <w:r w:rsidDel="00000000" w:rsidR="00000000" w:rsidRPr="00000000">
        <w:rPr>
          <w:i w:val="1"/>
          <w:iCs w:val="1"/>
          <w:rtl w:val="0"/>
        </w:rPr>
        <w:t xml:space="preserve"> </w:t>
      </w:r>
      <w:r w:rsidDel="00000000" w:rsidR="00000000" w:rsidRPr="00000000">
        <w:rPr>
          <w:rtl w:val="0"/>
        </w:rPr>
        <w:t xml:space="preserve">determining whether the level of compensation offered is reasonable in the circumstances.  </w:t>
      </w:r>
    </w:p>
    <w:p w:rsidR="00000000" w:rsidDel="00000000" w:rsidP="00000000" w:rsidRDefault="00000000" w:rsidRPr="00000000" w14:paraId="000001D4">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ygebqi" w:id="56"/>
      <w:bookmarkEnd w:id="56"/>
      <w:r w:rsidDel="00000000" w:rsidR="00000000" w:rsidRPr="00000000">
        <w:rPr>
          <w:color w:val="000000"/>
          <w:rtl w:val="0"/>
        </w:rPr>
        <w:t xml:space="preserve">This flexibility for the Buyer to allow compensation in place of Pension Benefits is in addition to and not instead of the Buyer’s right to terminate the Contract.</w:t>
      </w:r>
    </w:p>
    <w:p w:rsidR="00000000" w:rsidDel="00000000" w:rsidP="00000000" w:rsidRDefault="00000000" w:rsidRPr="00000000" w14:paraId="000001D5">
      <w:pPr>
        <w:keepNext w:val="1"/>
        <w:numPr>
          <w:ilvl w:val="0"/>
          <w:numId w:val="2"/>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Indemnities that a Supplier must give</w:t>
      </w:r>
    </w:p>
    <w:p w:rsidR="00000000" w:rsidDel="00000000" w:rsidP="00000000" w:rsidRDefault="00000000" w:rsidRPr="00000000" w14:paraId="000001D6">
      <w:pPr>
        <w:numPr>
          <w:ilvl w:val="1"/>
          <w:numId w:val="2"/>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dlolyb" w:id="57"/>
      <w:bookmarkEnd w:id="57"/>
      <w:r w:rsidDel="00000000" w:rsidR="00000000" w:rsidRPr="00000000">
        <w:rPr>
          <w:color w:val="000000"/>
          <w:rtl w:val="0"/>
        </w:rPr>
        <w:t xml:space="preserve">The Supplier must indemnify and keep indemnified the </w:t>
      </w:r>
      <w:r w:rsidDel="00000000" w:rsidR="00000000" w:rsidRPr="00000000">
        <w:rPr>
          <w:rtl w:val="0"/>
        </w:rPr>
        <w:t xml:space="preserve">GCA</w:t>
      </w:r>
      <w:r w:rsidDel="00000000" w:rsidR="00000000" w:rsidRPr="00000000">
        <w:rPr>
          <w:color w:val="000000"/>
          <w:rtl w:val="0"/>
        </w:rPr>
        <w:t xml:space="preserve">, the Buyer and any Replacement Supplier against all Losses arising out of any claim by any NHSPS Fair Deal Employee or any NHS Broadly Comparable Employees that the provision of (or failure to provide) Pension Benefits and NHS Premature Retirement Rights from the Relevant Transfer Date, or the level of such benefit provided, constitutes a breach of his or her employment rights.</w:t>
      </w:r>
    </w:p>
    <w:p w:rsidR="00000000" w:rsidDel="00000000" w:rsidP="00000000" w:rsidRDefault="00000000" w:rsidRPr="00000000" w14:paraId="000001D7">
      <w:pPr>
        <w:spacing w:after="120" w:before="120" w:lineRule="auto"/>
        <w:jc w:val="left"/>
        <w:rPr>
          <w:rFonts w:ascii="Arial" w:cs="Arial" w:eastAsia="Arial" w:hAnsi="Arial"/>
          <w:b w:val="1"/>
          <w:bCs w:val="1"/>
          <w:sz w:val="36"/>
          <w:szCs w:val="36"/>
        </w:rPr>
      </w:pPr>
      <w:r w:rsidDel="00000000" w:rsidR="00000000" w:rsidRPr="00000000">
        <w:br w:type="page"/>
      </w:r>
      <w:r w:rsidDel="00000000" w:rsidR="00000000" w:rsidRPr="00000000">
        <w:rPr>
          <w:rFonts w:ascii="Arial" w:cs="Arial" w:eastAsia="Arial" w:hAnsi="Arial"/>
          <w:b w:val="1"/>
          <w:bCs w:val="1"/>
          <w:sz w:val="36"/>
          <w:szCs w:val="36"/>
          <w:rtl w:val="0"/>
        </w:rPr>
        <w:t xml:space="preserve">Annex D3: </w:t>
      </w:r>
    </w:p>
    <w:p w:rsidR="00000000" w:rsidDel="00000000" w:rsidP="00000000" w:rsidRDefault="00000000" w:rsidRPr="00000000" w14:paraId="000001D8">
      <w:pPr>
        <w:spacing w:after="120" w:before="120" w:lineRule="auto"/>
        <w:jc w:val="left"/>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Local Government Pension Schemes (LGPS)</w:t>
      </w:r>
    </w:p>
    <w:p w:rsidR="00000000" w:rsidDel="00000000" w:rsidP="00000000" w:rsidRDefault="00000000" w:rsidRPr="00000000" w14:paraId="000001D9">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[Guidance: You should take specific legal advice on this Annex D3 and in particular the risk apportionment provisions contained herein. </w:t>
      </w:r>
    </w:p>
    <w:p w:rsidR="00000000" w:rsidDel="00000000" w:rsidP="00000000" w:rsidRDefault="00000000" w:rsidRPr="00000000" w14:paraId="000001DA">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Please note that this Part D is drafted to reflect the requirements of New Fair Deal. Accordingly, where a contracting authority is a local authority (or other type of best value authority) then it will be subject to the requirements of the Best Value Authorities Staff Transfers (Pensions) Direction 2007 (or the Welsh Authorities Staff Transfers (Pensions) Direction 2012 if appropriate) and should take further specific legal advice to ensure compliance with those Directions.  </w:t>
      </w:r>
    </w:p>
    <w:p w:rsidR="00000000" w:rsidDel="00000000" w:rsidP="00000000" w:rsidRDefault="00000000" w:rsidRPr="00000000" w14:paraId="000001DB">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Note the LGPS unlike the CSPS &amp; NHSPS is a funded scheme which has associated cost implications as follows:</w:t>
      </w:r>
    </w:p>
    <w:p w:rsidR="00000000" w:rsidDel="00000000" w:rsidP="00000000" w:rsidRDefault="00000000" w:rsidRPr="00000000" w14:paraId="000001DC">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There is not 1 LGPS but approx. 90 different Funds, each with their own separate Scheme Employer and Administering Buyer, it is important to identify the correct one(s) and amend the definition of "Fund" accordingly.</w:t>
      </w:r>
    </w:p>
    <w:p w:rsidR="00000000" w:rsidDel="00000000" w:rsidP="00000000" w:rsidRDefault="00000000" w:rsidRPr="00000000" w14:paraId="000001DD">
      <w:pPr>
        <w:spacing w:after="120" w:before="120" w:lineRule="auto"/>
        <w:jc w:val="left"/>
        <w:rPr>
          <w:b w:val="1"/>
          <w:bCs w:val="1"/>
          <w:i w:val="1"/>
          <w:iCs w:val="1"/>
          <w:highlight w:val="yellow"/>
        </w:rPr>
      </w:pPr>
      <w:r w:rsidDel="00000000" w:rsidR="00000000" w:rsidRPr="00000000">
        <w:rPr>
          <w:b w:val="1"/>
          <w:bCs w:val="1"/>
          <w:i w:val="1"/>
          <w:iCs w:val="1"/>
          <w:highlight w:val="yellow"/>
          <w:rtl w:val="0"/>
        </w:rPr>
        <w:t xml:space="preserve">It is important to check whether GCA and or the Buyer can actually participate in the LGPS. Where a government department is taking on services which were formerly the responsibility of a Local Authority it may be necessary to obtain secretary of state approval for participation in the LGPS, this is because the services are being provided to Gov. Dept. and not to a Local Authority. </w:t>
      </w:r>
    </w:p>
    <w:p w:rsidR="00000000" w:rsidDel="00000000" w:rsidP="00000000" w:rsidRDefault="00000000" w:rsidRPr="00000000" w14:paraId="000001DE">
      <w:pPr>
        <w:spacing w:after="120" w:before="120" w:lineRule="auto"/>
        <w:jc w:val="left"/>
        <w:rPr/>
      </w:pPr>
      <w:r w:rsidDel="00000000" w:rsidR="00000000" w:rsidRPr="00000000">
        <w:rPr>
          <w:b w:val="1"/>
          <w:bCs w:val="1"/>
          <w:i w:val="1"/>
          <w:iCs w:val="1"/>
          <w:highlight w:val="yellow"/>
          <w:rtl w:val="0"/>
        </w:rPr>
        <w:t xml:space="preserve">Unlike New Fair Deal the 2007 Best Value pension direction does not provide a right to bulk transfer past service. Whilst typically before the 2007 direction LA did provide such a right, it is a significant additional cost and therefore bulk transfer wording has been excluded. If required take legal advice due to the exceptionally high costs which can result from a requirement to provide bulk transfers.]</w:t>
      </w:r>
      <w:r w:rsidDel="00000000" w:rsidR="00000000" w:rsidRPr="00000000">
        <w:rPr>
          <w:rtl w:val="0"/>
        </w:rPr>
      </w:r>
    </w:p>
    <w:p w:rsidR="00000000" w:rsidDel="00000000" w:rsidP="00000000" w:rsidRDefault="00000000" w:rsidRPr="00000000" w14:paraId="000001DF">
      <w:pPr>
        <w:keepNext w:val="1"/>
        <w:numPr>
          <w:ilvl w:val="0"/>
          <w:numId w:val="4"/>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Definitions</w:t>
      </w:r>
      <w:r w:rsidDel="00000000" w:rsidR="00000000" w:rsidRPr="00000000">
        <w:rPr>
          <w:rtl w:val="0"/>
        </w:rPr>
      </w:r>
    </w:p>
    <w:p w:rsidR="00000000" w:rsidDel="00000000" w:rsidP="00000000" w:rsidRDefault="00000000" w:rsidRPr="00000000" w14:paraId="000001E0">
      <w:pPr>
        <w:keepNext w:val="1"/>
        <w:pBdr>
          <w:top w:space="0" w:sz="0" w:val="nil"/>
          <w:left w:space="0" w:sz="0" w:val="nil"/>
          <w:bottom w:space="0" w:sz="0" w:val="nil"/>
          <w:right w:space="0" w:sz="0" w:val="nil"/>
          <w:between w:space="0" w:sz="0" w:val="nil"/>
        </w:pBdr>
        <w:spacing w:after="120" w:before="120" w:lineRule="auto"/>
        <w:ind w:left="720" w:hanging="294"/>
        <w:jc w:val="left"/>
        <w:rPr>
          <w:color w:val="000000"/>
        </w:rPr>
      </w:pPr>
      <w:r w:rsidDel="00000000" w:rsidR="00000000" w:rsidRPr="00000000">
        <w:rPr>
          <w:color w:val="000000"/>
          <w:rtl w:val="0"/>
        </w:rPr>
        <w:t xml:space="preserve">In this Annex D3: LGPS to Part D: Pensions, the following words have the following meanings and they shall supplement Joint Schedule 1 </w:t>
      </w:r>
      <w:r w:rsidDel="00000000" w:rsidR="00000000" w:rsidRPr="00000000">
        <w:rPr>
          <w:i w:val="1"/>
          <w:iCs w:val="1"/>
          <w:color w:val="000000"/>
          <w:rtl w:val="0"/>
        </w:rPr>
        <w:t xml:space="preserve">(Definitions)</w:t>
      </w:r>
      <w:r w:rsidDel="00000000" w:rsidR="00000000" w:rsidRPr="00000000">
        <w:rPr>
          <w:color w:val="000000"/>
          <w:rtl w:val="0"/>
        </w:rPr>
        <w:t xml:space="preserve">:</w:t>
      </w:r>
    </w:p>
    <w:tbl>
      <w:tblPr>
        <w:tblStyle w:val="Table5"/>
        <w:tblW w:w="9026.0" w:type="dxa"/>
        <w:jc w:val="left"/>
        <w:tblInd w:w="-115.0" w:type="dxa"/>
        <w:tblLayout w:type="fixed"/>
        <w:tblLook w:val="0000"/>
      </w:tblPr>
      <w:tblGrid>
        <w:gridCol w:w="2635"/>
        <w:gridCol w:w="6391"/>
        <w:tblGridChange w:id="0">
          <w:tblGrid>
            <w:gridCol w:w="2635"/>
            <w:gridCol w:w="6391"/>
          </w:tblGrid>
        </w:tblGridChange>
      </w:tblGrid>
      <w:tr>
        <w:trPr>
          <w:cantSplit w:val="0"/>
          <w:trHeight w:val="653" w:hRule="atLeast"/>
          <w:tblHeader w:val="0"/>
        </w:trPr>
        <w:tc>
          <w:tcPr>
            <w:shd w:fill="auto" w:val="clear"/>
          </w:tcPr>
          <w:p w:rsidR="00000000" w:rsidDel="00000000" w:rsidP="00000000" w:rsidRDefault="00000000" w:rsidRPr="00000000" w14:paraId="000001E1">
            <w:pPr>
              <w:spacing w:after="120" w:before="120" w:lineRule="auto"/>
              <w:ind w:left="720" w:firstLine="0"/>
              <w:jc w:val="left"/>
              <w:rPr>
                <w:b w:val="1"/>
                <w:bCs w:val="1"/>
              </w:rPr>
            </w:pPr>
            <w:r w:rsidDel="00000000" w:rsidR="00000000" w:rsidRPr="00000000">
              <w:rPr>
                <w:b w:val="1"/>
                <w:bCs w:val="1"/>
                <w:rtl w:val="0"/>
              </w:rPr>
              <w:t xml:space="preserve">“2013 Regulations”</w:t>
            </w:r>
          </w:p>
        </w:tc>
        <w:tc>
          <w:tcPr>
            <w:shd w:fill="auto" w:val="clear"/>
          </w:tcPr>
          <w:p w:rsidR="00000000" w:rsidDel="00000000" w:rsidP="00000000" w:rsidRDefault="00000000" w:rsidRPr="00000000" w14:paraId="000001E2">
            <w:pPr>
              <w:spacing w:after="120" w:before="120" w:lineRule="auto"/>
              <w:jc w:val="left"/>
              <w:rPr/>
            </w:pPr>
            <w:r w:rsidDel="00000000" w:rsidR="00000000" w:rsidRPr="00000000">
              <w:rPr>
                <w:rtl w:val="0"/>
              </w:rPr>
              <w:t xml:space="preserve">the Local Government Pension Scheme Regulations 2013 (SI 2013/2356) (as amended from time to time);</w:t>
            </w:r>
          </w:p>
        </w:tc>
      </w:tr>
      <w:tr>
        <w:trPr>
          <w:cantSplit w:val="0"/>
          <w:trHeight w:val="653" w:hRule="atLeast"/>
          <w:tblHeader w:val="0"/>
        </w:trPr>
        <w:tc>
          <w:tcPr>
            <w:shd w:fill="auto" w:val="clear"/>
          </w:tcPr>
          <w:p w:rsidR="00000000" w:rsidDel="00000000" w:rsidP="00000000" w:rsidRDefault="00000000" w:rsidRPr="00000000" w14:paraId="000001E3">
            <w:pPr>
              <w:spacing w:after="120" w:before="120" w:lineRule="auto"/>
              <w:ind w:left="720" w:firstLine="0"/>
              <w:jc w:val="left"/>
              <w:rPr/>
            </w:pPr>
            <w:r w:rsidDel="00000000" w:rsidR="00000000" w:rsidRPr="00000000">
              <w:rPr>
                <w:rtl w:val="0"/>
              </w:rPr>
              <w:t xml:space="preserve">"</w:t>
            </w:r>
            <w:r w:rsidDel="00000000" w:rsidR="00000000" w:rsidRPr="00000000">
              <w:rPr>
                <w:b w:val="1"/>
                <w:bCs w:val="1"/>
                <w:rtl w:val="0"/>
              </w:rPr>
              <w:t xml:space="preserve">Administering Buyer</w:t>
            </w:r>
            <w:r w:rsidDel="00000000" w:rsidR="00000000" w:rsidRPr="00000000">
              <w:rPr>
                <w:rtl w:val="0"/>
              </w:rPr>
              <w:t xml:space="preserve">"</w:t>
            </w:r>
          </w:p>
        </w:tc>
        <w:tc>
          <w:tcPr>
            <w:shd w:fill="auto" w:val="clear"/>
          </w:tcPr>
          <w:p w:rsidR="00000000" w:rsidDel="00000000" w:rsidP="00000000" w:rsidRDefault="00000000" w:rsidRPr="00000000" w14:paraId="000001E4">
            <w:pPr>
              <w:spacing w:after="120" w:before="120" w:lineRule="auto"/>
              <w:jc w:val="left"/>
              <w:rPr/>
            </w:pPr>
            <w:r w:rsidDel="00000000" w:rsidR="00000000" w:rsidRPr="00000000">
              <w:rPr>
                <w:rtl w:val="0"/>
              </w:rPr>
              <w:t xml:space="preserve">in relation to </w:t>
            </w:r>
            <w:r w:rsidDel="00000000" w:rsidR="00000000" w:rsidRPr="00000000">
              <w:rPr>
                <w:b w:val="1"/>
                <w:bCs w:val="1"/>
                <w:highlight w:val="yellow"/>
                <w:rtl w:val="0"/>
              </w:rPr>
              <w:t xml:space="preserve">the Fund [insert name],</w:t>
            </w:r>
            <w:r w:rsidDel="00000000" w:rsidR="00000000" w:rsidRPr="00000000">
              <w:rPr>
                <w:rtl w:val="0"/>
              </w:rPr>
              <w:t xml:space="preserve">the relevant Administering Buyer of that Fund for the purposes of the 2013 Regulations;</w:t>
            </w:r>
          </w:p>
        </w:tc>
      </w:tr>
      <w:tr>
        <w:trPr>
          <w:cantSplit w:val="0"/>
          <w:trHeight w:val="653" w:hRule="atLeast"/>
          <w:tblHeader w:val="0"/>
        </w:trPr>
        <w:tc>
          <w:tcPr>
            <w:shd w:fill="auto" w:val="clear"/>
          </w:tcPr>
          <w:p w:rsidR="00000000" w:rsidDel="00000000" w:rsidP="00000000" w:rsidRDefault="00000000" w:rsidRPr="00000000" w14:paraId="000001E5">
            <w:pPr>
              <w:spacing w:after="120" w:before="120" w:lineRule="auto"/>
              <w:ind w:left="720" w:firstLine="0"/>
              <w:jc w:val="left"/>
              <w:rPr/>
            </w:pPr>
            <w:r w:rsidDel="00000000" w:rsidR="00000000" w:rsidRPr="00000000">
              <w:rPr>
                <w:rtl w:val="0"/>
              </w:rPr>
              <w:t xml:space="preserve">"</w:t>
            </w:r>
            <w:r w:rsidDel="00000000" w:rsidR="00000000" w:rsidRPr="00000000">
              <w:rPr>
                <w:b w:val="1"/>
                <w:bCs w:val="1"/>
                <w:rtl w:val="0"/>
              </w:rPr>
              <w:t xml:space="preserve">Fund Actuary</w:t>
            </w:r>
            <w:r w:rsidDel="00000000" w:rsidR="00000000" w:rsidRPr="00000000">
              <w:rPr>
                <w:rtl w:val="0"/>
              </w:rPr>
              <w:t xml:space="preserve">"</w:t>
            </w:r>
          </w:p>
        </w:tc>
        <w:tc>
          <w:tcPr>
            <w:shd w:fill="auto" w:val="clear"/>
          </w:tcPr>
          <w:p w:rsidR="00000000" w:rsidDel="00000000" w:rsidP="00000000" w:rsidRDefault="00000000" w:rsidRPr="00000000" w14:paraId="000001E6">
            <w:pPr>
              <w:spacing w:after="120" w:before="120" w:lineRule="auto"/>
              <w:jc w:val="left"/>
              <w:rPr/>
            </w:pPr>
            <w:r w:rsidDel="00000000" w:rsidR="00000000" w:rsidRPr="00000000">
              <w:rPr>
                <w:rtl w:val="0"/>
              </w:rPr>
              <w:t xml:space="preserve">the actuary to a Fund appointed by the Administering Buyer of that Fund;</w:t>
            </w:r>
          </w:p>
        </w:tc>
      </w:tr>
      <w:tr>
        <w:trPr>
          <w:cantSplit w:val="0"/>
          <w:trHeight w:val="337" w:hRule="atLeast"/>
          <w:tblHeader w:val="0"/>
        </w:trPr>
        <w:tc>
          <w:tcPr>
            <w:shd w:fill="auto" w:val="clear"/>
          </w:tcPr>
          <w:p w:rsidR="00000000" w:rsidDel="00000000" w:rsidP="00000000" w:rsidRDefault="00000000" w:rsidRPr="00000000" w14:paraId="000001E7">
            <w:pPr>
              <w:spacing w:after="120" w:before="120" w:lineRule="auto"/>
              <w:ind w:left="720" w:firstLine="0"/>
              <w:jc w:val="left"/>
              <w:rPr/>
            </w:pPr>
            <w:r w:rsidDel="00000000" w:rsidR="00000000" w:rsidRPr="00000000">
              <w:rPr>
                <w:rtl w:val="0"/>
              </w:rPr>
              <w:t xml:space="preserve">"</w:t>
            </w:r>
            <w:r w:rsidDel="00000000" w:rsidR="00000000" w:rsidRPr="00000000">
              <w:rPr>
                <w:b w:val="1"/>
                <w:bCs w:val="1"/>
                <w:rtl w:val="0"/>
              </w:rPr>
              <w:t xml:space="preserve">Fund</w:t>
            </w:r>
            <w:r w:rsidDel="00000000" w:rsidR="00000000" w:rsidRPr="00000000">
              <w:rPr>
                <w:rtl w:val="0"/>
              </w:rPr>
              <w:t xml:space="preserve">"</w:t>
            </w:r>
          </w:p>
        </w:tc>
        <w:tc>
          <w:tcPr>
            <w:shd w:fill="auto" w:val="clear"/>
          </w:tcPr>
          <w:p w:rsidR="00000000" w:rsidDel="00000000" w:rsidP="00000000" w:rsidRDefault="00000000" w:rsidRPr="00000000" w14:paraId="000001E8">
            <w:pPr>
              <w:spacing w:after="120" w:before="120" w:lineRule="auto"/>
              <w:jc w:val="left"/>
              <w:rPr>
                <w:b w:val="1"/>
                <w:bCs w:val="1"/>
              </w:rPr>
            </w:pPr>
            <w:r w:rsidDel="00000000" w:rsidR="00000000" w:rsidRPr="00000000">
              <w:rPr>
                <w:b w:val="1"/>
                <w:bCs w:val="1"/>
                <w:highlight w:val="yellow"/>
                <w:rtl w:val="0"/>
              </w:rPr>
              <w:t xml:space="preserve">[insert name], a pension fund within the LGPS;</w:t>
            </w:r>
            <w:r w:rsidDel="00000000" w:rsidR="00000000" w:rsidRPr="00000000">
              <w:rPr>
                <w:rtl w:val="0"/>
              </w:rPr>
            </w:r>
          </w:p>
        </w:tc>
      </w:tr>
      <w:tr>
        <w:trPr>
          <w:cantSplit w:val="0"/>
          <w:trHeight w:val="337" w:hRule="atLeast"/>
          <w:tblHeader w:val="0"/>
        </w:trPr>
        <w:tc>
          <w:tcPr>
            <w:shd w:fill="auto" w:val="clear"/>
          </w:tcPr>
          <w:p w:rsidR="00000000" w:rsidDel="00000000" w:rsidP="00000000" w:rsidRDefault="00000000" w:rsidRPr="00000000" w14:paraId="000001E9">
            <w:pPr>
              <w:spacing w:after="120" w:before="120" w:lineRule="auto"/>
              <w:ind w:left="720" w:firstLine="0"/>
              <w:jc w:val="left"/>
              <w:rPr/>
            </w:pPr>
            <w:r w:rsidDel="00000000" w:rsidR="00000000" w:rsidRPr="00000000">
              <w:rPr>
                <w:b w:val="1"/>
                <w:bCs w:val="1"/>
                <w:rtl w:val="0"/>
              </w:rPr>
              <w:t xml:space="preserve">[“Initial Contribution Rate”</w:t>
            </w:r>
            <w:r w:rsidDel="00000000" w:rsidR="00000000" w:rsidRPr="00000000">
              <w:rPr>
                <w:b w:val="1"/>
                <w:bCs w:val="1"/>
                <w:vertAlign w:val="superscript"/>
              </w:rPr>
              <w:footnoteReference w:customMarkFollows="0" w:id="5"/>
            </w:r>
            <w:r w:rsidDel="00000000" w:rsidR="00000000" w:rsidRPr="00000000">
              <w:rPr>
                <w:b w:val="1"/>
                <w:bCs w:val="1"/>
                <w:rtl w:val="0"/>
              </w:rPr>
              <w:t xml:space="preserve">]</w:t>
            </w:r>
            <w:r w:rsidDel="00000000" w:rsidR="00000000" w:rsidRPr="00000000">
              <w:rPr>
                <w:rtl w:val="0"/>
              </w:rPr>
            </w:r>
          </w:p>
        </w:tc>
        <w:tc>
          <w:tcPr>
            <w:shd w:fill="auto" w:val="clear"/>
          </w:tcPr>
          <w:p w:rsidR="00000000" w:rsidDel="00000000" w:rsidP="00000000" w:rsidRDefault="00000000" w:rsidRPr="00000000" w14:paraId="000001EA">
            <w:pPr>
              <w:spacing w:after="120" w:before="120" w:lineRule="auto"/>
              <w:jc w:val="left"/>
              <w:rPr>
                <w:b w:val="1"/>
                <w:bCs w:val="1"/>
                <w:highlight w:val="yellow"/>
              </w:rPr>
            </w:pPr>
            <w:r w:rsidDel="00000000" w:rsidR="00000000" w:rsidRPr="00000000">
              <w:rPr>
                <w:rtl w:val="0"/>
              </w:rPr>
              <w:t xml:space="preserve">[XX %] of pensionable pay (as defined in the 2013 Regulations);] </w:t>
            </w:r>
            <w:r w:rsidDel="00000000" w:rsidR="00000000" w:rsidRPr="00000000">
              <w:rPr>
                <w:rtl w:val="0"/>
              </w:rPr>
            </w:r>
          </w:p>
        </w:tc>
      </w:tr>
      <w:tr>
        <w:trPr>
          <w:cantSplit w:val="0"/>
          <w:trHeight w:val="1269" w:hRule="atLeast"/>
          <w:tblHeader w:val="0"/>
        </w:trPr>
        <w:tc>
          <w:tcPr>
            <w:shd w:fill="auto" w:val="clear"/>
          </w:tcPr>
          <w:p w:rsidR="00000000" w:rsidDel="00000000" w:rsidP="00000000" w:rsidRDefault="00000000" w:rsidRPr="00000000" w14:paraId="000001EB">
            <w:pPr>
              <w:spacing w:after="120" w:before="120" w:lineRule="auto"/>
              <w:ind w:left="720" w:firstLine="0"/>
              <w:jc w:val="left"/>
              <w:rPr/>
            </w:pPr>
            <w:r w:rsidDel="00000000" w:rsidR="00000000" w:rsidRPr="00000000">
              <w:rPr>
                <w:rtl w:val="0"/>
              </w:rPr>
              <w:t xml:space="preserve">"</w:t>
            </w:r>
            <w:r w:rsidDel="00000000" w:rsidR="00000000" w:rsidRPr="00000000">
              <w:rPr>
                <w:b w:val="1"/>
                <w:bCs w:val="1"/>
                <w:rtl w:val="0"/>
              </w:rPr>
              <w:t xml:space="preserve">LGPS</w:t>
            </w:r>
            <w:r w:rsidDel="00000000" w:rsidR="00000000" w:rsidRPr="00000000">
              <w:rPr>
                <w:rtl w:val="0"/>
              </w:rPr>
              <w:t xml:space="preserve">"</w:t>
            </w:r>
          </w:p>
        </w:tc>
        <w:tc>
          <w:tcPr>
            <w:shd w:fill="auto" w:val="clear"/>
          </w:tcPr>
          <w:p w:rsidR="00000000" w:rsidDel="00000000" w:rsidP="00000000" w:rsidRDefault="00000000" w:rsidRPr="00000000" w14:paraId="000001EC">
            <w:pPr>
              <w:spacing w:after="120" w:before="120" w:lineRule="auto"/>
              <w:jc w:val="left"/>
              <w:rPr/>
            </w:pPr>
            <w:r w:rsidDel="00000000" w:rsidR="00000000" w:rsidRPr="00000000">
              <w:rPr>
                <w:rtl w:val="0"/>
              </w:rPr>
              <w:t xml:space="preserve">the Local Government Pension Scheme as governed by the LGPS Regulations, and any other regulations (in each case as amended from time to time) which are from time to time applicable to the Local Government Pension Scheme;</w:t>
            </w:r>
          </w:p>
        </w:tc>
      </w:tr>
      <w:tr>
        <w:trPr>
          <w:cantSplit w:val="0"/>
          <w:trHeight w:val="990" w:hRule="atLeast"/>
          <w:tblHeader w:val="0"/>
        </w:trPr>
        <w:tc>
          <w:tcPr>
            <w:shd w:fill="auto" w:val="clear"/>
          </w:tcPr>
          <w:p w:rsidR="00000000" w:rsidDel="00000000" w:rsidP="00000000" w:rsidRDefault="00000000" w:rsidRPr="00000000" w14:paraId="000001ED">
            <w:pPr>
              <w:spacing w:after="120" w:before="120" w:lineRule="auto"/>
              <w:ind w:left="720" w:firstLine="0"/>
              <w:jc w:val="left"/>
              <w:rPr/>
            </w:pPr>
            <w:r w:rsidDel="00000000" w:rsidR="00000000" w:rsidRPr="00000000">
              <w:rPr>
                <w:rtl w:val="0"/>
              </w:rPr>
              <w:t xml:space="preserve">"</w:t>
            </w:r>
            <w:r w:rsidDel="00000000" w:rsidR="00000000" w:rsidRPr="00000000">
              <w:rPr>
                <w:b w:val="1"/>
                <w:bCs w:val="1"/>
                <w:rtl w:val="0"/>
              </w:rPr>
              <w:t xml:space="preserve">LGPS Admission Agreement</w:t>
            </w:r>
            <w:r w:rsidDel="00000000" w:rsidR="00000000" w:rsidRPr="00000000">
              <w:rPr>
                <w:rtl w:val="0"/>
              </w:rPr>
              <w:t xml:space="preserve">"</w:t>
            </w:r>
          </w:p>
        </w:tc>
        <w:tc>
          <w:tcPr>
            <w:shd w:fill="auto" w:val="clear"/>
          </w:tcPr>
          <w:p w:rsidR="00000000" w:rsidDel="00000000" w:rsidP="00000000" w:rsidRDefault="00000000" w:rsidRPr="00000000" w14:paraId="000001EE">
            <w:pPr>
              <w:spacing w:after="120" w:before="120" w:lineRule="auto"/>
              <w:jc w:val="left"/>
              <w:rPr/>
            </w:pPr>
            <w:r w:rsidDel="00000000" w:rsidR="00000000" w:rsidRPr="00000000">
              <w:rPr>
                <w:rtl w:val="0"/>
              </w:rPr>
              <w:t xml:space="preserve">an admission agreement within the meaning in Schedule 1 of the 2013 Regulations;</w:t>
            </w:r>
          </w:p>
        </w:tc>
      </w:tr>
      <w:tr>
        <w:trPr>
          <w:cantSplit w:val="0"/>
          <w:trHeight w:val="900" w:hRule="atLeast"/>
          <w:tblHeader w:val="0"/>
        </w:trPr>
        <w:tc>
          <w:tcPr>
            <w:shd w:fill="auto" w:val="clear"/>
          </w:tcPr>
          <w:p w:rsidR="00000000" w:rsidDel="00000000" w:rsidP="00000000" w:rsidRDefault="00000000" w:rsidRPr="00000000" w14:paraId="000001EF">
            <w:pPr>
              <w:spacing w:after="120" w:before="120" w:lineRule="auto"/>
              <w:ind w:left="720" w:firstLine="0"/>
              <w:jc w:val="left"/>
              <w:rPr/>
            </w:pPr>
            <w:r w:rsidDel="00000000" w:rsidR="00000000" w:rsidRPr="00000000">
              <w:rPr>
                <w:rtl w:val="0"/>
              </w:rPr>
              <w:t xml:space="preserve">"</w:t>
            </w:r>
            <w:r w:rsidDel="00000000" w:rsidR="00000000" w:rsidRPr="00000000">
              <w:rPr>
                <w:b w:val="1"/>
                <w:bCs w:val="1"/>
                <w:rtl w:val="0"/>
              </w:rPr>
              <w:t xml:space="preserve">LGPS Admission Body</w:t>
            </w:r>
            <w:r w:rsidDel="00000000" w:rsidR="00000000" w:rsidRPr="00000000">
              <w:rPr>
                <w:rtl w:val="0"/>
              </w:rPr>
              <w:t xml:space="preserve">"</w:t>
            </w:r>
          </w:p>
        </w:tc>
        <w:tc>
          <w:tcPr>
            <w:shd w:fill="auto" w:val="clear"/>
          </w:tcPr>
          <w:p w:rsidR="00000000" w:rsidDel="00000000" w:rsidP="00000000" w:rsidRDefault="00000000" w:rsidRPr="00000000" w14:paraId="000001F0">
            <w:pPr>
              <w:spacing w:after="120" w:before="120" w:lineRule="auto"/>
              <w:jc w:val="left"/>
              <w:rPr/>
            </w:pPr>
            <w:r w:rsidDel="00000000" w:rsidR="00000000" w:rsidRPr="00000000">
              <w:rPr>
                <w:rtl w:val="0"/>
              </w:rPr>
              <w:t xml:space="preserve">an admission body (within the meaning of Part 3 of Schedule 2 of the 2013 Regulations);</w:t>
            </w:r>
          </w:p>
        </w:tc>
      </w:tr>
      <w:tr>
        <w:trPr>
          <w:cantSplit w:val="0"/>
          <w:trHeight w:val="900" w:hRule="atLeast"/>
          <w:tblHeader w:val="0"/>
        </w:trPr>
        <w:tc>
          <w:tcPr>
            <w:shd w:fill="auto" w:val="clear"/>
          </w:tcPr>
          <w:p w:rsidR="00000000" w:rsidDel="00000000" w:rsidP="00000000" w:rsidRDefault="00000000" w:rsidRPr="00000000" w14:paraId="000001F1">
            <w:pPr>
              <w:spacing w:after="120" w:before="120" w:lineRule="auto"/>
              <w:ind w:left="720" w:firstLine="0"/>
              <w:jc w:val="left"/>
              <w:rPr/>
            </w:pPr>
            <w:r w:rsidDel="00000000" w:rsidR="00000000" w:rsidRPr="00000000">
              <w:rPr>
                <w:rtl w:val="0"/>
              </w:rPr>
              <w:t xml:space="preserve">"</w:t>
            </w:r>
            <w:r w:rsidDel="00000000" w:rsidR="00000000" w:rsidRPr="00000000">
              <w:rPr>
                <w:b w:val="1"/>
                <w:bCs w:val="1"/>
                <w:rtl w:val="0"/>
              </w:rPr>
              <w:t xml:space="preserve">LGPS Eligible Employees</w:t>
            </w:r>
            <w:r w:rsidDel="00000000" w:rsidR="00000000" w:rsidRPr="00000000">
              <w:rPr>
                <w:rtl w:val="0"/>
              </w:rPr>
              <w:t xml:space="preserve">"</w:t>
            </w:r>
          </w:p>
        </w:tc>
        <w:tc>
          <w:tcPr>
            <w:shd w:fill="auto" w:val="clear"/>
          </w:tcPr>
          <w:p w:rsidR="00000000" w:rsidDel="00000000" w:rsidP="00000000" w:rsidRDefault="00000000" w:rsidRPr="00000000" w14:paraId="000001F2">
            <w:pPr>
              <w:spacing w:after="120" w:before="120" w:lineRule="auto"/>
              <w:jc w:val="left"/>
              <w:rPr/>
            </w:pPr>
            <w:r w:rsidDel="00000000" w:rsidR="00000000" w:rsidRPr="00000000">
              <w:rPr>
                <w:rtl w:val="0"/>
              </w:rPr>
              <w:t xml:space="preserve">any LGPS Fair Deal Employee who at the relevant time is an active member or eligible to participate in the LGPS under an LGPS Admission Agreement;</w:t>
            </w:r>
          </w:p>
        </w:tc>
      </w:tr>
      <w:tr>
        <w:trPr>
          <w:cantSplit w:val="0"/>
          <w:trHeight w:val="900" w:hRule="atLeast"/>
          <w:tblHeader w:val="0"/>
        </w:trPr>
        <w:tc>
          <w:tcPr>
            <w:shd w:fill="auto" w:val="clear"/>
          </w:tcPr>
          <w:p w:rsidR="00000000" w:rsidDel="00000000" w:rsidP="00000000" w:rsidRDefault="00000000" w:rsidRPr="00000000" w14:paraId="000001F3">
            <w:pPr>
              <w:spacing w:after="120" w:before="120" w:lineRule="auto"/>
              <w:ind w:left="720" w:firstLine="0"/>
              <w:jc w:val="left"/>
              <w:rPr/>
            </w:pPr>
            <w:r w:rsidDel="00000000" w:rsidR="00000000" w:rsidRPr="00000000">
              <w:rPr>
                <w:rtl w:val="0"/>
              </w:rPr>
              <w:t xml:space="preserve">"</w:t>
            </w:r>
            <w:r w:rsidDel="00000000" w:rsidR="00000000" w:rsidRPr="00000000">
              <w:rPr>
                <w:b w:val="1"/>
                <w:bCs w:val="1"/>
                <w:rtl w:val="0"/>
              </w:rPr>
              <w:t xml:space="preserve">LGPS Fair Deal Employees</w:t>
            </w:r>
            <w:r w:rsidDel="00000000" w:rsidR="00000000" w:rsidRPr="00000000">
              <w:rPr>
                <w:rtl w:val="0"/>
              </w:rPr>
              <w:t xml:space="preserve">"</w:t>
            </w:r>
          </w:p>
        </w:tc>
        <w:tc>
          <w:tcPr>
            <w:shd w:fill="auto" w:val="clear"/>
          </w:tcPr>
          <w:p w:rsidR="00000000" w:rsidDel="00000000" w:rsidP="00000000" w:rsidRDefault="00000000" w:rsidRPr="00000000" w14:paraId="000001F4">
            <w:pPr>
              <w:spacing w:after="120" w:before="120" w:lineRule="auto"/>
              <w:jc w:val="left"/>
              <w:rPr/>
            </w:pPr>
            <w:r w:rsidDel="00000000" w:rsidR="00000000" w:rsidRPr="00000000">
              <w:rPr>
                <w:rtl w:val="0"/>
              </w:rPr>
              <w:t xml:space="preserve">any Fair Deal Employee who at the Relevant Transfer Date is or becomes entitled to protection in respect of the LGPS or a pension scheme that is Broadly Comparable to the LGPS in accordance with the provisions in accordance with the provisions of New Fair Deal and/or the Best Value Direction; and </w:t>
            </w:r>
          </w:p>
        </w:tc>
      </w:tr>
      <w:tr>
        <w:trPr>
          <w:cantSplit w:val="0"/>
          <w:trHeight w:val="1665" w:hRule="atLeast"/>
          <w:tblHeader w:val="0"/>
        </w:trPr>
        <w:tc>
          <w:tcPr>
            <w:shd w:fill="auto" w:val="clear"/>
          </w:tcPr>
          <w:p w:rsidR="00000000" w:rsidDel="00000000" w:rsidP="00000000" w:rsidRDefault="00000000" w:rsidRPr="00000000" w14:paraId="000001F5">
            <w:pPr>
              <w:spacing w:after="120" w:before="120" w:lineRule="auto"/>
              <w:ind w:left="720" w:firstLine="0"/>
              <w:jc w:val="left"/>
              <w:rPr/>
            </w:pPr>
            <w:r w:rsidDel="00000000" w:rsidR="00000000" w:rsidRPr="00000000">
              <w:rPr>
                <w:rtl w:val="0"/>
              </w:rPr>
              <w:t xml:space="preserve">"</w:t>
            </w:r>
            <w:r w:rsidDel="00000000" w:rsidR="00000000" w:rsidRPr="00000000">
              <w:rPr>
                <w:b w:val="1"/>
                <w:bCs w:val="1"/>
                <w:rtl w:val="0"/>
              </w:rPr>
              <w:t xml:space="preserve">LGPS Regulations</w:t>
            </w:r>
            <w:r w:rsidDel="00000000" w:rsidR="00000000" w:rsidRPr="00000000">
              <w:rPr>
                <w:rtl w:val="0"/>
              </w:rPr>
              <w:t xml:space="preserve">"</w:t>
            </w:r>
          </w:p>
        </w:tc>
        <w:tc>
          <w:tcPr>
            <w:shd w:fill="auto" w:val="clear"/>
          </w:tcPr>
          <w:p w:rsidR="00000000" w:rsidDel="00000000" w:rsidP="00000000" w:rsidRDefault="00000000" w:rsidRPr="00000000" w14:paraId="000001F6">
            <w:pPr>
              <w:spacing w:after="120" w:before="120" w:lineRule="auto"/>
              <w:jc w:val="left"/>
              <w:rPr/>
            </w:pPr>
            <w:r w:rsidDel="00000000" w:rsidR="00000000" w:rsidRPr="00000000">
              <w:rPr>
                <w:rtl w:val="0"/>
              </w:rPr>
              <w:t xml:space="preserve">the 2013 Regulations and The Local Government Pension Scheme (Transitional Provisions, Savings and Amendment) Regulations 2014 (SI 2014/525), and any other regulations (in each case as amended from time to time) which are from time to time applicable to the LGPS.</w:t>
            </w:r>
          </w:p>
        </w:tc>
      </w:tr>
    </w:tbl>
    <w:p w:rsidR="00000000" w:rsidDel="00000000" w:rsidP="00000000" w:rsidRDefault="00000000" w:rsidRPr="00000000" w14:paraId="000001F7">
      <w:pPr>
        <w:pStyle w:val="Heading2"/>
        <w:spacing w:after="120" w:before="120"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1F8">
      <w:pPr>
        <w:keepNext w:val="1"/>
        <w:numPr>
          <w:ilvl w:val="0"/>
          <w:numId w:val="4"/>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Supplier to become an LGPS Admission Body</w:t>
      </w:r>
    </w:p>
    <w:p w:rsidR="00000000" w:rsidDel="00000000" w:rsidP="00000000" w:rsidRDefault="00000000" w:rsidRPr="00000000" w14:paraId="000001F9">
      <w:pPr>
        <w:numPr>
          <w:ilvl w:val="1"/>
          <w:numId w:val="1"/>
        </w:numPr>
        <w:spacing w:after="120" w:before="120" w:lineRule="auto"/>
        <w:ind w:left="1134" w:hanging="708"/>
        <w:jc w:val="left"/>
        <w:rPr/>
      </w:pPr>
      <w:r w:rsidDel="00000000" w:rsidR="00000000" w:rsidRPr="00000000">
        <w:rPr>
          <w:rtl w:val="0"/>
        </w:rPr>
        <w:t xml:space="preserve">In accordance with the principles of New Fair Deal and/or the Best Value Direction, the Supplier and/or any of its Subcontractors to which the employment of any LGPS Fair Deal Employee compulsorily transfers as a result of either the award of the relevant Contract or a Relevant Transfer, if not a scheme employer which participates automatically in the LGPS, shall each become an LGPS Admission Body by entering into an LGPS Admission Agreement on or before the Relevant Transfer Date to enable the LGPS Fair Deal Employees to retain either continuous active membership of or eligibility for the LGPS on and from the Relevant Transfer Date for so long as they remain employed in connection with the delivery of the Services under the relevant Contract.</w:t>
      </w:r>
    </w:p>
    <w:p w:rsidR="00000000" w:rsidDel="00000000" w:rsidP="00000000" w:rsidRDefault="00000000" w:rsidRPr="00000000" w14:paraId="000001FA">
      <w:pPr>
        <w:spacing w:after="120" w:before="120" w:lineRule="auto"/>
        <w:ind w:left="426" w:firstLine="0"/>
        <w:jc w:val="left"/>
        <w:rPr>
          <w:b w:val="1"/>
          <w:bCs w:val="1"/>
        </w:rPr>
      </w:pPr>
      <w:r w:rsidDel="00000000" w:rsidR="00000000" w:rsidRPr="00000000">
        <w:rPr>
          <w:b w:val="1"/>
          <w:bCs w:val="1"/>
          <w:rtl w:val="0"/>
        </w:rPr>
        <w:t xml:space="preserve">OPTION 1</w:t>
      </w:r>
      <w:r w:rsidDel="00000000" w:rsidR="00000000" w:rsidRPr="00000000">
        <w:rPr>
          <w:b w:val="1"/>
          <w:bCs w:val="1"/>
          <w:vertAlign w:val="superscript"/>
        </w:rPr>
        <w:footnoteReference w:customMarkFollows="0" w:id="6"/>
      </w:r>
      <w:r w:rsidDel="00000000" w:rsidR="00000000" w:rsidRPr="00000000">
        <w:rPr>
          <w:b w:val="1"/>
          <w:bCs w:val="1"/>
          <w:rtl w:val="0"/>
        </w:rPr>
        <w:t xml:space="preserve"> </w:t>
      </w:r>
    </w:p>
    <w:p w:rsidR="00000000" w:rsidDel="00000000" w:rsidP="00000000" w:rsidRDefault="00000000" w:rsidRPr="00000000" w14:paraId="000001FB">
      <w:pPr>
        <w:numPr>
          <w:ilvl w:val="1"/>
          <w:numId w:val="1"/>
        </w:numPr>
        <w:spacing w:after="120" w:before="120" w:lineRule="auto"/>
        <w:ind w:left="1134" w:hanging="708"/>
        <w:jc w:val="left"/>
        <w:rPr/>
      </w:pPr>
      <w:r w:rsidDel="00000000" w:rsidR="00000000" w:rsidRPr="00000000">
        <w:rPr>
          <w:rtl w:val="0"/>
        </w:rPr>
        <w:t xml:space="preserve">[Any LGPS Fair Deal Employees who:</w:t>
      </w:r>
    </w:p>
    <w:p w:rsidR="00000000" w:rsidDel="00000000" w:rsidP="00000000" w:rsidRDefault="00000000" w:rsidRPr="00000000" w14:paraId="000001FC">
      <w:pPr>
        <w:numPr>
          <w:ilvl w:val="2"/>
          <w:numId w:val="1"/>
        </w:numPr>
        <w:spacing w:after="120" w:before="120" w:lineRule="auto"/>
        <w:ind w:left="1985" w:hanging="851"/>
        <w:jc w:val="left"/>
        <w:rPr/>
      </w:pPr>
      <w:r w:rsidDel="00000000" w:rsidR="00000000" w:rsidRPr="00000000">
        <w:rPr>
          <w:rtl w:val="0"/>
        </w:rPr>
        <w:t xml:space="preserve">were active members of the LGPS (or a Broadly Comparable pension scheme) immediately before the Relevant Transfer Date shall be admitted to the LGPS with effect on and from the Relevant Transfer Date; and</w:t>
      </w:r>
    </w:p>
    <w:p w:rsidR="00000000" w:rsidDel="00000000" w:rsidP="00000000" w:rsidRDefault="00000000" w:rsidRPr="00000000" w14:paraId="000001FD">
      <w:pPr>
        <w:numPr>
          <w:ilvl w:val="2"/>
          <w:numId w:val="1"/>
        </w:numPr>
        <w:spacing w:after="120" w:before="120" w:lineRule="auto"/>
        <w:ind w:left="1985" w:hanging="851"/>
        <w:jc w:val="left"/>
        <w:rPr/>
      </w:pPr>
      <w:r w:rsidDel="00000000" w:rsidR="00000000" w:rsidRPr="00000000">
        <w:rPr>
          <w:rtl w:val="0"/>
        </w:rPr>
        <w:t xml:space="preserve">were eligible to join the LGPS (or a Broadly Comparable pension scheme) but were not active members of the LGPS (or a Broadly Comparable pension scheme) immediately before the Relevant Transfer Date shall retain the ability to join the LGPS on or after the Relevant Transfer Date if they wish to do so.]</w:t>
      </w:r>
    </w:p>
    <w:p w:rsidR="00000000" w:rsidDel="00000000" w:rsidP="00000000" w:rsidRDefault="00000000" w:rsidRPr="00000000" w14:paraId="000001FE">
      <w:pPr>
        <w:spacing w:after="120" w:before="120" w:lineRule="auto"/>
        <w:ind w:left="426" w:firstLine="0"/>
        <w:jc w:val="left"/>
        <w:rPr>
          <w:b w:val="1"/>
          <w:bCs w:val="1"/>
        </w:rPr>
      </w:pPr>
      <w:r w:rsidDel="00000000" w:rsidR="00000000" w:rsidRPr="00000000">
        <w:rPr>
          <w:b w:val="1"/>
          <w:bCs w:val="1"/>
          <w:rtl w:val="0"/>
        </w:rPr>
        <w:t xml:space="preserve">OPTION 2</w:t>
      </w:r>
    </w:p>
    <w:p w:rsidR="00000000" w:rsidDel="00000000" w:rsidP="00000000" w:rsidRDefault="00000000" w:rsidRPr="00000000" w14:paraId="000001FF">
      <w:pPr>
        <w:spacing w:after="120" w:before="120" w:lineRule="auto"/>
        <w:ind w:left="1134" w:hanging="708"/>
        <w:jc w:val="left"/>
        <w:rPr/>
      </w:pPr>
      <w:r w:rsidDel="00000000" w:rsidR="00000000" w:rsidRPr="00000000">
        <w:rPr>
          <w:rtl w:val="0"/>
        </w:rPr>
        <w:t xml:space="preserve">2.2 </w:t>
        <w:tab/>
        <w:t xml:space="preserve">[Any LGPS Fair Deal Employees whether:</w:t>
      </w:r>
    </w:p>
    <w:p w:rsidR="00000000" w:rsidDel="00000000" w:rsidP="00000000" w:rsidRDefault="00000000" w:rsidRPr="00000000" w14:paraId="00000200">
      <w:pPr>
        <w:numPr>
          <w:ilvl w:val="2"/>
          <w:numId w:val="1"/>
        </w:numPr>
        <w:pBdr>
          <w:top w:space="0" w:sz="0" w:val="nil"/>
          <w:left w:space="0" w:sz="0" w:val="nil"/>
          <w:bottom w:space="0" w:sz="0" w:val="nil"/>
          <w:right w:space="0" w:sz="0" w:val="nil"/>
          <w:between w:space="0" w:sz="0" w:val="nil"/>
        </w:pBdr>
        <w:spacing w:after="120" w:before="120" w:lineRule="auto"/>
        <w:ind w:left="1985" w:hanging="851"/>
        <w:jc w:val="left"/>
        <w:rPr/>
      </w:pPr>
      <w:r w:rsidDel="00000000" w:rsidR="00000000" w:rsidRPr="00000000">
        <w:rPr>
          <w:color w:val="000000"/>
          <w:rtl w:val="0"/>
        </w:rPr>
        <w:t xml:space="preserve">active members of the LGPS (or a Broadly Comparable pension scheme) immediately before the Relevant Transfer Date; or </w:t>
      </w:r>
    </w:p>
    <w:p w:rsidR="00000000" w:rsidDel="00000000" w:rsidP="00000000" w:rsidRDefault="00000000" w:rsidRPr="00000000" w14:paraId="00000201">
      <w:pPr>
        <w:numPr>
          <w:ilvl w:val="2"/>
          <w:numId w:val="1"/>
        </w:numPr>
        <w:spacing w:after="120" w:before="120" w:lineRule="auto"/>
        <w:ind w:left="1985" w:hanging="851"/>
        <w:jc w:val="left"/>
        <w:rPr/>
      </w:pPr>
      <w:r w:rsidDel="00000000" w:rsidR="00000000" w:rsidRPr="00000000">
        <w:rPr>
          <w:rtl w:val="0"/>
        </w:rPr>
        <w:t xml:space="preserve">eligible to join the LGPS (or a Broadly Comparable pension scheme) but not active members of the LGPS (or a Broadly Comparable pension scheme) immediately before the Relevant Transfer Date </w:t>
      </w:r>
    </w:p>
    <w:p w:rsidR="00000000" w:rsidDel="00000000" w:rsidP="00000000" w:rsidRDefault="00000000" w:rsidRPr="00000000" w14:paraId="00000202">
      <w:pPr>
        <w:spacing w:after="120" w:before="120" w:lineRule="auto"/>
        <w:ind w:left="1134" w:firstLine="0"/>
        <w:jc w:val="left"/>
        <w:rPr/>
      </w:pPr>
      <w:r w:rsidDel="00000000" w:rsidR="00000000" w:rsidRPr="00000000">
        <w:rPr>
          <w:rtl w:val="0"/>
        </w:rPr>
        <w:t xml:space="preserve">shall be admitted to the LGPS with effect on and from the Relevant Transfer Date. The Supplier shall not automatically enrol or re-enrol for the purposes of the Pensions Act 2008 any LGPS Fair Deal Employees in any pension scheme other than the LGPS unless they cease to be eligible for membership of the LGPS.] </w:t>
      </w:r>
    </w:p>
    <w:p w:rsidR="00000000" w:rsidDel="00000000" w:rsidP="00000000" w:rsidRDefault="00000000" w:rsidRPr="00000000" w14:paraId="00000203">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color w:val="000000"/>
          <w:rtl w:val="0"/>
        </w:rPr>
        <w:t xml:space="preserve">The Supplier will (and will procure that its Subcontractors (if any) will) provide at its own cost any indemnity, bond or guarantee required by an Administering Buyer in relation to an LGPS Admission Agreement. </w:t>
      </w:r>
    </w:p>
    <w:p w:rsidR="00000000" w:rsidDel="00000000" w:rsidP="00000000" w:rsidRDefault="00000000" w:rsidRPr="00000000" w14:paraId="00000204">
      <w:pPr>
        <w:keepNext w:val="1"/>
        <w:numPr>
          <w:ilvl w:val="0"/>
          <w:numId w:val="4"/>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bookmarkStart w:colFirst="0" w:colLast="0" w:name="_heading=h.sqyw64" w:id="58"/>
      <w:bookmarkEnd w:id="58"/>
      <w:r w:rsidDel="00000000" w:rsidR="00000000" w:rsidRPr="00000000">
        <w:rPr>
          <w:rFonts w:ascii="Arial" w:cs="Arial" w:eastAsia="Arial" w:hAnsi="Arial"/>
          <w:b w:val="1"/>
          <w:bCs w:val="1"/>
          <w:color w:val="000000"/>
          <w:rtl w:val="0"/>
        </w:rPr>
        <w:t xml:space="preserve">Broadly Comparable Scheme</w:t>
      </w:r>
    </w:p>
    <w:p w:rsidR="00000000" w:rsidDel="00000000" w:rsidP="00000000" w:rsidRDefault="00000000" w:rsidRPr="00000000" w14:paraId="00000205">
      <w:pPr>
        <w:pStyle w:val="Heading4"/>
        <w:spacing w:after="120" w:before="120" w:lineRule="auto"/>
        <w:ind w:left="1134" w:hanging="708"/>
        <w:jc w:val="left"/>
        <w:rPr>
          <w:rFonts w:ascii="Arial" w:cs="Arial" w:eastAsia="Arial" w:hAnsi="Arial"/>
        </w:rPr>
      </w:pPr>
      <w:r w:rsidDel="00000000" w:rsidR="00000000" w:rsidRPr="00000000">
        <w:rPr>
          <w:rFonts w:ascii="Arial" w:cs="Arial" w:eastAsia="Arial" w:hAnsi="Arial"/>
          <w:rtl w:val="0"/>
        </w:rPr>
        <w:t xml:space="preserve">3.1</w:t>
        <w:tab/>
        <w:t xml:space="preserve">If the Supplier and/or any of its Subcontractors is unable to obtain an LGPS Admission Agreement in accordance with Paragraph 2.1 because the Administering Buyer will not allow it to participate in the Fund, the Supplier shall (and procure that its Subcontractors shall), with effect from the Relevant Transfer Date, offer the LGPS Fair Deal Employees membership of a pension scheme which is Broadly Comparable to LGPS on the Relevant Transfer Date in accordance with the provisions of Paragraph 10 of Part D. </w:t>
      </w:r>
    </w:p>
    <w:p w:rsidR="00000000" w:rsidDel="00000000" w:rsidP="00000000" w:rsidRDefault="00000000" w:rsidRPr="00000000" w14:paraId="00000206">
      <w:pPr>
        <w:pStyle w:val="Heading4"/>
        <w:spacing w:after="120" w:before="120" w:lineRule="auto"/>
        <w:ind w:left="1134" w:hanging="708"/>
        <w:jc w:val="left"/>
        <w:rPr>
          <w:rFonts w:ascii="Arial" w:cs="Arial" w:eastAsia="Arial" w:hAnsi="Arial"/>
        </w:rPr>
      </w:pPr>
      <w:r w:rsidDel="00000000" w:rsidR="00000000" w:rsidRPr="00000000">
        <w:rPr>
          <w:rFonts w:ascii="Arial" w:cs="Arial" w:eastAsia="Arial" w:hAnsi="Arial"/>
          <w:rtl w:val="0"/>
        </w:rPr>
        <w:t xml:space="preserve">3.2</w:t>
        <w:tab/>
        <w:t xml:space="preserve">If the Supplier and/or any of its Subcontractors becomes an LGPS Admission Body in accordance with Paragraph 2.1 but the LGPS Admission Agreement is terminated during the term of the relevant Contract for any reason at a time when the Supplier or Subcontractors still employs any LGPS Eligible Employees, the Supplier shall (and procure that its Subcontractors shall) at no extra cost to the Buyer, offer the remaining LGPS Eligible Employees membership of a pension scheme which is Broadly Comparable to the LGPS on the date the LGPS Eligible Employees ceased to participate in the LGPS in accordance with the provisions of Paragraph 11 of Part D.</w:t>
      </w:r>
    </w:p>
    <w:p w:rsidR="00000000" w:rsidDel="00000000" w:rsidP="00000000" w:rsidRDefault="00000000" w:rsidRPr="00000000" w14:paraId="00000207">
      <w:pPr>
        <w:keepNext w:val="1"/>
        <w:numPr>
          <w:ilvl w:val="0"/>
          <w:numId w:val="4"/>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bookmarkStart w:colFirst="0" w:colLast="0" w:name="_heading=h.3cqmetx" w:id="59"/>
      <w:bookmarkEnd w:id="59"/>
      <w:r w:rsidDel="00000000" w:rsidR="00000000" w:rsidRPr="00000000">
        <w:rPr>
          <w:rFonts w:ascii="Arial" w:cs="Arial" w:eastAsia="Arial" w:hAnsi="Arial"/>
          <w:b w:val="1"/>
          <w:bCs w:val="1"/>
          <w:color w:val="000000"/>
          <w:rtl w:val="0"/>
        </w:rPr>
        <w:t xml:space="preserve">Discretionary Benefits</w:t>
      </w:r>
    </w:p>
    <w:p w:rsidR="00000000" w:rsidDel="00000000" w:rsidP="00000000" w:rsidRDefault="00000000" w:rsidRPr="00000000" w14:paraId="00000208">
      <w:pPr>
        <w:pStyle w:val="Heading3"/>
        <w:spacing w:after="120" w:before="120" w:lineRule="auto"/>
        <w:ind w:left="426" w:hanging="10"/>
        <w:jc w:val="left"/>
        <w:rPr>
          <w:rFonts w:ascii="Arial" w:cs="Arial" w:eastAsia="Arial" w:hAnsi="Arial"/>
        </w:rPr>
      </w:pPr>
      <w:r w:rsidDel="00000000" w:rsidR="00000000" w:rsidRPr="00000000">
        <w:rPr>
          <w:rFonts w:ascii="Arial" w:cs="Arial" w:eastAsia="Arial" w:hAnsi="Arial"/>
          <w:rtl w:val="0"/>
        </w:rPr>
        <w:t xml:space="preserve">Where the Supplier and/or any of its Subcontractors is an LGPS Admission Body, the Supplier shall (and procure that its Subcontractors shall) comply with its obligations under regulation 60 of the 2013 Regulations in relation to the preparation of a discretionary policy statement.</w:t>
      </w:r>
    </w:p>
    <w:p w:rsidR="00000000" w:rsidDel="00000000" w:rsidP="00000000" w:rsidRDefault="00000000" w:rsidRPr="00000000" w14:paraId="00000209">
      <w:pPr>
        <w:keepNext w:val="1"/>
        <w:numPr>
          <w:ilvl w:val="0"/>
          <w:numId w:val="4"/>
        </w:numPr>
        <w:pBdr>
          <w:top w:space="0" w:sz="0" w:val="nil"/>
          <w:left w:space="0" w:sz="0" w:val="nil"/>
          <w:bottom w:space="0" w:sz="0" w:val="nil"/>
          <w:right w:space="0" w:sz="0" w:val="nil"/>
          <w:between w:space="0" w:sz="0" w:val="nil"/>
        </w:pBdr>
        <w:spacing w:after="120" w:before="120" w:lineRule="auto"/>
        <w:ind w:left="426" w:hanging="426"/>
        <w:jc w:val="left"/>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LGPS Risk Sharing</w:t>
      </w:r>
      <w:r w:rsidDel="00000000" w:rsidR="00000000" w:rsidRPr="00000000">
        <w:rPr>
          <w:rFonts w:ascii="Arial" w:cs="Arial" w:eastAsia="Arial" w:hAnsi="Arial"/>
          <w:b w:val="1"/>
          <w:bCs w:val="1"/>
          <w:color w:val="000000"/>
          <w:sz w:val="16"/>
          <w:szCs w:val="16"/>
          <w:vertAlign w:val="superscript"/>
        </w:rPr>
        <w:footnoteReference w:customMarkFollows="0" w:id="7"/>
      </w:r>
      <w:r w:rsidDel="00000000" w:rsidR="00000000" w:rsidRPr="00000000">
        <w:rPr>
          <w:rtl w:val="0"/>
        </w:rPr>
      </w:r>
    </w:p>
    <w:p w:rsidR="00000000" w:rsidDel="00000000" w:rsidP="00000000" w:rsidRDefault="00000000" w:rsidRPr="00000000" w14:paraId="0000020A">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Subject to Paragraphs 5.4 to 5.10, if at any time during the term of the relevant Contract the Administering Buyer, pursuant to the LGPS Admission Agreement or the LGPS Regulations, requires the Supplier or any Subcontractor to pay employer contributions or other payments to the Fund in aggregate in excess of the Initial Contribution Rate, the excess of employer contributions above the Initial Contribution Rate for a Contract Year (the “Excess Amount”) shall be paid by the Supplier or the Subcontractor, as the case may be, and the Supplier shall be reimbursed by the Buyer.</w:t>
      </w:r>
      <w:r w:rsidDel="00000000" w:rsidR="00000000" w:rsidRPr="00000000">
        <w:rPr>
          <w:rtl w:val="0"/>
        </w:rPr>
      </w:r>
    </w:p>
    <w:p w:rsidR="00000000" w:rsidDel="00000000" w:rsidP="00000000" w:rsidRDefault="00000000" w:rsidRPr="00000000" w14:paraId="0000020B">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Subject to Paragraphs 5.4 to 5.9 and 5.11, if at any time during the term of the relevant Contract, the Administering Buyer, pursuant to the LGPS Admission Agreement or the LGPS Regulations, requires the Supplier or any Subcontractor to pay employer contributions or payments to the Fund in aggregate below the Initial Contribution Rate for a Contract Year, the Supplier shall reimburse the Buyer an amount equal to A–B (the “Refund Amount”) where: </w:t>
      </w:r>
      <w:r w:rsidDel="00000000" w:rsidR="00000000" w:rsidRPr="00000000">
        <w:rPr>
          <w:rtl w:val="0"/>
        </w:rPr>
      </w:r>
    </w:p>
    <w:p w:rsidR="00000000" w:rsidDel="00000000" w:rsidP="00000000" w:rsidRDefault="00000000" w:rsidRPr="00000000" w14:paraId="0000020C">
      <w:pPr>
        <w:pStyle w:val="Heading3"/>
        <w:spacing w:after="120" w:before="120" w:lineRule="auto"/>
        <w:ind w:left="1985" w:hanging="851"/>
        <w:jc w:val="left"/>
        <w:rPr>
          <w:rFonts w:ascii="Arial" w:cs="Arial" w:eastAsia="Arial" w:hAnsi="Arial"/>
        </w:rPr>
      </w:pPr>
      <w:r w:rsidDel="00000000" w:rsidR="00000000" w:rsidRPr="00000000">
        <w:rPr>
          <w:rFonts w:ascii="Arial" w:cs="Arial" w:eastAsia="Arial" w:hAnsi="Arial"/>
          <w:rtl w:val="0"/>
        </w:rPr>
        <w:t xml:space="preserve">A =</w:t>
        <w:tab/>
        <w:t xml:space="preserve">the amount which would have been paid if contributions and payments had been paid equal to the Initial Contribution Rate for that Contract Year; and</w:t>
      </w:r>
    </w:p>
    <w:p w:rsidR="00000000" w:rsidDel="00000000" w:rsidP="00000000" w:rsidRDefault="00000000" w:rsidRPr="00000000" w14:paraId="0000020D">
      <w:pPr>
        <w:pStyle w:val="Heading3"/>
        <w:spacing w:after="120" w:before="120" w:lineRule="auto"/>
        <w:ind w:left="1985" w:hanging="851"/>
        <w:jc w:val="left"/>
        <w:rPr>
          <w:rFonts w:ascii="Arial" w:cs="Arial" w:eastAsia="Arial" w:hAnsi="Arial"/>
        </w:rPr>
      </w:pPr>
      <w:r w:rsidDel="00000000" w:rsidR="00000000" w:rsidRPr="00000000">
        <w:rPr>
          <w:rFonts w:ascii="Arial" w:cs="Arial" w:eastAsia="Arial" w:hAnsi="Arial"/>
          <w:rtl w:val="0"/>
        </w:rPr>
        <w:t xml:space="preserve">B =</w:t>
        <w:tab/>
        <w:t xml:space="preserve">the amount of contributions or payments actually paid by the Supplier or Subcontractor for that Contract Year, as the case may be, to the Fund.</w:t>
      </w:r>
    </w:p>
    <w:p w:rsidR="00000000" w:rsidDel="00000000" w:rsidP="00000000" w:rsidRDefault="00000000" w:rsidRPr="00000000" w14:paraId="0000020E">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Subject to Paragraphs 5.4 to 5.10, where the Administering Buyer obtains an actuarial valuation and a revised rates and adjustment certificate under the LGPS Regulations and/or the terms of the LGPS Admission Agreement when the LGPS Admission Agreement ceases to have effect and the Supplier or any Subcontractor is required to pay any exit payment under Regulation 64(2) of the 2013 Regulations (the “</w:t>
      </w:r>
      <w:r w:rsidDel="00000000" w:rsidR="00000000" w:rsidRPr="00000000">
        <w:rPr>
          <w:b w:val="1"/>
          <w:bCs w:val="1"/>
          <w:color w:val="000000"/>
          <w:rtl w:val="0"/>
        </w:rPr>
        <w:t xml:space="preserve">Exit Payment</w:t>
      </w:r>
      <w:r w:rsidDel="00000000" w:rsidR="00000000" w:rsidRPr="00000000">
        <w:rPr>
          <w:color w:val="000000"/>
          <w:rtl w:val="0"/>
        </w:rPr>
        <w:t xml:space="preserve">”), such Exit Payment shall be paid by the Supplier or any Subcontractor (as the case may be) and the Supplier shall be reimbursed by the Buyer.</w:t>
      </w:r>
    </w:p>
    <w:p w:rsidR="00000000" w:rsidDel="00000000" w:rsidP="00000000" w:rsidRDefault="00000000" w:rsidRPr="00000000" w14:paraId="0000020F">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and any Subcontractors shall at all times be responsible for the following costs:</w:t>
      </w:r>
    </w:p>
    <w:p w:rsidR="00000000" w:rsidDel="00000000" w:rsidP="00000000" w:rsidRDefault="00000000" w:rsidRPr="00000000" w14:paraId="00000210">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employer contributions relating to the costs of early retirement benefits arising on redundancy or as a result of business efficiency under Regulation 30(7) of the 2013 Regulations or otherwise;</w:t>
      </w:r>
    </w:p>
    <w:p w:rsidR="00000000" w:rsidDel="00000000" w:rsidP="00000000" w:rsidRDefault="00000000" w:rsidRPr="00000000" w14:paraId="00000211">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payment of Fund benefits to active members on the grounds of ill health or infirmity of mind or body under Regulation 35 of the 2013 Regulations or otherwise</w:t>
      </w:r>
      <w:r w:rsidDel="00000000" w:rsidR="00000000" w:rsidRPr="00000000">
        <w:rPr>
          <w:color w:val="000000"/>
          <w:sz w:val="16"/>
          <w:szCs w:val="16"/>
          <w:vertAlign w:val="superscript"/>
        </w:rPr>
        <w:footnoteReference w:customMarkFollows="0" w:id="8"/>
      </w:r>
      <w:r w:rsidDel="00000000" w:rsidR="00000000" w:rsidRPr="00000000">
        <w:rPr>
          <w:color w:val="000000"/>
          <w:rtl w:val="0"/>
        </w:rPr>
        <w:t xml:space="preserve">;</w:t>
      </w:r>
    </w:p>
    <w:p w:rsidR="00000000" w:rsidDel="00000000" w:rsidP="00000000" w:rsidRDefault="00000000" w:rsidRPr="00000000" w14:paraId="00000212">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payment of Fund benefits to deferred or deferred pensioner members on the grounds of ill health or infirmity of mind or body under Regulation 38 of the 2013 Regulations or otherwise;</w:t>
      </w:r>
    </w:p>
    <w:p w:rsidR="00000000" w:rsidDel="00000000" w:rsidP="00000000" w:rsidRDefault="00000000" w:rsidRPr="00000000" w14:paraId="00000213">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employer contributions relating to the costs of early or flexible retirement where the actuarial reduction is waived in whole or in part or a cost neutral reduction is not applied with the consent of the Supplier or any relevant Subcontractor including without limitation any decision made under Regulation 30(8) of the 2013 Regulations or Schedule 2 of The Local Government Pension Scheme (Transitional Provisions, Savings and Amendment) Regulations 2014;</w:t>
      </w:r>
    </w:p>
    <w:p w:rsidR="00000000" w:rsidDel="00000000" w:rsidP="00000000" w:rsidRDefault="00000000" w:rsidRPr="00000000" w14:paraId="00000214">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employer contributions relating to the costs of enhanced benefits made at the discretion of the Supplier or any relevant Subcontractors including without limitation additional pension awarded under Regulation 31 of the 2013 Regulations or otherwise;</w:t>
      </w:r>
    </w:p>
    <w:p w:rsidR="00000000" w:rsidDel="00000000" w:rsidP="00000000" w:rsidRDefault="00000000" w:rsidRPr="00000000" w14:paraId="00000215">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increase to the employer contribution rate resulting from the award of pay increases by the Supplier or relevant Subcontractors in respect of all or any of the LGPS Eligible Employees in excess of the pay increases assumed in the Fund's most recent actuarial valuation (unless the Supplier and/or any Subcontractor is contractually bound to provide such increases on the Relevant Transfer Date);</w:t>
      </w:r>
    </w:p>
    <w:p w:rsidR="00000000" w:rsidDel="00000000" w:rsidP="00000000" w:rsidRDefault="00000000" w:rsidRPr="00000000" w14:paraId="00000216">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to the extent not covered above, any other costs arising out of or in connection with the exercise of any discretion or the grant of any consent under the LGPS Regulations by the Supplier or any relevant Subcontractors where a member does not have an absolute entitlement to that benefit under the LGPS; </w:t>
      </w:r>
    </w:p>
    <w:p w:rsidR="00000000" w:rsidDel="00000000" w:rsidP="00000000" w:rsidRDefault="00000000" w:rsidRPr="00000000" w14:paraId="00000217">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cost of the administration of the Fund that are not met through the Supplier's or Subcontractor’s employer contribution rate, including without limitation an amount specified in a notice given by the Administering Buyer under Regulation 70 of the 2013 Regulations; </w:t>
      </w:r>
    </w:p>
    <w:p w:rsidR="00000000" w:rsidDel="00000000" w:rsidP="00000000" w:rsidRDefault="00000000" w:rsidRPr="00000000" w14:paraId="00000218">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costs of any reports and advice requested by or arising from an instruction given by the Supplier or a Subcontractor from the Fund Actuary; and/or</w:t>
      </w:r>
    </w:p>
    <w:p w:rsidR="00000000" w:rsidDel="00000000" w:rsidP="00000000" w:rsidRDefault="00000000" w:rsidRPr="00000000" w14:paraId="00000219">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interest payable under the 2013 Regulations or LGPS Administration Agreement.</w:t>
      </w:r>
    </w:p>
    <w:p w:rsidR="00000000" w:rsidDel="00000000" w:rsidP="00000000" w:rsidRDefault="00000000" w:rsidRPr="00000000" w14:paraId="0000021A">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For the purposes of calculating any Exit Payment, Excess Amount or Refund Amount, any part of such an amount which is attributable to any costs which the Supplier or Subcontractors are responsible for in accordance with Paragraph 5.4 above shall be disregarded and excluded from the calculation. In the event of any dispute as to level of any cost that should be excluded from the calculation, the opinion of the Fund Actuary shall be final and binding.</w:t>
      </w:r>
    </w:p>
    <w:p w:rsidR="00000000" w:rsidDel="00000000" w:rsidP="00000000" w:rsidRDefault="00000000" w:rsidRPr="00000000" w14:paraId="0000021B">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Where the Administering Buyer obtains an actuarial valuation and a revised rates and adjustment certificate under the LGPS Regulations and/or the terms of the LGPS Admission Agreement when the LGPS Admission Agreement ceases to have effect and the Supplier or any Subcontractor receives payment of an exit credit payment under Regulation 64(2) of the 2013 Regulations (the “</w:t>
      </w:r>
      <w:r w:rsidDel="00000000" w:rsidR="00000000" w:rsidRPr="00000000">
        <w:rPr>
          <w:b w:val="1"/>
          <w:bCs w:val="1"/>
          <w:color w:val="000000"/>
          <w:rtl w:val="0"/>
        </w:rPr>
        <w:t xml:space="preserve">Exit Credit</w:t>
      </w:r>
      <w:r w:rsidDel="00000000" w:rsidR="00000000" w:rsidRPr="00000000">
        <w:rPr>
          <w:color w:val="000000"/>
          <w:rtl w:val="0"/>
        </w:rPr>
        <w:t xml:space="preserve">”), the Supplier shall (or procure that any Subcontractor shall) reimburse the Buyer an amount equal to the Exit Credit within twenty (20) Working Days of receipt of the Exit Credit. </w:t>
      </w:r>
    </w:p>
    <w:p w:rsidR="00000000" w:rsidDel="00000000" w:rsidP="00000000" w:rsidRDefault="00000000" w:rsidRPr="00000000" w14:paraId="0000021C">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(or procure that the Subcontractor shall) notify the Buyer in writing within twenty (20) Working Days:</w:t>
      </w:r>
    </w:p>
    <w:p w:rsidR="00000000" w:rsidDel="00000000" w:rsidP="00000000" w:rsidRDefault="00000000" w:rsidRPr="00000000" w14:paraId="0000021D">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of the end of each Contract Year of any Excess Amount or Refund Amount due in respect of the Contract Year that has just ended and provide a reasonable summary of how the Excess Amount or Refund Amount was calculated; and</w:t>
      </w:r>
    </w:p>
    <w:p w:rsidR="00000000" w:rsidDel="00000000" w:rsidP="00000000" w:rsidRDefault="00000000" w:rsidRPr="00000000" w14:paraId="0000021E">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of being informed by the Administering Buyer of any Exit Payment or Exit Credit that is determined by as being due from or to the Supplier or a Subcontractor and provide a copy of any revised rates and adjustments certificate detailing the Exit Payment or Exit Credit and its calculation.</w:t>
      </w:r>
    </w:p>
    <w:p w:rsidR="00000000" w:rsidDel="00000000" w:rsidP="00000000" w:rsidRDefault="00000000" w:rsidRPr="00000000" w14:paraId="0000021F">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Within twenty (20) Working Days of receiving the notification under Paragraph 5.7 above, the Buyer shall either:</w:t>
      </w:r>
    </w:p>
    <w:p w:rsidR="00000000" w:rsidDel="00000000" w:rsidP="00000000" w:rsidRDefault="00000000" w:rsidRPr="00000000" w14:paraId="00000220">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notify the Supplier in writing of its acceptance of the Excess Amount, Refund Amount or Exit Payment;</w:t>
      </w:r>
    </w:p>
    <w:p w:rsidR="00000000" w:rsidDel="00000000" w:rsidP="00000000" w:rsidRDefault="00000000" w:rsidRPr="00000000" w14:paraId="00000221">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request further information or evidence about the Excess Amount, Refund Amount or Exit Payment from the Supplier; and/or</w:t>
      </w:r>
    </w:p>
    <w:p w:rsidR="00000000" w:rsidDel="00000000" w:rsidP="00000000" w:rsidRDefault="00000000" w:rsidRPr="00000000" w14:paraId="00000222">
      <w:pPr>
        <w:numPr>
          <w:ilvl w:val="2"/>
          <w:numId w:val="4"/>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request a meeting with the Supplier to discuss or clarify the information or evidence provided.</w:t>
      </w:r>
    </w:p>
    <w:p w:rsidR="00000000" w:rsidDel="00000000" w:rsidP="00000000" w:rsidRDefault="00000000" w:rsidRPr="00000000" w14:paraId="00000223">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Where the Excess Amount, Refund Amount or Exit Payment is agreed following the receipt of further information or evidence or following a meeting in accordance with Paragraph 5.8 above, the Buyer shall notify the Supplier in writing. In the event that the Supplier and the Buyer are unable to agree the amount of the Excess Amount, Refund Amount or Exit Payment then they shall follow the Dispute Resolution Procedure. </w:t>
      </w:r>
    </w:p>
    <w:p w:rsidR="00000000" w:rsidDel="00000000" w:rsidP="00000000" w:rsidRDefault="00000000" w:rsidRPr="00000000" w14:paraId="00000224">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Any Excess Amount or Exit Payment agreed by the Buyer or in accordance with the Dispute Resolution Procedure shall be paid by the Buyer within timescales as agreed between Buyer and Supplier. The amount to be paid by the Buyer shall be an amount equal to the Excess Amount or Exit Payment less an amount equal to any corporation tax relief which has been claimed in respect of the Excess Amount or Exit Payment by the Supplier or a Subcontractor. </w:t>
      </w:r>
    </w:p>
    <w:p w:rsidR="00000000" w:rsidDel="00000000" w:rsidP="00000000" w:rsidRDefault="00000000" w:rsidRPr="00000000" w14:paraId="00000225">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Any Refund Amount agreed by the Buyer or in accordance with the Dispute Resolution Procedure as payable by the Supplier or any Subcontractor to the Buyer, shall be paid by the Supplier or any Subcontractor forthwith as the liability has been agreed. In the event the Supplier or any Subcontractor fails to pay any agreed Refund Amount, the Buyer shall demand in writing the immediate payment of the agreed Refund Amount by the Supplier and the Supplier shall make payment within seven (7) Working Days of such demand.</w:t>
      </w:r>
    </w:p>
    <w:p w:rsidR="00000000" w:rsidDel="00000000" w:rsidP="00000000" w:rsidRDefault="00000000" w:rsidRPr="00000000" w14:paraId="00000226">
      <w:pPr>
        <w:numPr>
          <w:ilvl w:val="1"/>
          <w:numId w:val="4"/>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This Paragraph 5 shall survive termination of the relevant Contract. </w:t>
      </w:r>
    </w:p>
    <w:p w:rsidR="00000000" w:rsidDel="00000000" w:rsidP="00000000" w:rsidRDefault="00000000" w:rsidRPr="00000000" w14:paraId="00000227">
      <w:pPr>
        <w:keepNext w:val="1"/>
        <w:pBdr>
          <w:top w:space="0" w:sz="0" w:val="nil"/>
          <w:left w:space="0" w:sz="0" w:val="nil"/>
          <w:bottom w:space="0" w:sz="0" w:val="nil"/>
          <w:right w:space="0" w:sz="0" w:val="nil"/>
          <w:between w:space="0" w:sz="0" w:val="nil"/>
        </w:pBdr>
        <w:spacing w:after="120" w:before="120" w:lineRule="auto"/>
        <w:ind w:left="720" w:hanging="720"/>
        <w:jc w:val="left"/>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228">
      <w:pPr>
        <w:spacing w:after="120" w:before="120" w:lineRule="auto"/>
        <w:jc w:val="left"/>
        <w:rPr>
          <w:rFonts w:ascii="Arial" w:cs="Arial" w:eastAsia="Arial" w:hAnsi="Arial"/>
          <w:b w:val="1"/>
          <w:bCs w:val="1"/>
          <w:sz w:val="36"/>
          <w:szCs w:val="36"/>
        </w:rPr>
      </w:pPr>
      <w:bookmarkStart w:colFirst="0" w:colLast="0" w:name="_heading=h.1rvwp1q" w:id="60"/>
      <w:bookmarkEnd w:id="60"/>
      <w:r w:rsidDel="00000000" w:rsidR="00000000" w:rsidRPr="00000000">
        <w:br w:type="page"/>
      </w:r>
      <w:r w:rsidDel="00000000" w:rsidR="00000000" w:rsidRPr="00000000">
        <w:rPr>
          <w:rFonts w:ascii="Arial" w:cs="Arial" w:eastAsia="Arial" w:hAnsi="Arial"/>
          <w:b w:val="1"/>
          <w:bCs w:val="1"/>
          <w:sz w:val="36"/>
          <w:szCs w:val="36"/>
          <w:rtl w:val="0"/>
        </w:rPr>
        <w:t xml:space="preserve">Annex D4: Other Schemes</w:t>
      </w:r>
    </w:p>
    <w:p w:rsidR="00000000" w:rsidDel="00000000" w:rsidP="00000000" w:rsidRDefault="00000000" w:rsidRPr="00000000" w14:paraId="00000229">
      <w:pPr>
        <w:spacing w:after="120" w:before="120" w:lineRule="auto"/>
        <w:jc w:val="left"/>
        <w:rPr>
          <w:b w:val="1"/>
          <w:bCs w:val="1"/>
        </w:rPr>
      </w:pPr>
      <w:r w:rsidDel="00000000" w:rsidR="00000000" w:rsidRPr="00000000">
        <w:rPr>
          <w:b w:val="1"/>
          <w:bCs w:val="1"/>
          <w:highlight w:val="yellow"/>
          <w:rtl w:val="0"/>
        </w:rPr>
        <w:t xml:space="preserve">[Guidance:</w:t>
      </w:r>
      <w:r w:rsidDel="00000000" w:rsidR="00000000" w:rsidRPr="00000000">
        <w:rPr>
          <w:highlight w:val="yellow"/>
          <w:rtl w:val="0"/>
        </w:rPr>
        <w:t xml:space="preserve"> Placeholder for Pension Schemes other than LGPS, CSPS &amp; NHSPS]</w:t>
      </w:r>
      <w:r w:rsidDel="00000000" w:rsidR="00000000" w:rsidRPr="00000000">
        <w:rPr>
          <w:rtl w:val="0"/>
        </w:rPr>
      </w:r>
    </w:p>
    <w:p w:rsidR="00000000" w:rsidDel="00000000" w:rsidP="00000000" w:rsidRDefault="00000000" w:rsidRPr="00000000" w14:paraId="0000022A">
      <w:pPr>
        <w:pBdr>
          <w:top w:space="0" w:sz="0" w:val="nil"/>
          <w:left w:space="0" w:sz="0" w:val="nil"/>
          <w:bottom w:space="0" w:sz="0" w:val="nil"/>
          <w:right w:space="0" w:sz="0" w:val="nil"/>
          <w:between w:space="0" w:sz="0" w:val="nil"/>
        </w:pBdr>
        <w:spacing w:after="120" w:before="120" w:lineRule="auto"/>
        <w:jc w:val="left"/>
        <w:rPr>
          <w:rFonts w:ascii="Arial" w:cs="Arial" w:eastAsia="Arial" w:hAnsi="Arial"/>
          <w:b w:val="1"/>
          <w:bCs w:val="1"/>
          <w:color w:val="000000"/>
          <w:sz w:val="36"/>
          <w:szCs w:val="36"/>
        </w:rPr>
      </w:pPr>
      <w:r w:rsidDel="00000000" w:rsidR="00000000" w:rsidRPr="00000000">
        <w:br w:type="page"/>
      </w:r>
      <w:r w:rsidDel="00000000" w:rsidR="00000000" w:rsidRPr="00000000">
        <w:rPr>
          <w:rFonts w:ascii="Arial" w:cs="Arial" w:eastAsia="Arial" w:hAnsi="Arial"/>
          <w:b w:val="1"/>
          <w:bCs w:val="1"/>
          <w:color w:val="000000"/>
          <w:sz w:val="36"/>
          <w:szCs w:val="36"/>
          <w:rtl w:val="0"/>
        </w:rPr>
        <w:t xml:space="preserve">Part E: Staff Transfer on Exit </w:t>
      </w:r>
    </w:p>
    <w:p w:rsidR="00000000" w:rsidDel="00000000" w:rsidP="00000000" w:rsidRDefault="00000000" w:rsidRPr="00000000" w14:paraId="0000022B">
      <w:pPr>
        <w:keepNext w:val="1"/>
        <w:numPr>
          <w:ilvl w:val="0"/>
          <w:numId w:val="7"/>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Obligations before a Staff Transfer</w:t>
      </w:r>
      <w:r w:rsidDel="00000000" w:rsidR="00000000" w:rsidRPr="00000000">
        <w:rPr>
          <w:rtl w:val="0"/>
        </w:rPr>
      </w:r>
    </w:p>
    <w:p w:rsidR="00000000" w:rsidDel="00000000" w:rsidP="00000000" w:rsidRDefault="00000000" w:rsidRPr="00000000" w14:paraId="0000022C">
      <w:pPr>
        <w:keepNext w:val="1"/>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4bvk7pj" w:id="61"/>
      <w:bookmarkEnd w:id="61"/>
      <w:r w:rsidDel="00000000" w:rsidR="00000000" w:rsidRPr="00000000">
        <w:rPr>
          <w:color w:val="000000"/>
          <w:rtl w:val="0"/>
        </w:rPr>
        <w:t xml:space="preserve">The Supplier agrees that within 20 Working Days of the earliest of:</w:t>
      </w:r>
    </w:p>
    <w:p w:rsidR="00000000" w:rsidDel="00000000" w:rsidP="00000000" w:rsidRDefault="00000000" w:rsidRPr="00000000" w14:paraId="0000022D">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2r0uhxc" w:id="62"/>
      <w:bookmarkEnd w:id="62"/>
      <w:r w:rsidDel="00000000" w:rsidR="00000000" w:rsidRPr="00000000">
        <w:rPr>
          <w:color w:val="000000"/>
          <w:rtl w:val="0"/>
        </w:rPr>
        <w:t xml:space="preserve">receipt of a notification from the Buyer of a Service Transfer or intended Service Transfer; </w:t>
      </w:r>
    </w:p>
    <w:p w:rsidR="00000000" w:rsidDel="00000000" w:rsidP="00000000" w:rsidRDefault="00000000" w:rsidRPr="00000000" w14:paraId="0000022E">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1664s55" w:id="63"/>
      <w:bookmarkEnd w:id="63"/>
      <w:r w:rsidDel="00000000" w:rsidR="00000000" w:rsidRPr="00000000">
        <w:rPr>
          <w:color w:val="000000"/>
          <w:rtl w:val="0"/>
        </w:rPr>
        <w:t xml:space="preserve">receipt of the giving of notice of early termination or any Partial Termination of the relevant Contract; </w:t>
      </w:r>
    </w:p>
    <w:p w:rsidR="00000000" w:rsidDel="00000000" w:rsidP="00000000" w:rsidRDefault="00000000" w:rsidRPr="00000000" w14:paraId="0000022F">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date which is 12 Months before the end of the Contract Period; and</w:t>
      </w:r>
    </w:p>
    <w:p w:rsidR="00000000" w:rsidDel="00000000" w:rsidP="00000000" w:rsidRDefault="00000000" w:rsidRPr="00000000" w14:paraId="00000230">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receipt of a written request of the Buyer at any time (provided that the Buyer shall only be entitled to make one such request in any 6 Month period),</w:t>
      </w:r>
    </w:p>
    <w:p w:rsidR="00000000" w:rsidDel="00000000" w:rsidP="00000000" w:rsidRDefault="00000000" w:rsidRPr="00000000" w14:paraId="00000231">
      <w:pPr>
        <w:pBdr>
          <w:top w:space="0" w:sz="0" w:val="nil"/>
          <w:left w:space="0" w:sz="0" w:val="nil"/>
          <w:bottom w:space="0" w:sz="0" w:val="nil"/>
          <w:right w:space="0" w:sz="0" w:val="nil"/>
          <w:between w:space="0" w:sz="0" w:val="nil"/>
        </w:pBdr>
        <w:spacing w:after="120" w:before="120" w:lineRule="auto"/>
        <w:ind w:left="1134" w:firstLine="0"/>
        <w:jc w:val="left"/>
        <w:rPr>
          <w:color w:val="000000"/>
        </w:rPr>
      </w:pPr>
      <w:r w:rsidDel="00000000" w:rsidR="00000000" w:rsidRPr="00000000">
        <w:rPr>
          <w:color w:val="000000"/>
          <w:rtl w:val="0"/>
        </w:rPr>
        <w:t xml:space="preserve">it shall provide in a suitably anonymised format so as to comply with the Data Protection Legislation, the Provisional Supplier Staff List, together with the Staffing Information in relation to the Provisional Supplier Staff List and it shall provide an updated Provisional Supplier Personnel List at such intervals as are reasonably requested by the Buyer.  </w:t>
      </w:r>
    </w:p>
    <w:p w:rsidR="00000000" w:rsidDel="00000000" w:rsidP="00000000" w:rsidRDefault="00000000" w:rsidRPr="00000000" w14:paraId="00000232">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q5sasy" w:id="64"/>
      <w:bookmarkEnd w:id="64"/>
      <w:r w:rsidDel="00000000" w:rsidR="00000000" w:rsidRPr="00000000">
        <w:rPr>
          <w:color w:val="000000"/>
          <w:rtl w:val="0"/>
        </w:rPr>
        <w:t xml:space="preserve">At least 20 Working Days prior to the Service Transfer Date, the Supplier shall provide to the Buyer or at the direction of the Buyer to any Replacement Supplier and/or any Replacement Subcontractor (i) the Final Supplier Staff List, which shall identify the basis upon which they are Transferring Supplier Employees and (ii) the Staffing Information in relation to the Final Supplier Staff List (insofar as such information has not previously been provided).</w:t>
      </w:r>
    </w:p>
    <w:p w:rsidR="00000000" w:rsidDel="00000000" w:rsidP="00000000" w:rsidRDefault="00000000" w:rsidRPr="00000000" w14:paraId="00000233">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Buyer shall be permitted to use and disclose information provided by the Supplier under Paragraphs 1.1 and 1.2 for the purpose of informing any prospective Replacement Supplier and/or Replacement Subcontractor. </w:t>
      </w:r>
    </w:p>
    <w:p w:rsidR="00000000" w:rsidDel="00000000" w:rsidP="00000000" w:rsidRDefault="00000000" w:rsidRPr="00000000" w14:paraId="00000234">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warrants, for the benefit of the Buyer, any Replacement Supplier, and any Replacement Subcontractor that all information provided pursuant to Paragraphs 1.1 and 1.2 shall be true and accurate in all material respects at the time of providing the information.</w:t>
      </w:r>
    </w:p>
    <w:p w:rsidR="00000000" w:rsidDel="00000000" w:rsidP="00000000" w:rsidRDefault="00000000" w:rsidRPr="00000000" w14:paraId="00000235">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From the date of the earliest event referred to in Paragraph 1.1.1, 1.1.2 and 1.1.3, the Supplier agrees that it shall not, and agrees to procure that each Subcontractor shall not, assign any person to the provision of the Services who is not listed on the Provisional Staff Personnel List and shall not without the approval of the Buyer (not to be unreasonably withheld or delayed):</w:t>
      </w:r>
    </w:p>
    <w:p w:rsidR="00000000" w:rsidDel="00000000" w:rsidP="00000000" w:rsidRDefault="00000000" w:rsidRPr="00000000" w14:paraId="00000236">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replace or re-deploy any Supplier Staff listed on the Provisional Supplier Staff List other than where any replacement is of equivalent grade, skills, experience and expertise and is employed on the same terms and conditions of employment as the person they replace;</w:t>
      </w:r>
    </w:p>
    <w:p w:rsidR="00000000" w:rsidDel="00000000" w:rsidP="00000000" w:rsidRDefault="00000000" w:rsidRPr="00000000" w14:paraId="00000237">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make, promise, propose, permit or implement any material changes to the terms and conditions of employment of the Supplier Staff (including pensions and any payments connected with the termination of employment); </w:t>
      </w:r>
    </w:p>
    <w:p w:rsidR="00000000" w:rsidDel="00000000" w:rsidP="00000000" w:rsidRDefault="00000000" w:rsidRPr="00000000" w14:paraId="00000238">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increase the proportion of working time spent on the Services (or the relevant part of the Services) by any of the Supplier Staff save for fulfilling assignments and projects previously scheduled and agreed;</w:t>
      </w:r>
    </w:p>
    <w:p w:rsidR="00000000" w:rsidDel="00000000" w:rsidP="00000000" w:rsidRDefault="00000000" w:rsidRPr="00000000" w14:paraId="00000239">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introduce any new contractual or customary practice concerning the making of any lump sum payment on the termination of employment of any employees listed on the Provisional Supplier Staff List;</w:t>
      </w:r>
    </w:p>
    <w:p w:rsidR="00000000" w:rsidDel="00000000" w:rsidP="00000000" w:rsidRDefault="00000000" w:rsidRPr="00000000" w14:paraId="0000023A">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increase or reduce the total number of employees so engaged, or deploy any other person to perform the Services (or the relevant part of the Services);</w:t>
      </w:r>
    </w:p>
    <w:p w:rsidR="00000000" w:rsidDel="00000000" w:rsidP="00000000" w:rsidRDefault="00000000" w:rsidRPr="00000000" w14:paraId="0000023B">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terminate or give notice to terminate the employment or contracts of any persons on the Supplier's Provisional Supplier Staff List save by due disciplinary process;</w:t>
      </w:r>
    </w:p>
    <w:p w:rsidR="00000000" w:rsidDel="00000000" w:rsidP="00000000" w:rsidRDefault="00000000" w:rsidRPr="00000000" w14:paraId="0000023C">
      <w:pPr>
        <w:pBdr>
          <w:top w:space="0" w:sz="0" w:val="nil"/>
          <w:left w:space="0" w:sz="0" w:val="nil"/>
          <w:bottom w:space="0" w:sz="0" w:val="nil"/>
          <w:right w:space="0" w:sz="0" w:val="nil"/>
          <w:between w:space="0" w:sz="0" w:val="nil"/>
        </w:pBdr>
        <w:spacing w:after="120" w:before="120" w:lineRule="auto"/>
        <w:ind w:left="1134" w:firstLine="0"/>
        <w:jc w:val="left"/>
        <w:rPr>
          <w:color w:val="000000"/>
        </w:rPr>
      </w:pPr>
      <w:r w:rsidDel="00000000" w:rsidR="00000000" w:rsidRPr="00000000">
        <w:rPr>
          <w:color w:val="000000"/>
          <w:rtl w:val="0"/>
        </w:rPr>
        <w:t xml:space="preserve">and shall promptly notify, and procure that each Subcontractor shall promptly notify, the Buyer or, at the direction of the Buyer, any Replacement Supplier and any Replacement Subcontractor of any notice to terminate employment given by the Supplier or relevant Subcontractor or received from any persons listed on the Provisional Supplier Staff List regardless of when such notice takes effect.</w:t>
      </w:r>
    </w:p>
    <w:p w:rsidR="00000000" w:rsidDel="00000000" w:rsidP="00000000" w:rsidRDefault="00000000" w:rsidRPr="00000000" w14:paraId="0000023D">
      <w:pPr>
        <w:keepNext w:val="1"/>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On or around each anniversary of the Start Date and up to four times during the last 12 Months of the Contract Period, the Buyer may make written requests to the Supplier for information relating to the manner in which the Services are organised. Within 20 Working Days of receipt of a written request the Supplier shall provide, and shall procure that each Subcontractor shall provide, to the Buyer such information as the Buyer may reasonably require relating to the manner in which the Services are organised, which shall include:</w:t>
      </w:r>
    </w:p>
    <w:p w:rsidR="00000000" w:rsidDel="00000000" w:rsidP="00000000" w:rsidRDefault="00000000" w:rsidRPr="00000000" w14:paraId="0000023E">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numbers of employees engaged in providing the Services;</w:t>
      </w:r>
    </w:p>
    <w:p w:rsidR="00000000" w:rsidDel="00000000" w:rsidP="00000000" w:rsidRDefault="00000000" w:rsidRPr="00000000" w14:paraId="0000023F">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percentage of time spent by each employee engaged in providing the Services;</w:t>
      </w:r>
    </w:p>
    <w:p w:rsidR="00000000" w:rsidDel="00000000" w:rsidP="00000000" w:rsidRDefault="00000000" w:rsidRPr="00000000" w14:paraId="00000240">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extent to which each employee qualifies for membership of any of the Statutory Schemes or any Broadly Comparable scheme set up pursuant to the provisions of any of the Annexes to Part D (Pensions) (as appropriate); and</w:t>
      </w:r>
    </w:p>
    <w:p w:rsidR="00000000" w:rsidDel="00000000" w:rsidP="00000000" w:rsidRDefault="00000000" w:rsidRPr="00000000" w14:paraId="00000241">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description of the nature of the work undertaken by each employee by location.</w:t>
      </w:r>
    </w:p>
    <w:p w:rsidR="00000000" w:rsidDel="00000000" w:rsidP="00000000" w:rsidRDefault="00000000" w:rsidRPr="00000000" w14:paraId="00000242">
      <w:pPr>
        <w:keepNext w:val="1"/>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provide, and shall procure that each Subcontractor shall provide, all reasonable cooperation and assistance to the Buyer, any Replacement Supplier and/or any Replacement Subcontractor to ensure the smooth transfer of the Transferring Supplier Employees on the Service Transfer Date including providing sufficient information in advance of the Service Transfer Date to ensure that all necessary payroll arrangements can be made to enable the Transferring Supplier Employees to be paid as appropriate. Without prejudice to the generality of the foregoing, within 5 Working Days following the Service Transfer Date, the Supplier shall provide, and shall procure that each Subcontractor shall provide, to the Buyer or, at the direction of the Buyer, to any Replacement Supplier and/or any Replacement Subcontractor (as appropriate), in respect of each person on the Final Supplier Staff List who is a Transferring Supplier Employee: </w:t>
      </w:r>
    </w:p>
    <w:p w:rsidR="00000000" w:rsidDel="00000000" w:rsidP="00000000" w:rsidRDefault="00000000" w:rsidRPr="00000000" w14:paraId="00000243">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most recent month's pay slip data;</w:t>
      </w:r>
    </w:p>
    <w:p w:rsidR="00000000" w:rsidDel="00000000" w:rsidP="00000000" w:rsidRDefault="00000000" w:rsidRPr="00000000" w14:paraId="00000244">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details of cumulative pay for tax and pension purposes;</w:t>
      </w:r>
    </w:p>
    <w:p w:rsidR="00000000" w:rsidDel="00000000" w:rsidP="00000000" w:rsidRDefault="00000000" w:rsidRPr="00000000" w14:paraId="00000245">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details of cumulative tax paid;</w:t>
      </w:r>
    </w:p>
    <w:p w:rsidR="00000000" w:rsidDel="00000000" w:rsidP="00000000" w:rsidRDefault="00000000" w:rsidRPr="00000000" w14:paraId="00000246">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updated tax code as at the Service Transfer Date if the code has changed since it was previously have been provided;</w:t>
      </w:r>
    </w:p>
    <w:p w:rsidR="00000000" w:rsidDel="00000000" w:rsidP="00000000" w:rsidRDefault="00000000" w:rsidRPr="00000000" w14:paraId="00000247">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updated details of any voluntary deductions from pay</w:t>
      </w:r>
      <w:r w:rsidDel="00000000" w:rsidR="00000000" w:rsidRPr="00000000">
        <w:rPr>
          <w:rtl w:val="0"/>
        </w:rPr>
        <w:t xml:space="preserve"> </w:t>
      </w:r>
      <w:r w:rsidDel="00000000" w:rsidR="00000000" w:rsidRPr="00000000">
        <w:rPr>
          <w:color w:val="000000"/>
          <w:rtl w:val="0"/>
        </w:rPr>
        <w:t xml:space="preserve">as at the Service Transfer Date if changes have occurred since the details were previously provided; </w:t>
      </w:r>
    </w:p>
    <w:p w:rsidR="00000000" w:rsidDel="00000000" w:rsidP="00000000" w:rsidRDefault="00000000" w:rsidRPr="00000000" w14:paraId="00000248">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copy of the personal file and all other records regarding the service of the Transferring Supplier Employee;</w:t>
      </w:r>
    </w:p>
    <w:p w:rsidR="00000000" w:rsidDel="00000000" w:rsidP="00000000" w:rsidRDefault="00000000" w:rsidRPr="00000000" w14:paraId="00000249">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all information required to meet the minimum recording keeping requirements under the Working Time Regulations 1998 and the National Minimum Wage Regulations 1998; and</w:t>
      </w:r>
    </w:p>
    <w:p w:rsidR="00000000" w:rsidDel="00000000" w:rsidP="00000000" w:rsidRDefault="00000000" w:rsidRPr="00000000" w14:paraId="0000024A">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updated bank/building society or other account details for payroll purposes if they have changed since they were previously provided.</w:t>
      </w:r>
    </w:p>
    <w:p w:rsidR="00000000" w:rsidDel="00000000" w:rsidP="00000000" w:rsidRDefault="00000000" w:rsidRPr="00000000" w14:paraId="0000024B">
      <w:pPr>
        <w:keepNext w:val="1"/>
        <w:numPr>
          <w:ilvl w:val="0"/>
          <w:numId w:val="7"/>
        </w:numPr>
        <w:pBdr>
          <w:top w:space="0" w:sz="0" w:val="nil"/>
          <w:left w:space="0" w:sz="0" w:val="nil"/>
          <w:bottom w:space="0" w:sz="0" w:val="nil"/>
          <w:right w:space="0" w:sz="0" w:val="nil"/>
          <w:between w:space="0" w:sz="0" w:val="nil"/>
        </w:pBdr>
        <w:spacing w:after="120" w:before="120" w:lineRule="auto"/>
        <w:ind w:left="426" w:hanging="426"/>
        <w:jc w:val="left"/>
        <w:rPr>
          <w:b w:val="1"/>
          <w:bCs w:val="1"/>
          <w:color w:val="000000"/>
        </w:rPr>
      </w:pPr>
      <w:r w:rsidDel="00000000" w:rsidR="00000000" w:rsidRPr="00000000">
        <w:rPr>
          <w:rFonts w:ascii="Arial" w:cs="Arial" w:eastAsia="Arial" w:hAnsi="Arial"/>
          <w:b w:val="1"/>
          <w:bCs w:val="1"/>
          <w:color w:val="000000"/>
          <w:rtl w:val="0"/>
        </w:rPr>
        <w:t xml:space="preserve">Staff Transfer when the contract ends</w:t>
      </w:r>
      <w:r w:rsidDel="00000000" w:rsidR="00000000" w:rsidRPr="00000000">
        <w:rPr>
          <w:rtl w:val="0"/>
        </w:rPr>
      </w:r>
    </w:p>
    <w:p w:rsidR="00000000" w:rsidDel="00000000" w:rsidP="00000000" w:rsidRDefault="00000000" w:rsidRPr="00000000" w14:paraId="0000024C">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Buyer and the Supplier acknowledge that subsequent to the commencement of the provision of the Services, the identity of the provider of the Services (or any part of the Services) may change (whether as a result of termination or Partial Termination of the relevant Contract or otherwise) resulting in the Services being undertaken by a Replacement Supplier and/or a Replacement Subcontractor. Such change in the identity of the supplier of such services may constitute a Relevant Transfer to which the Employment Regulations and/or the Acquired Rights Directive will apply. The Buyer and the Supplier agree that, as a result of the operation of the Employment Regulations, where a Relevant Transfer occurs, the contracts of employment between the Supplier and the Transferring Supplier Employees (except in relation to any contract terms disapplied through operation of regulation 10(2) of the Employment Regulations) will have effect on and from the Service Transfer Date as if originally made between the Replacement Supplier and/or a Replacement Subcontractor (as the case may be) and each such Transferring Supplier Employee.</w:t>
      </w:r>
    </w:p>
    <w:p w:rsidR="00000000" w:rsidDel="00000000" w:rsidP="00000000" w:rsidRDefault="00000000" w:rsidRPr="00000000" w14:paraId="0000024D">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and shall procure that each Subcontractor shall, comply with all its obligations in respect of the Transferring Supplier Employees arising under the Employment Regulations in respect of the period up to (but excluding) the Service Transfer Date and shall perform and discharge, and procure that each Subcontractor shall perform and discharge, all its obligations in respect of all the Transferring Supplier Employees arising in respect of the period up to (but excluding) the Service Transfer Date (including (without limit) the payment of all remuneration, benefits, entitlements, and outgoings, all wages, pay for accrued but untaken holiday, bonuses, commissions, payments of PAYE, national insurance contributions and pension contributions and all such sums due as a result of any Fair Deal Employees' participation in the Schemes which in any case are attributable in whole or in part to the period ending on (but excluding) the Service Transfer Date) and any necessary apportionments in respect of any periodic payments shall be made between: (i) the Supplier and/or the Subcontractor (as appropriate); and (ii) the Replacement Supplier and/or Replacement Subcontractor. </w:t>
      </w:r>
    </w:p>
    <w:p w:rsidR="00000000" w:rsidDel="00000000" w:rsidP="00000000" w:rsidRDefault="00000000" w:rsidRPr="00000000" w14:paraId="0000024E">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5b2l0r" w:id="65"/>
      <w:bookmarkEnd w:id="65"/>
      <w:r w:rsidDel="00000000" w:rsidR="00000000" w:rsidRPr="00000000">
        <w:rPr>
          <w:color w:val="000000"/>
          <w:rtl w:val="0"/>
        </w:rPr>
        <w:t xml:space="preserve">Subject to Paragraph 2.4, the Supplier shall indemnify the Buyer and/or the Replacement Supplier and/or any Replacement Subcontractor against any Employee Liabilities arising from or as a result of: </w:t>
      </w:r>
    </w:p>
    <w:p w:rsidR="00000000" w:rsidDel="00000000" w:rsidP="00000000" w:rsidRDefault="00000000" w:rsidRPr="00000000" w14:paraId="0000024F">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act or omission of the Supplier or any Subcontractor in respect of any Transferring Supplier Employee or any appropriate employee representative (as defined in the Employment Regulations) of any Transferring Supplier Employee whether occurring before, on or after the Service Transfer Date; </w:t>
      </w:r>
    </w:p>
    <w:p w:rsidR="00000000" w:rsidDel="00000000" w:rsidP="00000000" w:rsidRDefault="00000000" w:rsidRPr="00000000" w14:paraId="00000250">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breach or non-observance by the Supplier or any Subcontractor occurring on or before the Service Transfer Date of: </w:t>
      </w:r>
    </w:p>
    <w:p w:rsidR="00000000" w:rsidDel="00000000" w:rsidP="00000000" w:rsidRDefault="00000000" w:rsidRPr="00000000" w14:paraId="00000251">
      <w:pPr>
        <w:pStyle w:val="Heading5"/>
        <w:numPr>
          <w:ilvl w:val="4"/>
          <w:numId w:val="11"/>
        </w:numPr>
        <w:spacing w:after="120" w:before="120" w:lineRule="auto"/>
        <w:ind w:left="2835" w:hanging="850"/>
        <w:jc w:val="left"/>
        <w:rPr/>
      </w:pPr>
      <w:r w:rsidDel="00000000" w:rsidR="00000000" w:rsidRPr="00000000">
        <w:rPr>
          <w:rFonts w:ascii="Arial" w:cs="Arial" w:eastAsia="Arial" w:hAnsi="Arial"/>
          <w:rtl w:val="0"/>
        </w:rPr>
        <w:t xml:space="preserve">any collective agreement applicable to the Transferring Supplier Employees; and/or</w:t>
      </w:r>
    </w:p>
    <w:p w:rsidR="00000000" w:rsidDel="00000000" w:rsidP="00000000" w:rsidRDefault="00000000" w:rsidRPr="00000000" w14:paraId="00000252">
      <w:pPr>
        <w:pStyle w:val="Heading5"/>
        <w:numPr>
          <w:ilvl w:val="4"/>
          <w:numId w:val="11"/>
        </w:numPr>
        <w:spacing w:after="120" w:before="120" w:lineRule="auto"/>
        <w:ind w:left="2835" w:hanging="850"/>
        <w:jc w:val="left"/>
        <w:rPr/>
      </w:pPr>
      <w:r w:rsidDel="00000000" w:rsidR="00000000" w:rsidRPr="00000000">
        <w:rPr>
          <w:rFonts w:ascii="Arial" w:cs="Arial" w:eastAsia="Arial" w:hAnsi="Arial"/>
          <w:rtl w:val="0"/>
        </w:rPr>
        <w:t xml:space="preserve">any other custom or practice with a trade union or staff association in respect of any Transferring Supplier Employees which the Supplier or any Subcontractor is contractually bound to honour;</w:t>
      </w:r>
    </w:p>
    <w:p w:rsidR="00000000" w:rsidDel="00000000" w:rsidP="00000000" w:rsidRDefault="00000000" w:rsidRPr="00000000" w14:paraId="00000253">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kgcv8k" w:id="66"/>
      <w:bookmarkEnd w:id="66"/>
      <w:r w:rsidDel="00000000" w:rsidR="00000000" w:rsidRPr="00000000">
        <w:rPr>
          <w:color w:val="000000"/>
          <w:rtl w:val="0"/>
        </w:rPr>
        <w:t xml:space="preserve">any claim by any trade union or other body or person representing any Transferring Supplier Employees arising from or connected with any failure by the Supplier or a Subcontractor to comply with any legal obligation to such trade union, body or person arising on or before the Service Transfer Date;</w:t>
      </w:r>
    </w:p>
    <w:p w:rsidR="00000000" w:rsidDel="00000000" w:rsidP="00000000" w:rsidRDefault="00000000" w:rsidRPr="00000000" w14:paraId="00000254">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proceeding, claim or demand by HMRC or other statutory authority in respect of any financial obligation including, but not limited to, PAYE and primary and secondary national insurance contributions:</w:t>
      </w:r>
    </w:p>
    <w:p w:rsidR="00000000" w:rsidDel="00000000" w:rsidP="00000000" w:rsidRDefault="00000000" w:rsidRPr="00000000" w14:paraId="00000255">
      <w:pPr>
        <w:pStyle w:val="Heading5"/>
        <w:numPr>
          <w:ilvl w:val="4"/>
          <w:numId w:val="17"/>
        </w:numPr>
        <w:spacing w:after="120" w:before="120" w:lineRule="auto"/>
        <w:ind w:left="2835" w:hanging="850"/>
        <w:jc w:val="left"/>
        <w:rPr/>
      </w:pPr>
      <w:r w:rsidDel="00000000" w:rsidR="00000000" w:rsidRPr="00000000">
        <w:rPr>
          <w:rFonts w:ascii="Arial" w:cs="Arial" w:eastAsia="Arial" w:hAnsi="Arial"/>
          <w:rtl w:val="0"/>
        </w:rPr>
        <w:t xml:space="preserve">in relation to any Transferring Supplier Employee, to the extent that the proceeding, claim or demand by HMRC or other statutory authority relates to financial obligations arising on and before the Service Transfer Date; and</w:t>
      </w:r>
    </w:p>
    <w:p w:rsidR="00000000" w:rsidDel="00000000" w:rsidP="00000000" w:rsidRDefault="00000000" w:rsidRPr="00000000" w14:paraId="00000256">
      <w:pPr>
        <w:pStyle w:val="Heading5"/>
        <w:numPr>
          <w:ilvl w:val="4"/>
          <w:numId w:val="17"/>
        </w:numPr>
        <w:spacing w:after="120" w:before="120" w:lineRule="auto"/>
        <w:ind w:left="2835" w:hanging="850"/>
        <w:jc w:val="left"/>
        <w:rPr/>
      </w:pPr>
      <w:r w:rsidDel="00000000" w:rsidR="00000000" w:rsidRPr="00000000">
        <w:rPr>
          <w:rFonts w:ascii="Arial" w:cs="Arial" w:eastAsia="Arial" w:hAnsi="Arial"/>
          <w:rtl w:val="0"/>
        </w:rPr>
        <w:t xml:space="preserve">in relation to any employee who is not identified in the Final Supplier Staff List, and in respect of whom it is later alleged or determined that the Employment Regulations applied so as to transfer his/her employment from the Supplier to the Buyer and/or Replacement Supplier and/or any Replacement Subcontractor, to the extent that the proceeding, claim or demand by HMRC or other statutory authority relates to financial obligations arising on or before the Service Transfer Date;</w:t>
      </w:r>
    </w:p>
    <w:p w:rsidR="00000000" w:rsidDel="00000000" w:rsidP="00000000" w:rsidRDefault="00000000" w:rsidRPr="00000000" w14:paraId="00000257">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failure of the Supplier or any Subcontractor to discharge or procure the discharge of all wages, salaries and all other benefits and all PAYE tax deductions and national insurance contributions relating to the Transferring Supplier Employees in respect of the period up to (but excluding) the Service Transfer Date);</w:t>
      </w:r>
    </w:p>
    <w:p w:rsidR="00000000" w:rsidDel="00000000" w:rsidP="00000000" w:rsidRDefault="00000000" w:rsidRPr="00000000" w14:paraId="00000258">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made by or in respect of any person employed or formerly employed by the Supplier or any Subcontractor other than a Transferring Supplier Employee identified in the Final Supplier Staff List for whom it is alleged the Buyer and/or the Replacement Supplier and/or any Replacement Subcontractor may be liable by virtue of the relevant Contract and/or the Employment Regulations and/or the Acquired Rights Directive; and</w:t>
      </w:r>
    </w:p>
    <w:p w:rsidR="00000000" w:rsidDel="00000000" w:rsidP="00000000" w:rsidRDefault="00000000" w:rsidRPr="00000000" w14:paraId="00000259">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made by or in respect of a Transferring Supplier Employee or any appropriate employee representative (as defined in the Employment Regulations) of any Transferring Supplier Employee relating to any act or omission of the Supplier or any Subcontractor in relation to its obligations under regulation 13 of the Employment Regulations, except to the extent that the liability arises from the failure by the Buyer and/or Replacement Supplier to comply with regulation 13(4) of the Employment Regulations.</w:t>
      </w:r>
    </w:p>
    <w:p w:rsidR="00000000" w:rsidDel="00000000" w:rsidP="00000000" w:rsidRDefault="00000000" w:rsidRPr="00000000" w14:paraId="0000025A">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4g0dwd" w:id="67"/>
      <w:bookmarkEnd w:id="67"/>
      <w:r w:rsidDel="00000000" w:rsidR="00000000" w:rsidRPr="00000000">
        <w:rPr>
          <w:color w:val="000000"/>
          <w:rtl w:val="0"/>
        </w:rPr>
        <w:t xml:space="preserve">The indemnities in Paragraph 2.3 shall not apply to the extent that the Employee Liabilities arise or are attributable to any act or omission of the Replacement Supplier and/or any Replacement Subcontractor whether occurring or having its origin before, on or after the Service Transfer Date including any Employee Liabilities: </w:t>
      </w:r>
    </w:p>
    <w:p w:rsidR="00000000" w:rsidDel="00000000" w:rsidP="00000000" w:rsidRDefault="00000000" w:rsidRPr="00000000" w14:paraId="0000025B">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arising out of the resignation of any Transferring Supplier Employee before the Service Transfer Date on account of substantial detrimental changes to their terms and conditions of employment or working conditions proposed by the Replacement Supplier and/or any Replacement Subcontractor to occur in the period on or after the Service Transfer Date); or</w:t>
      </w:r>
    </w:p>
    <w:p w:rsidR="00000000" w:rsidDel="00000000" w:rsidP="00000000" w:rsidRDefault="00000000" w:rsidRPr="00000000" w14:paraId="0000025C">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arising from the Replacement Supplier’s failure, and/or Replacement Subcontractor’s failure, to comply with its obligations under the Employment Regulations.</w:t>
      </w:r>
    </w:p>
    <w:p w:rsidR="00000000" w:rsidDel="00000000" w:rsidP="00000000" w:rsidRDefault="00000000" w:rsidRPr="00000000" w14:paraId="0000025D">
      <w:pPr>
        <w:keepNext w:val="1"/>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1jlao46" w:id="68"/>
      <w:bookmarkEnd w:id="68"/>
      <w:r w:rsidDel="00000000" w:rsidR="00000000" w:rsidRPr="00000000">
        <w:rPr>
          <w:color w:val="000000"/>
          <w:rtl w:val="0"/>
        </w:rPr>
        <w:t xml:space="preserve">If any person who is not identified in the Final Supplier Staff List claims, or it is determined in relation to any employees of the Supplier, that his/her contract of employment has been transferred from the Supplier to the Replacement Supplier and/or Replacement Subcontractor pursuant to the Employment Regulations or the Acquired Rights Directive, then:</w:t>
      </w:r>
    </w:p>
    <w:p w:rsidR="00000000" w:rsidDel="00000000" w:rsidP="00000000" w:rsidRDefault="00000000" w:rsidRPr="00000000" w14:paraId="0000025E">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43ky6rz" w:id="69"/>
      <w:bookmarkEnd w:id="69"/>
      <w:r w:rsidDel="00000000" w:rsidR="00000000" w:rsidRPr="00000000">
        <w:rPr>
          <w:color w:val="000000"/>
          <w:rtl w:val="0"/>
        </w:rPr>
        <w:t xml:space="preserve">the Buyer shall procure that the Replacement Supplier and/or Replacement Subcontractor will, within 5 Working Days of becoming aware of that fact, notify the Buyer and the Supplier in writing; and </w:t>
      </w:r>
    </w:p>
    <w:p w:rsidR="00000000" w:rsidDel="00000000" w:rsidP="00000000" w:rsidRDefault="00000000" w:rsidRPr="00000000" w14:paraId="0000025F">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2iq8gzs" w:id="70"/>
      <w:bookmarkEnd w:id="70"/>
      <w:r w:rsidDel="00000000" w:rsidR="00000000" w:rsidRPr="00000000">
        <w:rPr>
          <w:color w:val="000000"/>
          <w:rtl w:val="0"/>
        </w:rPr>
        <w:t xml:space="preserve">the Supplier may offer (or may procure that a Subcontractor may offer) employment to such person, or take such other reasonable steps as it considered appropriate to deal the matter provided always that such steps are in compliance with Law, within 15 Working Days of receipt of notice from the Replacement Supplier and/or Replacement Subcontractor. </w:t>
      </w:r>
    </w:p>
    <w:p w:rsidR="00000000" w:rsidDel="00000000" w:rsidP="00000000" w:rsidRDefault="00000000" w:rsidRPr="00000000" w14:paraId="00000260">
      <w:pPr>
        <w:keepNext w:val="1"/>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If such offer pursuant to Paragraph 2.5.2 is accepted, or if the situation has otherwise been resolved by the Supplier or a Subcontractor, the Buyer shall, or shall procure that the Replacement Supplier and/or Replacement Subcontractor shall, immediately release or procure the release the person from his/her employment or alleged employment.</w:t>
      </w:r>
    </w:p>
    <w:p w:rsidR="00000000" w:rsidDel="00000000" w:rsidP="00000000" w:rsidRDefault="00000000" w:rsidRPr="00000000" w14:paraId="00000261">
      <w:pPr>
        <w:keepNext w:val="1"/>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xvir7l" w:id="71"/>
      <w:bookmarkEnd w:id="71"/>
      <w:r w:rsidDel="00000000" w:rsidR="00000000" w:rsidRPr="00000000">
        <w:rPr>
          <w:color w:val="000000"/>
          <w:rtl w:val="0"/>
        </w:rPr>
        <w:t xml:space="preserve">If after the 15 Working Day period specified in Paragraph 2.5.2 has elapsed: </w:t>
      </w:r>
    </w:p>
    <w:p w:rsidR="00000000" w:rsidDel="00000000" w:rsidP="00000000" w:rsidRDefault="00000000" w:rsidRPr="00000000" w14:paraId="00000262">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no such offer has been made: </w:t>
      </w:r>
    </w:p>
    <w:p w:rsidR="00000000" w:rsidDel="00000000" w:rsidP="00000000" w:rsidRDefault="00000000" w:rsidRPr="00000000" w14:paraId="00000263">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such offer has been made but not accepted; or </w:t>
      </w:r>
    </w:p>
    <w:p w:rsidR="00000000" w:rsidDel="00000000" w:rsidP="00000000" w:rsidRDefault="00000000" w:rsidRPr="00000000" w14:paraId="00000264">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situation has not otherwise been resolved</w:t>
      </w:r>
    </w:p>
    <w:p w:rsidR="00000000" w:rsidDel="00000000" w:rsidP="00000000" w:rsidRDefault="00000000" w:rsidRPr="00000000" w14:paraId="00000265">
      <w:pPr>
        <w:pBdr>
          <w:top w:space="0" w:sz="0" w:val="nil"/>
          <w:left w:space="0" w:sz="0" w:val="nil"/>
          <w:bottom w:space="0" w:sz="0" w:val="nil"/>
          <w:right w:space="0" w:sz="0" w:val="nil"/>
          <w:between w:space="0" w:sz="0" w:val="nil"/>
        </w:pBdr>
        <w:spacing w:after="120" w:before="120" w:lineRule="auto"/>
        <w:ind w:left="1134" w:firstLine="0"/>
        <w:jc w:val="left"/>
        <w:rPr>
          <w:color w:val="000000"/>
        </w:rPr>
      </w:pPr>
      <w:r w:rsidDel="00000000" w:rsidR="00000000" w:rsidRPr="00000000">
        <w:rPr>
          <w:color w:val="000000"/>
          <w:rtl w:val="0"/>
        </w:rPr>
        <w:t xml:space="preserve">the Buyer shall advise the Replacement Supplier and/or Replacement Subcontractor (as appropriate) that it may within 5 Working Days give notice to terminate the employment or alleged employment of such person.</w:t>
      </w:r>
    </w:p>
    <w:p w:rsidR="00000000" w:rsidDel="00000000" w:rsidP="00000000" w:rsidRDefault="00000000" w:rsidRPr="00000000" w14:paraId="00000266">
      <w:pPr>
        <w:keepNext w:val="1"/>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Subject to the Replacement Supplier's and/or Replacement Subcontractor acting in accordance with the provisions of Paragraphs 2.5 to 2.7 and in accordance with all applicable proper employment procedures set out in applicable Law and subject to Paragraph 2.9 below, the Supplier will indemnify the Replacement Supplier and/or Replacement Subcontractor against all Employee Liabilities arising out of the termination of the employment of any of the Supplier's employees pursuant to the provisions of Paragraph 2.7 provided that the Replacement Supplier takes, or shall procure that the Replacement Subcontractor takes, all reasonable steps to minimise any such Employee Liabilities. </w:t>
      </w:r>
    </w:p>
    <w:p w:rsidR="00000000" w:rsidDel="00000000" w:rsidP="00000000" w:rsidRDefault="00000000" w:rsidRPr="00000000" w14:paraId="00000267">
      <w:pPr>
        <w:keepNext w:val="1"/>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3hv69ve" w:id="72"/>
      <w:bookmarkEnd w:id="72"/>
      <w:r w:rsidDel="00000000" w:rsidR="00000000" w:rsidRPr="00000000">
        <w:rPr>
          <w:color w:val="000000"/>
          <w:rtl w:val="0"/>
        </w:rPr>
        <w:t xml:space="preserve">The indemnity in Paragraph 2.8: </w:t>
      </w:r>
    </w:p>
    <w:p w:rsidR="00000000" w:rsidDel="00000000" w:rsidP="00000000" w:rsidRDefault="00000000" w:rsidRPr="00000000" w14:paraId="00000268">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shall not apply to:</w:t>
      </w:r>
    </w:p>
    <w:p w:rsidR="00000000" w:rsidDel="00000000" w:rsidP="00000000" w:rsidRDefault="00000000" w:rsidRPr="00000000" w14:paraId="00000269">
      <w:pPr>
        <w:numPr>
          <w:ilvl w:val="3"/>
          <w:numId w:val="7"/>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claim for: </w:t>
      </w:r>
    </w:p>
    <w:p w:rsidR="00000000" w:rsidDel="00000000" w:rsidP="00000000" w:rsidRDefault="00000000" w:rsidRPr="00000000" w14:paraId="0000026A">
      <w:pPr>
        <w:numPr>
          <w:ilvl w:val="5"/>
          <w:numId w:val="7"/>
        </w:numPr>
        <w:pBdr>
          <w:top w:space="0" w:sz="0" w:val="nil"/>
          <w:left w:space="0" w:sz="0" w:val="nil"/>
          <w:bottom w:space="0" w:sz="0" w:val="nil"/>
          <w:right w:space="0" w:sz="0" w:val="nil"/>
          <w:between w:space="0" w:sz="0" w:val="nil"/>
        </w:pBdr>
        <w:spacing w:after="120" w:before="120" w:lineRule="auto"/>
        <w:ind w:left="3686" w:hanging="851.0000000000002"/>
        <w:jc w:val="left"/>
        <w:rPr>
          <w:color w:val="000000"/>
        </w:rPr>
      </w:pPr>
      <w:r w:rsidDel="00000000" w:rsidR="00000000" w:rsidRPr="00000000">
        <w:rPr>
          <w:color w:val="000000"/>
          <w:rtl w:val="0"/>
        </w:rPr>
        <w:t xml:space="preserve">any contravention of the Equality Act 2010 (or predecessor/successor legislation); or</w:t>
      </w:r>
    </w:p>
    <w:p w:rsidR="00000000" w:rsidDel="00000000" w:rsidP="00000000" w:rsidRDefault="00000000" w:rsidRPr="00000000" w14:paraId="0000026B">
      <w:pPr>
        <w:numPr>
          <w:ilvl w:val="5"/>
          <w:numId w:val="7"/>
        </w:numPr>
        <w:pBdr>
          <w:top w:space="0" w:sz="0" w:val="nil"/>
          <w:left w:space="0" w:sz="0" w:val="nil"/>
          <w:bottom w:space="0" w:sz="0" w:val="nil"/>
          <w:right w:space="0" w:sz="0" w:val="nil"/>
          <w:between w:space="0" w:sz="0" w:val="nil"/>
        </w:pBdr>
        <w:spacing w:after="120" w:before="120" w:lineRule="auto"/>
        <w:ind w:left="3686" w:hanging="851.0000000000002"/>
        <w:jc w:val="left"/>
        <w:rPr>
          <w:color w:val="000000"/>
        </w:rPr>
      </w:pPr>
      <w:r w:rsidDel="00000000" w:rsidR="00000000" w:rsidRPr="00000000">
        <w:rPr>
          <w:color w:val="000000"/>
          <w:rtl w:val="0"/>
        </w:rPr>
        <w:t xml:space="preserve">equal pay or compensation for less favourable treatment of part-time workers or fixed-term employees, </w:t>
      </w:r>
    </w:p>
    <w:p w:rsidR="00000000" w:rsidDel="00000000" w:rsidP="00000000" w:rsidRDefault="00000000" w:rsidRPr="00000000" w14:paraId="0000026C">
      <w:pPr>
        <w:pBdr>
          <w:top w:space="0" w:sz="0" w:val="nil"/>
          <w:left w:space="0" w:sz="0" w:val="nil"/>
          <w:bottom w:space="0" w:sz="0" w:val="nil"/>
          <w:right w:space="0" w:sz="0" w:val="nil"/>
          <w:between w:space="0" w:sz="0" w:val="nil"/>
        </w:pBdr>
        <w:spacing w:after="120" w:before="120" w:lineRule="auto"/>
        <w:ind w:left="2880" w:firstLine="0"/>
        <w:jc w:val="left"/>
        <w:rPr>
          <w:color w:val="000000"/>
        </w:rPr>
      </w:pPr>
      <w:r w:rsidDel="00000000" w:rsidR="00000000" w:rsidRPr="00000000">
        <w:rPr>
          <w:color w:val="000000"/>
          <w:rtl w:val="0"/>
        </w:rPr>
        <w:t xml:space="preserve">arising as a result of any alleged act or omission of the Replacement Supplier and/or Replacement Subcontractor, or</w:t>
      </w:r>
    </w:p>
    <w:p w:rsidR="00000000" w:rsidDel="00000000" w:rsidP="00000000" w:rsidRDefault="00000000" w:rsidRPr="00000000" w14:paraId="0000026D">
      <w:pPr>
        <w:numPr>
          <w:ilvl w:val="3"/>
          <w:numId w:val="7"/>
        </w:numPr>
        <w:pBdr>
          <w:top w:space="0" w:sz="0" w:val="nil"/>
          <w:left w:space="0" w:sz="0" w:val="nil"/>
          <w:bottom w:space="0" w:sz="0" w:val="nil"/>
          <w:right w:space="0" w:sz="0" w:val="nil"/>
          <w:between w:space="0" w:sz="0" w:val="nil"/>
        </w:pBdr>
        <w:spacing w:after="120" w:before="120" w:lineRule="auto"/>
        <w:ind w:left="2835" w:hanging="850"/>
        <w:jc w:val="left"/>
        <w:rPr>
          <w:color w:val="000000"/>
        </w:rPr>
      </w:pPr>
      <w:r w:rsidDel="00000000" w:rsidR="00000000" w:rsidRPr="00000000">
        <w:rPr>
          <w:color w:val="000000"/>
          <w:rtl w:val="0"/>
        </w:rPr>
        <w:t xml:space="preserve">any claim that the termination of employment was unfair because the Replacement Supplier and/or Replacement Subcontractor neglected to follow a fair dismissal procedure; and </w:t>
      </w:r>
    </w:p>
    <w:p w:rsidR="00000000" w:rsidDel="00000000" w:rsidP="00000000" w:rsidRDefault="00000000" w:rsidRPr="00000000" w14:paraId="0000026E">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bookmarkStart w:colFirst="0" w:colLast="0" w:name="_heading=h.1x0gk37" w:id="73"/>
      <w:bookmarkEnd w:id="73"/>
      <w:r w:rsidDel="00000000" w:rsidR="00000000" w:rsidRPr="00000000">
        <w:rPr>
          <w:color w:val="000000"/>
          <w:rtl w:val="0"/>
        </w:rPr>
        <w:t xml:space="preserve">shall apply only where the notification referred to in Paragraph 2.5.1 is made by the Replacement Supplier and/or Replacement Subcontractor to the Supplier within 6 months of the Service Transfer Date.</w:t>
      </w:r>
    </w:p>
    <w:p w:rsidR="00000000" w:rsidDel="00000000" w:rsidP="00000000" w:rsidRDefault="00000000" w:rsidRPr="00000000" w14:paraId="0000026F">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If any such person as is described in Paragraph 2.5 is neither re-employed by the Supplier or any Subcontractor nor dismissed by the Replacement Supplier and/or Replacement Subcontractor within the time scales set out in Paragraphs 2.5 to 2.7, such person shall be treated as a Transferring Supplier Employee.</w:t>
      </w:r>
    </w:p>
    <w:p w:rsidR="00000000" w:rsidDel="00000000" w:rsidP="00000000" w:rsidRDefault="00000000" w:rsidRPr="00000000" w14:paraId="00000270">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r w:rsidDel="00000000" w:rsidR="00000000" w:rsidRPr="00000000">
        <w:rPr>
          <w:color w:val="000000"/>
          <w:rtl w:val="0"/>
        </w:rPr>
        <w:t xml:space="preserve">The Supplier shall comply, and shall procure that each Subcontractor shall comply, with all its obligations under the Employment Regulations and shall perform and discharge, and shall procure that each Subcontractor shall perform and discharge, all its obligations in respect of any person identified in the Final Supplier Staff List before and on the Service Transfer Date (including the payment of all remuneration, benefits, entitlements and outgoings, all wages, accrued but untaken holiday pay, bonuses, commissions, payments of PAYE, national insurance contributions and pension contributions and such sums due as a result of any Fair Deal Employees' participation in the Schemes and any requirement to set up a broadly comparable pension scheme which in any case are attributable in whole or in part in respect of the period up to (but excluding) the Service Transfer Date) and any necessary apportionments in respect of any periodic payments shall be made between: </w:t>
      </w:r>
    </w:p>
    <w:p w:rsidR="00000000" w:rsidDel="00000000" w:rsidP="00000000" w:rsidRDefault="00000000" w:rsidRPr="00000000" w14:paraId="00000271">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rtl w:val="0"/>
        </w:rPr>
        <w:t xml:space="preserve">the Supplier and/or any Subcontractor; and</w:t>
      </w:r>
      <w:r w:rsidDel="00000000" w:rsidR="00000000" w:rsidRPr="00000000">
        <w:rPr>
          <w:rtl w:val="0"/>
        </w:rPr>
      </w:r>
    </w:p>
    <w:p w:rsidR="00000000" w:rsidDel="00000000" w:rsidP="00000000" w:rsidRDefault="00000000" w:rsidRPr="00000000" w14:paraId="00000272">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rtl w:val="0"/>
        </w:rPr>
        <w:t xml:space="preserve">the Replacement Supplier and/or the Replacement Subcontractor.</w:t>
      </w:r>
      <w:r w:rsidDel="00000000" w:rsidR="00000000" w:rsidRPr="00000000">
        <w:rPr>
          <w:rtl w:val="0"/>
        </w:rPr>
      </w:r>
    </w:p>
    <w:p w:rsidR="00000000" w:rsidDel="00000000" w:rsidP="00000000" w:rsidRDefault="00000000" w:rsidRPr="00000000" w14:paraId="00000273">
      <w:pPr>
        <w:pBdr>
          <w:top w:space="0" w:sz="0" w:val="nil"/>
          <w:left w:space="0" w:sz="0" w:val="nil"/>
          <w:bottom w:space="0" w:sz="0" w:val="nil"/>
          <w:right w:space="0" w:sz="0" w:val="nil"/>
          <w:between w:space="0" w:sz="0" w:val="nil"/>
        </w:pBdr>
        <w:spacing w:after="120" w:before="120" w:lineRule="auto"/>
        <w:ind w:left="720" w:hanging="720"/>
        <w:jc w:val="left"/>
        <w:rPr>
          <w:color w:val="000000"/>
        </w:rPr>
      </w:pPr>
      <w:r w:rsidDel="00000000" w:rsidR="00000000" w:rsidRPr="00000000">
        <w:rPr>
          <w:rtl w:val="0"/>
        </w:rPr>
      </w:r>
    </w:p>
    <w:p w:rsidR="00000000" w:rsidDel="00000000" w:rsidP="00000000" w:rsidRDefault="00000000" w:rsidRPr="00000000" w14:paraId="00000274">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4h042r0" w:id="74"/>
      <w:bookmarkEnd w:id="74"/>
      <w:r w:rsidDel="00000000" w:rsidR="00000000" w:rsidRPr="00000000">
        <w:rPr>
          <w:color w:val="000000"/>
          <w:rtl w:val="0"/>
        </w:rPr>
        <w:t xml:space="preserve">The Supplier shall, and shall procure that each Subcontractor shall, promptly provide the Buyer and any Replacement Supplier and/or Replacement Subcontractor, in writing such information as is necessary to enable the Buyer, the Replacement Supplier and/or Replacement Subcontractor to carry out their respective duties under regulation 13 of the Employment Regulations. The Buyer shall procure that the Replacement Supplier and/or Replacement Subcontractor, shall promptly provide to the Supplier and each Subcontractor in writing such information as is necessary to enable the Supplier and each Subcontractor to carry out their respective duties under regulation 13 of the Employment Regulations.</w:t>
      </w:r>
    </w:p>
    <w:p w:rsidR="00000000" w:rsidDel="00000000" w:rsidP="00000000" w:rsidRDefault="00000000" w:rsidRPr="00000000" w14:paraId="00000275">
      <w:pPr>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pPr>
      <w:bookmarkStart w:colFirst="0" w:colLast="0" w:name="_heading=h.2w5ecyt" w:id="75"/>
      <w:bookmarkEnd w:id="75"/>
      <w:r w:rsidDel="00000000" w:rsidR="00000000" w:rsidRPr="00000000">
        <w:rPr>
          <w:color w:val="000000"/>
          <w:rtl w:val="0"/>
        </w:rPr>
        <w:t xml:space="preserve">Subject to Paragraph 2.14, the Buyer shall procure that the Replacement Supplier indemnifies the Supplier on its own behalf and on behalf of any Replacement Subcontractor and its Subcontractors against any Employee Liabilities arising from or as a result of: </w:t>
      </w:r>
    </w:p>
    <w:p w:rsidR="00000000" w:rsidDel="00000000" w:rsidP="00000000" w:rsidRDefault="00000000" w:rsidRPr="00000000" w14:paraId="00000276">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act or omission of the Replacement Supplier and/or Replacement Subcontractor in respect of any Transferring Supplier Employee in the Final Supplier Staff List or any appropriate employee representative (as defined in the Employment Regulations) of any such Transferring Supplier Employee; </w:t>
      </w:r>
    </w:p>
    <w:p w:rsidR="00000000" w:rsidDel="00000000" w:rsidP="00000000" w:rsidRDefault="00000000" w:rsidRPr="00000000" w14:paraId="00000277">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the breach or non-observance by the Replacement Supplier and/or Replacement Subcontractor on or after the Service Transfer Date of: </w:t>
      </w:r>
    </w:p>
    <w:p w:rsidR="00000000" w:rsidDel="00000000" w:rsidP="00000000" w:rsidRDefault="00000000" w:rsidRPr="00000000" w14:paraId="00000278">
      <w:pPr>
        <w:pStyle w:val="Heading5"/>
        <w:numPr>
          <w:ilvl w:val="4"/>
          <w:numId w:val="16"/>
        </w:numPr>
        <w:spacing w:after="120" w:before="120" w:lineRule="auto"/>
        <w:ind w:left="2835" w:hanging="850"/>
        <w:jc w:val="left"/>
        <w:rPr/>
      </w:pPr>
      <w:r w:rsidDel="00000000" w:rsidR="00000000" w:rsidRPr="00000000">
        <w:rPr>
          <w:rFonts w:ascii="Arial" w:cs="Arial" w:eastAsia="Arial" w:hAnsi="Arial"/>
          <w:rtl w:val="0"/>
        </w:rPr>
        <w:t xml:space="preserve">any collective agreement applicable to the Transferring Supplier Employees identified in the Final Supplier Staff List; and/or </w:t>
      </w:r>
    </w:p>
    <w:p w:rsidR="00000000" w:rsidDel="00000000" w:rsidP="00000000" w:rsidRDefault="00000000" w:rsidRPr="00000000" w14:paraId="00000279">
      <w:pPr>
        <w:pStyle w:val="Heading5"/>
        <w:numPr>
          <w:ilvl w:val="4"/>
          <w:numId w:val="16"/>
        </w:numPr>
        <w:spacing w:after="120" w:before="120" w:lineRule="auto"/>
        <w:ind w:left="2835" w:hanging="850"/>
        <w:jc w:val="left"/>
        <w:rPr/>
      </w:pPr>
      <w:r w:rsidDel="00000000" w:rsidR="00000000" w:rsidRPr="00000000">
        <w:rPr>
          <w:rFonts w:ascii="Arial" w:cs="Arial" w:eastAsia="Arial" w:hAnsi="Arial"/>
          <w:rtl w:val="0"/>
        </w:rPr>
        <w:t xml:space="preserve">any custom or practice in respect of any Transferring Supplier Employees identified in the Final Supplier Staff List which the Replacement Supplier and/or Replacement Subcontractor is contractually bound to honour;</w:t>
      </w:r>
    </w:p>
    <w:p w:rsidR="00000000" w:rsidDel="00000000" w:rsidP="00000000" w:rsidRDefault="00000000" w:rsidRPr="00000000" w14:paraId="0000027A">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by any trade union or other body or person representing any Transferring Supplier Employees identified in the Final Supplier Staff List arising from or connected with any failure by the Replacement Supplier and/or Replacement Subcontractor to comply with any legal obligation to such trade union, body or person arising on or after the Service Transfer Date;</w:t>
      </w:r>
    </w:p>
    <w:p w:rsidR="00000000" w:rsidDel="00000000" w:rsidP="00000000" w:rsidRDefault="00000000" w:rsidRPr="00000000" w14:paraId="0000027B">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proposal by the Replacement Supplier and/or Replacement Subcontractor to change the terms and conditions of employment or working conditions of any Transferring Supplier Employees identified in the Final Supplier Staff List on or after their transfer to the Replacement Supplier or Replacement Subcontractor (as the case may be) on the Service Transfer Date, or to change the terms and conditions of employment or working conditions of any person identified in the Final Supplier Staff List who would have been a Transferring Supplier Employee but for their resignation (or decision to treat their employment as terminated under regulation 4(9) of the Employment Regulations or otherwise) before the Service Transfer Date as a result of or for a reason connected to such proposed changes; </w:t>
      </w:r>
    </w:p>
    <w:p w:rsidR="00000000" w:rsidDel="00000000" w:rsidP="00000000" w:rsidRDefault="00000000" w:rsidRPr="00000000" w14:paraId="0000027C">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statement communicated to or action undertaken by the Replacement Supplier or Replacement Subcontractor to, or in respect of, any Transferring Supplier Employee identified in the Final Supplier Staff List on or before the Service Transfer Date regarding the Relevant Transfer which has not been agreed in advance with the Supplier in writing;</w:t>
      </w:r>
    </w:p>
    <w:p w:rsidR="00000000" w:rsidDel="00000000" w:rsidP="00000000" w:rsidRDefault="00000000" w:rsidRPr="00000000" w14:paraId="0000027D">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proceeding, claim or demand by HMRC or other statutory authority in respect of any financial obligation including, but not limited to, PAYE and primary and secondary national insurance contributions:</w:t>
      </w:r>
    </w:p>
    <w:p w:rsidR="00000000" w:rsidDel="00000000" w:rsidP="00000000" w:rsidRDefault="00000000" w:rsidRPr="00000000" w14:paraId="0000027E">
      <w:pPr>
        <w:pStyle w:val="Heading5"/>
        <w:numPr>
          <w:ilvl w:val="4"/>
          <w:numId w:val="6"/>
        </w:numPr>
        <w:spacing w:after="120" w:before="120" w:lineRule="auto"/>
        <w:ind w:left="2835" w:hanging="850"/>
        <w:jc w:val="left"/>
        <w:rPr/>
      </w:pPr>
      <w:r w:rsidDel="00000000" w:rsidR="00000000" w:rsidRPr="00000000">
        <w:rPr>
          <w:rFonts w:ascii="Arial" w:cs="Arial" w:eastAsia="Arial" w:hAnsi="Arial"/>
          <w:rtl w:val="0"/>
        </w:rPr>
        <w:t xml:space="preserve">in relation to any Transferring Supplier Employee identified in the Final Supplier Staff List, to the extent that the proceeding, claim or demand by HMRC or other statutory authority relates to financial obligations arising after the Service Transfer Date; and</w:t>
      </w:r>
    </w:p>
    <w:p w:rsidR="00000000" w:rsidDel="00000000" w:rsidP="00000000" w:rsidRDefault="00000000" w:rsidRPr="00000000" w14:paraId="0000027F">
      <w:pPr>
        <w:pStyle w:val="Heading5"/>
        <w:numPr>
          <w:ilvl w:val="4"/>
          <w:numId w:val="6"/>
        </w:numPr>
        <w:spacing w:after="120" w:before="120" w:lineRule="auto"/>
        <w:ind w:left="2835" w:hanging="850"/>
        <w:jc w:val="left"/>
        <w:rPr/>
      </w:pPr>
      <w:r w:rsidDel="00000000" w:rsidR="00000000" w:rsidRPr="00000000">
        <w:rPr>
          <w:rFonts w:ascii="Arial" w:cs="Arial" w:eastAsia="Arial" w:hAnsi="Arial"/>
          <w:rtl w:val="0"/>
        </w:rPr>
        <w:t xml:space="preserve">in relation to any employee who is not a Transferring Supplier Employee identified in the Final Supplier Staff List, and in respect of whom it is later alleged or determined that the Employment Regulations applied so as to transfer his/her employment from the Supplier or Subcontractor, to the Replacement Supplier or Replacement Subcontractor to the extent that the proceeding, claim or demand by HMRC or other statutory authority relates to financial obligations arising after the Service Transfer Date;</w:t>
      </w:r>
    </w:p>
    <w:p w:rsidR="00000000" w:rsidDel="00000000" w:rsidP="00000000" w:rsidRDefault="00000000" w:rsidRPr="00000000" w14:paraId="00000280">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 failure of the Replacement Supplier or Replacement Subcontractor to discharge or procure the discharge of all wages, salaries and all other benefits and all PAYE tax deductions and national insurance contributions relating to the Transferring Supplier Employees identified in the Final Supplier Staff List in respect of the period from (and including) the Service Transfer Date; and</w:t>
      </w:r>
    </w:p>
    <w:p w:rsidR="00000000" w:rsidDel="00000000" w:rsidP="00000000" w:rsidRDefault="00000000" w:rsidRPr="00000000" w14:paraId="00000281">
      <w:pPr>
        <w:numPr>
          <w:ilvl w:val="2"/>
          <w:numId w:val="7"/>
        </w:numPr>
        <w:pBdr>
          <w:top w:space="0" w:sz="0" w:val="nil"/>
          <w:left w:space="0" w:sz="0" w:val="nil"/>
          <w:bottom w:space="0" w:sz="0" w:val="nil"/>
          <w:right w:space="0" w:sz="0" w:val="nil"/>
          <w:between w:space="0" w:sz="0" w:val="nil"/>
        </w:pBdr>
        <w:spacing w:after="120" w:before="120" w:lineRule="auto"/>
        <w:ind w:left="1985" w:hanging="851"/>
        <w:jc w:val="left"/>
        <w:rPr>
          <w:color w:val="000000"/>
        </w:rPr>
      </w:pPr>
      <w:r w:rsidDel="00000000" w:rsidR="00000000" w:rsidRPr="00000000">
        <w:rPr>
          <w:color w:val="000000"/>
          <w:rtl w:val="0"/>
        </w:rPr>
        <w:t xml:space="preserve">any claim made by or in respect of a Transferring Supplier Employee identified in the Final Supplier Staff List or any appropriate employee representative (as defined in the Employment Regulations) of any such Transferring Supplier Employee relating to any act or omission of the Replacement Supplier or Replacement Subcontractor in relation to obligations under regulation 13 of the Employment Regulations.</w:t>
      </w:r>
    </w:p>
    <w:p w:rsidR="00000000" w:rsidDel="00000000" w:rsidP="00000000" w:rsidRDefault="00000000" w:rsidRPr="00000000" w14:paraId="00000282">
      <w:pPr>
        <w:keepNext w:val="1"/>
        <w:numPr>
          <w:ilvl w:val="1"/>
          <w:numId w:val="7"/>
        </w:numPr>
        <w:pBdr>
          <w:top w:space="0" w:sz="0" w:val="nil"/>
          <w:left w:space="0" w:sz="0" w:val="nil"/>
          <w:bottom w:space="0" w:sz="0" w:val="nil"/>
          <w:right w:space="0" w:sz="0" w:val="nil"/>
          <w:between w:space="0" w:sz="0" w:val="nil"/>
        </w:pBdr>
        <w:spacing w:after="120" w:before="120" w:lineRule="auto"/>
        <w:ind w:left="1134" w:hanging="708"/>
        <w:jc w:val="left"/>
        <w:rPr>
          <w:color w:val="000000"/>
        </w:rPr>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40" w:top="1440" w:left="1440" w:right="1440" w:header="709" w:footer="709"/>
          <w:pgNumType w:start="1"/>
        </w:sectPr>
      </w:pPr>
      <w:r w:rsidDel="00000000" w:rsidR="00000000" w:rsidRPr="00000000">
        <w:rPr>
          <w:color w:val="000000"/>
          <w:rtl w:val="0"/>
        </w:rPr>
        <w:t xml:space="preserve">The indemnities in Paragraph 2.13 shall not apply to the extent that the Employee Liabilities arise or are attributable to an act or omission of the Supplier and/or any Subcontractor (as applicable) whether occurring or having its origin before, on or after the Service Transfer Date, including any Employee Liabilities arising from the failure by the Supplier and/or any Subcontractor (as applicable) to comply with its obligations under the Employment Regulations.</w:t>
      </w:r>
    </w:p>
    <w:p w:rsidR="00000000" w:rsidDel="00000000" w:rsidP="00000000" w:rsidRDefault="00000000" w:rsidRPr="00000000" w14:paraId="00000283">
      <w:pPr>
        <w:spacing w:after="120" w:before="120" w:lineRule="auto"/>
        <w:jc w:val="left"/>
        <w:rPr>
          <w:b w:val="1"/>
          <w:bCs w:val="1"/>
          <w:sz w:val="36"/>
          <w:szCs w:val="36"/>
        </w:rPr>
      </w:pPr>
      <w:r w:rsidDel="00000000" w:rsidR="00000000" w:rsidRPr="00000000">
        <w:rPr>
          <w:b w:val="1"/>
          <w:bCs w:val="1"/>
          <w:sz w:val="36"/>
          <w:szCs w:val="36"/>
          <w:rtl w:val="0"/>
        </w:rPr>
        <w:t xml:space="preserve">Annex E1: List of Notified Subcontractors</w:t>
      </w:r>
    </w:p>
    <w:p w:rsidR="00000000" w:rsidDel="00000000" w:rsidP="00000000" w:rsidRDefault="00000000" w:rsidRPr="00000000" w14:paraId="00000284">
      <w:pPr>
        <w:spacing w:after="120" w:before="120" w:lineRule="auto"/>
        <w:jc w:val="left"/>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85">
      <w:pPr>
        <w:pBdr>
          <w:top w:space="0" w:sz="0" w:val="nil"/>
          <w:left w:space="0" w:sz="0" w:val="nil"/>
          <w:bottom w:space="0" w:sz="0" w:val="nil"/>
          <w:right w:space="0" w:sz="0" w:val="nil"/>
          <w:between w:space="0" w:sz="0" w:val="nil"/>
        </w:pBdr>
        <w:spacing w:after="120" w:before="120" w:lineRule="auto"/>
        <w:jc w:val="left"/>
        <w:rPr>
          <w:b w:val="1"/>
          <w:bCs w:val="1"/>
          <w:color w:val="000000"/>
        </w:rPr>
      </w:pPr>
      <w:r w:rsidDel="00000000" w:rsidR="00000000" w:rsidRPr="00000000">
        <w:rPr>
          <w:rtl w:val="0"/>
        </w:rPr>
      </w:r>
    </w:p>
    <w:p w:rsidR="00000000" w:rsidDel="00000000" w:rsidP="00000000" w:rsidRDefault="00000000" w:rsidRPr="00000000" w14:paraId="00000286">
      <w:pPr>
        <w:spacing w:after="120" w:before="120" w:lineRule="auto"/>
        <w:jc w:val="left"/>
        <w:rPr>
          <w:b w:val="1"/>
          <w:bCs w:val="1"/>
          <w:sz w:val="36"/>
          <w:szCs w:val="36"/>
        </w:rPr>
      </w:pPr>
      <w:bookmarkStart w:colFirst="0" w:colLast="0" w:name="_heading=h.1smtxgf" w:id="76"/>
      <w:bookmarkEnd w:id="76"/>
      <w:r w:rsidDel="00000000" w:rsidR="00000000" w:rsidRPr="00000000">
        <w:rPr>
          <w:b w:val="1"/>
          <w:bCs w:val="1"/>
          <w:sz w:val="36"/>
          <w:szCs w:val="36"/>
          <w:rtl w:val="0"/>
        </w:rPr>
        <w:t xml:space="preserve">Annex E2: Staffing Information</w:t>
      </w:r>
    </w:p>
    <w:p w:rsidR="00000000" w:rsidDel="00000000" w:rsidP="00000000" w:rsidRDefault="00000000" w:rsidRPr="00000000" w14:paraId="00000287">
      <w:pPr>
        <w:pBdr>
          <w:top w:space="0" w:sz="0" w:val="nil"/>
          <w:left w:space="0" w:sz="0" w:val="nil"/>
          <w:bottom w:space="0" w:sz="0" w:val="nil"/>
          <w:right w:space="0" w:sz="0" w:val="nil"/>
          <w:between w:space="0" w:sz="0" w:val="nil"/>
        </w:pBdr>
        <w:spacing w:after="120" w:before="120" w:lineRule="auto"/>
        <w:jc w:val="left"/>
        <w:rPr>
          <w:b w:val="1"/>
          <w:bCs w:val="1"/>
          <w:color w:val="000000"/>
        </w:rPr>
      </w:pPr>
      <w:r w:rsidDel="00000000" w:rsidR="00000000" w:rsidRPr="00000000">
        <w:rPr>
          <w:b w:val="1"/>
          <w:bCs w:val="1"/>
          <w:color w:val="000000"/>
          <w:rtl w:val="0"/>
        </w:rPr>
        <w:t xml:space="preserve">EMPLOYEE INFORMATION (ANONYMISED)</w:t>
      </w:r>
    </w:p>
    <w:p w:rsidR="00000000" w:rsidDel="00000000" w:rsidP="00000000" w:rsidRDefault="00000000" w:rsidRPr="00000000" w14:paraId="00000288">
      <w:pPr>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color w:val="000000"/>
          <w:rtl w:val="0"/>
        </w:rPr>
        <w:t xml:space="preserve">Name of Transferor: [</w:t>
      </w:r>
      <w:r w:rsidDel="00000000" w:rsidR="00000000" w:rsidRPr="00000000">
        <w:rPr>
          <w:b w:val="1"/>
          <w:bCs w:val="1"/>
          <w:color w:val="000000"/>
          <w:rtl w:val="0"/>
        </w:rPr>
        <w:t xml:space="preserve">Insert </w:t>
      </w:r>
      <w:r w:rsidDel="00000000" w:rsidR="00000000" w:rsidRPr="00000000">
        <w:rPr>
          <w:color w:val="000000"/>
          <w:rtl w:val="0"/>
        </w:rPr>
        <w:t xml:space="preserve">name of Transferor]</w:t>
      </w:r>
    </w:p>
    <w:p w:rsidR="00000000" w:rsidDel="00000000" w:rsidP="00000000" w:rsidRDefault="00000000" w:rsidRPr="00000000" w14:paraId="00000289">
      <w:pPr>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color w:val="000000"/>
          <w:rtl w:val="0"/>
        </w:rPr>
        <w:t xml:space="preserve">Number of Employees in-scope to transfer: [      ]</w:t>
      </w:r>
    </w:p>
    <w:p w:rsidR="00000000" w:rsidDel="00000000" w:rsidP="00000000" w:rsidRDefault="00000000" w:rsidRPr="00000000" w14:paraId="0000028A">
      <w:pPr>
        <w:pBdr>
          <w:top w:space="0" w:sz="0" w:val="nil"/>
          <w:left w:space="0" w:sz="0" w:val="nil"/>
          <w:bottom w:space="0" w:sz="0" w:val="nil"/>
          <w:right w:space="0" w:sz="0" w:val="nil"/>
          <w:between w:space="0" w:sz="0" w:val="nil"/>
        </w:pBdr>
        <w:spacing w:after="120" w:before="120" w:lineRule="auto"/>
        <w:jc w:val="left"/>
        <w:rPr>
          <w:b w:val="1"/>
          <w:bCs w:val="1"/>
          <w:i w:val="1"/>
          <w:iCs w:val="1"/>
          <w:color w:val="000000"/>
          <w:highlight w:val="yellow"/>
        </w:rPr>
      </w:pPr>
      <w:r w:rsidDel="00000000" w:rsidR="00000000" w:rsidRPr="00000000">
        <w:rPr>
          <w:b w:val="1"/>
          <w:bCs w:val="1"/>
          <w:i w:val="1"/>
          <w:iCs w:val="1"/>
          <w:color w:val="000000"/>
          <w:highlight w:val="yellow"/>
          <w:rtl w:val="0"/>
        </w:rPr>
        <w:t xml:space="preserve">[Guidance notes</w:t>
      </w:r>
    </w:p>
    <w:p w:rsidR="00000000" w:rsidDel="00000000" w:rsidP="00000000" w:rsidRDefault="00000000" w:rsidRPr="00000000" w14:paraId="0000028B">
      <w:pPr>
        <w:numPr>
          <w:ilvl w:val="0"/>
          <w:numId w:val="15"/>
        </w:numPr>
        <w:pBdr>
          <w:top w:space="0" w:sz="0" w:val="nil"/>
          <w:left w:space="0" w:sz="0" w:val="nil"/>
          <w:bottom w:space="0" w:sz="0" w:val="nil"/>
          <w:right w:space="0" w:sz="0" w:val="nil"/>
          <w:between w:space="0" w:sz="0" w:val="nil"/>
        </w:pBdr>
        <w:spacing w:after="120" w:before="120" w:lineRule="auto"/>
        <w:ind w:left="720" w:hanging="720"/>
        <w:jc w:val="left"/>
        <w:rPr>
          <w:b w:val="1"/>
          <w:bCs w:val="1"/>
          <w:i w:val="1"/>
          <w:iCs w:val="1"/>
          <w:color w:val="000000"/>
          <w:highlight w:val="yellow"/>
        </w:rPr>
      </w:pPr>
      <w:r w:rsidDel="00000000" w:rsidR="00000000" w:rsidRPr="00000000">
        <w:rPr>
          <w:b w:val="1"/>
          <w:bCs w:val="1"/>
          <w:i w:val="1"/>
          <w:iCs w:val="1"/>
          <w:color w:val="000000"/>
          <w:highlight w:val="yellow"/>
          <w:rtl w:val="0"/>
        </w:rPr>
        <w:t xml:space="preserve">If you have any Key Subcontractors, please complete all the above information for any staff employed by such Key Subcontractor(s) in a separate spreadsheet.</w:t>
      </w:r>
    </w:p>
    <w:p w:rsidR="00000000" w:rsidDel="00000000" w:rsidP="00000000" w:rsidRDefault="00000000" w:rsidRPr="00000000" w14:paraId="0000028C">
      <w:pPr>
        <w:numPr>
          <w:ilvl w:val="0"/>
          <w:numId w:val="15"/>
        </w:numPr>
        <w:pBdr>
          <w:top w:space="0" w:sz="0" w:val="nil"/>
          <w:left w:space="0" w:sz="0" w:val="nil"/>
          <w:bottom w:space="0" w:sz="0" w:val="nil"/>
          <w:right w:space="0" w:sz="0" w:val="nil"/>
          <w:between w:space="0" w:sz="0" w:val="nil"/>
        </w:pBdr>
        <w:spacing w:after="120" w:before="120" w:lineRule="auto"/>
        <w:ind w:left="720" w:hanging="720"/>
        <w:jc w:val="left"/>
        <w:rPr>
          <w:b w:val="1"/>
          <w:bCs w:val="1"/>
          <w:i w:val="1"/>
          <w:iCs w:val="1"/>
          <w:color w:val="000000"/>
          <w:highlight w:val="yellow"/>
        </w:rPr>
      </w:pPr>
      <w:r w:rsidDel="00000000" w:rsidR="00000000" w:rsidRPr="00000000">
        <w:rPr>
          <w:b w:val="1"/>
          <w:bCs w:val="1"/>
          <w:i w:val="1"/>
          <w:iCs w:val="1"/>
          <w:color w:val="000000"/>
          <w:highlight w:val="yellow"/>
          <w:rtl w:val="0"/>
        </w:rPr>
        <w:t xml:space="preserve">This spreadsheet is used to collect information from the current employer (transferor) about employees performing the relevant services to help plan for a potential TUPE transfer. Some or all of this information may be disclosed to bidders as part of a procurement process. The information should not reveal the employees' identities.</w:t>
      </w:r>
    </w:p>
    <w:p w:rsidR="00000000" w:rsidDel="00000000" w:rsidP="00000000" w:rsidRDefault="00000000" w:rsidRPr="00000000" w14:paraId="0000028D">
      <w:pPr>
        <w:numPr>
          <w:ilvl w:val="0"/>
          <w:numId w:val="15"/>
        </w:numPr>
        <w:pBdr>
          <w:top w:space="0" w:sz="0" w:val="nil"/>
          <w:left w:space="0" w:sz="0" w:val="nil"/>
          <w:bottom w:space="0" w:sz="0" w:val="nil"/>
          <w:right w:space="0" w:sz="0" w:val="nil"/>
          <w:between w:space="0" w:sz="0" w:val="nil"/>
        </w:pBdr>
        <w:spacing w:after="120" w:before="120" w:lineRule="auto"/>
        <w:ind w:left="720" w:hanging="720"/>
        <w:jc w:val="left"/>
        <w:rPr>
          <w:b w:val="1"/>
          <w:bCs w:val="1"/>
          <w:i w:val="1"/>
          <w:iCs w:val="1"/>
          <w:color w:val="000000"/>
          <w:highlight w:val="yellow"/>
        </w:rPr>
        <w:sectPr>
          <w:headerReference r:id="rId14" w:type="default"/>
          <w:headerReference r:id="rId15" w:type="first"/>
          <w:footerReference r:id="rId16" w:type="default"/>
          <w:footerReference r:id="rId17" w:type="first"/>
          <w:type w:val="nextPage"/>
          <w:pgSz w:h="16838" w:w="11906" w:orient="portrait"/>
          <w:pgMar w:bottom="1440" w:top="1440" w:left="1440" w:right="1440" w:header="709" w:footer="709"/>
          <w:pgNumType w:start="1"/>
        </w:sectPr>
      </w:pPr>
      <w:r w:rsidDel="00000000" w:rsidR="00000000" w:rsidRPr="00000000">
        <w:rPr>
          <w:b w:val="1"/>
          <w:bCs w:val="1"/>
          <w:i w:val="1"/>
          <w:iCs w:val="1"/>
          <w:color w:val="000000"/>
          <w:highlight w:val="yellow"/>
          <w:rtl w:val="0"/>
        </w:rPr>
        <w:t xml:space="preserve">If the information cannot be included on this form, attach the additional information, such as relevant policies, and cross reference to the item number and employee number where appropriate.]</w:t>
      </w:r>
    </w:p>
    <w:p w:rsidR="00000000" w:rsidDel="00000000" w:rsidP="00000000" w:rsidRDefault="00000000" w:rsidRPr="00000000" w14:paraId="0000028E">
      <w:pPr>
        <w:spacing w:after="120" w:before="120" w:lineRule="auto"/>
        <w:jc w:val="left"/>
        <w:rPr/>
      </w:pPr>
      <w:r w:rsidDel="00000000" w:rsidR="00000000" w:rsidRPr="00000000">
        <w:rPr>
          <w:rtl w:val="0"/>
        </w:rPr>
      </w:r>
    </w:p>
    <w:tbl>
      <w:tblPr>
        <w:tblStyle w:val="Table6"/>
        <w:tblW w:w="15310.000000000002"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7"/>
        <w:gridCol w:w="869"/>
        <w:gridCol w:w="1115"/>
        <w:gridCol w:w="1276"/>
        <w:gridCol w:w="992"/>
        <w:gridCol w:w="4111"/>
        <w:gridCol w:w="1843"/>
        <w:gridCol w:w="3827"/>
        <w:tblGridChange w:id="0">
          <w:tblGrid>
            <w:gridCol w:w="1277"/>
            <w:gridCol w:w="869"/>
            <w:gridCol w:w="1115"/>
            <w:gridCol w:w="1276"/>
            <w:gridCol w:w="992"/>
            <w:gridCol w:w="4111"/>
            <w:gridCol w:w="1843"/>
            <w:gridCol w:w="3827"/>
          </w:tblGrid>
        </w:tblGridChange>
      </w:tblGrid>
      <w:tr>
        <w:trPr>
          <w:cantSplit w:val="0"/>
          <w:tblHeader w:val="0"/>
        </w:trPr>
        <w:tc>
          <w:tcPr>
            <w:gridSpan w:val="8"/>
            <w:shd w:fill="ffff99" w:val="clear"/>
          </w:tcPr>
          <w:p w:rsidR="00000000" w:rsidDel="00000000" w:rsidP="00000000" w:rsidRDefault="00000000" w:rsidRPr="00000000" w14:paraId="0000028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EMPLOYEE DETAILS &amp; KEY TERMS</w:t>
            </w:r>
          </w:p>
        </w:tc>
      </w:tr>
      <w:tr>
        <w:trPr>
          <w:cantSplit w:val="0"/>
          <w:tblHeader w:val="0"/>
        </w:trPr>
        <w:tc>
          <w:tcPr>
            <w:shd w:fill="ccecff" w:val="clear"/>
            <w:vAlign w:val="center"/>
          </w:tcPr>
          <w:p w:rsidR="00000000" w:rsidDel="00000000" w:rsidP="00000000" w:rsidRDefault="00000000" w:rsidRPr="00000000" w14:paraId="0000029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Details</w:t>
            </w:r>
          </w:p>
        </w:tc>
        <w:tc>
          <w:tcPr>
            <w:shd w:fill="ffff99" w:val="clear"/>
            <w:vAlign w:val="center"/>
          </w:tcPr>
          <w:p w:rsidR="00000000" w:rsidDel="00000000" w:rsidP="00000000" w:rsidRDefault="00000000" w:rsidRPr="00000000" w14:paraId="00000298">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Job Title</w:t>
            </w:r>
          </w:p>
        </w:tc>
        <w:tc>
          <w:tcPr>
            <w:shd w:fill="ffff99" w:val="clear"/>
            <w:vAlign w:val="center"/>
          </w:tcPr>
          <w:p w:rsidR="00000000" w:rsidDel="00000000" w:rsidP="00000000" w:rsidRDefault="00000000" w:rsidRPr="00000000" w14:paraId="00000299">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Grade / band</w:t>
            </w:r>
          </w:p>
        </w:tc>
        <w:tc>
          <w:tcPr>
            <w:shd w:fill="ffff99" w:val="clear"/>
            <w:vAlign w:val="center"/>
          </w:tcPr>
          <w:p w:rsidR="00000000" w:rsidDel="00000000" w:rsidP="00000000" w:rsidRDefault="00000000" w:rsidRPr="00000000" w14:paraId="0000029A">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Work Location </w:t>
            </w:r>
          </w:p>
        </w:tc>
        <w:tc>
          <w:tcPr>
            <w:shd w:fill="ffff99" w:val="clear"/>
            <w:vAlign w:val="center"/>
          </w:tcPr>
          <w:p w:rsidR="00000000" w:rsidDel="00000000" w:rsidP="00000000" w:rsidRDefault="00000000" w:rsidRPr="00000000" w14:paraId="0000029B">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Age</w:t>
            </w:r>
          </w:p>
        </w:tc>
        <w:tc>
          <w:tcPr>
            <w:shd w:fill="ffff99" w:val="clear"/>
            <w:vAlign w:val="center"/>
          </w:tcPr>
          <w:p w:rsidR="00000000" w:rsidDel="00000000" w:rsidP="00000000" w:rsidRDefault="00000000" w:rsidRPr="00000000" w14:paraId="0000029C">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Employment status (for example, employee, fixed-term employee, self-employed, agency worker)?</w:t>
            </w:r>
          </w:p>
        </w:tc>
        <w:tc>
          <w:tcPr>
            <w:shd w:fill="ffff99" w:val="clear"/>
            <w:vAlign w:val="center"/>
          </w:tcPr>
          <w:p w:rsidR="00000000" w:rsidDel="00000000" w:rsidP="00000000" w:rsidRDefault="00000000" w:rsidRPr="00000000" w14:paraId="0000029D">
            <w:pPr>
              <w:pBdr>
                <w:top w:space="0" w:sz="0" w:val="nil"/>
                <w:left w:space="0" w:sz="0" w:val="nil"/>
                <w:bottom w:space="0" w:sz="0" w:val="nil"/>
                <w:right w:space="0" w:sz="0" w:val="nil"/>
                <w:between w:space="0" w:sz="0" w:val="nil"/>
              </w:pBdr>
              <w:spacing w:after="120" w:before="120" w:lineRule="auto"/>
              <w:jc w:val="left"/>
              <w:rPr>
                <w:b w:val="1"/>
                <w:bCs w:val="1"/>
              </w:rPr>
            </w:pPr>
            <w:bookmarkStart w:colFirst="0" w:colLast="0" w:name="_heading=h.4cmhg48" w:id="77"/>
            <w:bookmarkEnd w:id="77"/>
            <w:r w:rsidDel="00000000" w:rsidR="00000000" w:rsidRPr="00000000">
              <w:rPr>
                <w:b w:val="1"/>
                <w:bCs w:val="1"/>
                <w:rtl w:val="0"/>
              </w:rPr>
              <w:t xml:space="preserve">Continuous service date (dd/mm/yy)</w:t>
            </w:r>
          </w:p>
        </w:tc>
        <w:tc>
          <w:tcPr>
            <w:shd w:fill="ffff99" w:val="clear"/>
            <w:vAlign w:val="center"/>
          </w:tcPr>
          <w:p w:rsidR="00000000" w:rsidDel="00000000" w:rsidP="00000000" w:rsidRDefault="00000000" w:rsidRPr="00000000" w14:paraId="0000029E">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Date employment started with existing employer</w:t>
            </w:r>
          </w:p>
        </w:tc>
      </w:tr>
      <w:tr>
        <w:trPr>
          <w:cantSplit w:val="0"/>
          <w:tblHeader w:val="0"/>
        </w:trPr>
        <w:tc>
          <w:tcPr>
            <w:shd w:fill="ccecff" w:val="clear"/>
          </w:tcPr>
          <w:p w:rsidR="00000000" w:rsidDel="00000000" w:rsidP="00000000" w:rsidRDefault="00000000" w:rsidRPr="00000000" w14:paraId="0000029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1</w:t>
            </w:r>
          </w:p>
        </w:tc>
        <w:tc>
          <w:tcPr/>
          <w:p w:rsidR="00000000" w:rsidDel="00000000" w:rsidP="00000000" w:rsidRDefault="00000000" w:rsidRPr="00000000" w14:paraId="000002A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2A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2A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2A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2A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2A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2A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r>
      <w:tr>
        <w:trPr>
          <w:cantSplit w:val="0"/>
          <w:tblHeader w:val="0"/>
        </w:trPr>
        <w:tc>
          <w:tcPr>
            <w:shd w:fill="ccecff" w:val="clear"/>
          </w:tcPr>
          <w:p w:rsidR="00000000" w:rsidDel="00000000" w:rsidP="00000000" w:rsidRDefault="00000000" w:rsidRPr="00000000" w14:paraId="000002A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2</w:t>
            </w:r>
          </w:p>
        </w:tc>
        <w:tc>
          <w:tcPr/>
          <w:p w:rsidR="00000000" w:rsidDel="00000000" w:rsidP="00000000" w:rsidRDefault="00000000" w:rsidRPr="00000000" w14:paraId="000002A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A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A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A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A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A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A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2A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2B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2B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2B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B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2B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2C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2C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2C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C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2C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2D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D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D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D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D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D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2D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2D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tcBorders>
              <w:bottom w:color="000000" w:space="0" w:sz="4" w:val="single"/>
            </w:tcBorders>
          </w:tcPr>
          <w:p w:rsidR="00000000" w:rsidDel="00000000" w:rsidP="00000000" w:rsidRDefault="00000000" w:rsidRPr="00000000" w14:paraId="000002D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D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D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D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D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D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D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bl>
    <w:p w:rsidR="00000000" w:rsidDel="00000000" w:rsidP="00000000" w:rsidRDefault="00000000" w:rsidRPr="00000000" w14:paraId="000002DF">
      <w:pPr>
        <w:spacing w:after="120" w:before="120" w:lineRule="auto"/>
        <w:jc w:val="left"/>
        <w:rPr/>
      </w:pPr>
      <w:r w:rsidDel="00000000" w:rsidR="00000000" w:rsidRPr="00000000">
        <w:rPr>
          <w:rtl w:val="0"/>
        </w:rPr>
      </w:r>
    </w:p>
    <w:p w:rsidR="00000000" w:rsidDel="00000000" w:rsidP="00000000" w:rsidRDefault="00000000" w:rsidRPr="00000000" w14:paraId="000002E0">
      <w:pPr>
        <w:spacing w:after="120" w:before="120"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2E1">
      <w:pPr>
        <w:spacing w:after="120" w:before="120" w:lineRule="auto"/>
        <w:jc w:val="left"/>
        <w:rPr/>
      </w:pPr>
      <w:r w:rsidDel="00000000" w:rsidR="00000000" w:rsidRPr="00000000">
        <w:rPr>
          <w:rtl w:val="0"/>
        </w:rPr>
      </w:r>
    </w:p>
    <w:tbl>
      <w:tblPr>
        <w:tblStyle w:val="Table7"/>
        <w:tblW w:w="15593.000000000002" w:type="dxa"/>
        <w:jc w:val="left"/>
        <w:tblInd w:w="-4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
        <w:gridCol w:w="140"/>
        <w:gridCol w:w="857"/>
        <w:gridCol w:w="141"/>
        <w:gridCol w:w="130"/>
        <w:gridCol w:w="1642"/>
        <w:gridCol w:w="187"/>
        <w:gridCol w:w="748"/>
        <w:gridCol w:w="660"/>
        <w:gridCol w:w="46"/>
        <w:gridCol w:w="726"/>
        <w:gridCol w:w="635"/>
        <w:gridCol w:w="178"/>
        <w:gridCol w:w="706"/>
        <w:gridCol w:w="787"/>
        <w:gridCol w:w="441"/>
        <w:gridCol w:w="1519"/>
        <w:gridCol w:w="421"/>
        <w:gridCol w:w="170"/>
        <w:gridCol w:w="1052"/>
        <w:gridCol w:w="638"/>
        <w:gridCol w:w="782"/>
        <w:gridCol w:w="654"/>
        <w:gridCol w:w="253"/>
        <w:gridCol w:w="482"/>
        <w:gridCol w:w="1207"/>
        <w:gridCol w:w="141"/>
        <w:tblGridChange w:id="0">
          <w:tblGrid>
            <w:gridCol w:w="250"/>
            <w:gridCol w:w="140"/>
            <w:gridCol w:w="857"/>
            <w:gridCol w:w="141"/>
            <w:gridCol w:w="130"/>
            <w:gridCol w:w="1642"/>
            <w:gridCol w:w="187"/>
            <w:gridCol w:w="748"/>
            <w:gridCol w:w="660"/>
            <w:gridCol w:w="46"/>
            <w:gridCol w:w="726"/>
            <w:gridCol w:w="635"/>
            <w:gridCol w:w="178"/>
            <w:gridCol w:w="706"/>
            <w:gridCol w:w="787"/>
            <w:gridCol w:w="441"/>
            <w:gridCol w:w="1519"/>
            <w:gridCol w:w="421"/>
            <w:gridCol w:w="170"/>
            <w:gridCol w:w="1052"/>
            <w:gridCol w:w="638"/>
            <w:gridCol w:w="782"/>
            <w:gridCol w:w="654"/>
            <w:gridCol w:w="253"/>
            <w:gridCol w:w="482"/>
            <w:gridCol w:w="1207"/>
            <w:gridCol w:w="141"/>
          </w:tblGrid>
        </w:tblGridChange>
      </w:tblGrid>
      <w:tr>
        <w:trPr>
          <w:cantSplit w:val="0"/>
          <w:tblHeader w:val="0"/>
        </w:trPr>
        <w:tc>
          <w:tcPr>
            <w:gridSpan w:val="2"/>
          </w:tcPr>
          <w:p w:rsidR="00000000" w:rsidDel="00000000" w:rsidP="00000000" w:rsidRDefault="00000000" w:rsidRPr="00000000" w14:paraId="000002E2">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Borders>
              <w:top w:color="000000" w:space="0" w:sz="0" w:val="nil"/>
              <w:left w:color="000000" w:space="0" w:sz="0" w:val="nil"/>
              <w:bottom w:color="000000" w:space="0" w:sz="4" w:val="single"/>
            </w:tcBorders>
          </w:tcPr>
          <w:p w:rsidR="00000000" w:rsidDel="00000000" w:rsidP="00000000" w:rsidRDefault="00000000" w:rsidRPr="00000000" w14:paraId="000002E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2"/>
            <w:shd w:fill="ffff99" w:val="clear"/>
          </w:tcPr>
          <w:p w:rsidR="00000000" w:rsidDel="00000000" w:rsidP="00000000" w:rsidRDefault="00000000" w:rsidRPr="00000000" w14:paraId="000002E6">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EMPLOYEE DETAILS &amp; KEY TERMS</w:t>
            </w:r>
          </w:p>
        </w:tc>
      </w:tr>
      <w:tr>
        <w:trPr>
          <w:cantSplit w:val="0"/>
          <w:tblHeader w:val="0"/>
        </w:trPr>
        <w:tc>
          <w:tcPr>
            <w:gridSpan w:val="2"/>
          </w:tcPr>
          <w:p w:rsidR="00000000" w:rsidDel="00000000" w:rsidP="00000000" w:rsidRDefault="00000000" w:rsidRPr="00000000" w14:paraId="000002FC">
            <w:pPr>
              <w:widowControl w:val="0"/>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rtl w:val="0"/>
              </w:rPr>
            </w:r>
          </w:p>
        </w:tc>
        <w:tc>
          <w:tcPr>
            <w:gridSpan w:val="2"/>
            <w:shd w:fill="ccecff" w:val="clear"/>
            <w:vAlign w:val="center"/>
          </w:tcPr>
          <w:p w:rsidR="00000000" w:rsidDel="00000000" w:rsidP="00000000" w:rsidRDefault="00000000" w:rsidRPr="00000000" w14:paraId="000002FE">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Details</w:t>
            </w:r>
          </w:p>
        </w:tc>
        <w:tc>
          <w:tcPr>
            <w:gridSpan w:val="2"/>
            <w:shd w:fill="ffff99" w:val="clear"/>
            <w:vAlign w:val="center"/>
          </w:tcPr>
          <w:p w:rsidR="00000000" w:rsidDel="00000000" w:rsidP="00000000" w:rsidRDefault="00000000" w:rsidRPr="00000000" w14:paraId="00000300">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Contract end date (if fixed term contract or temporary contract)</w:t>
            </w:r>
          </w:p>
        </w:tc>
        <w:tc>
          <w:tcPr>
            <w:gridSpan w:val="4"/>
            <w:shd w:fill="ffff99" w:val="clear"/>
            <w:vAlign w:val="center"/>
          </w:tcPr>
          <w:p w:rsidR="00000000" w:rsidDel="00000000" w:rsidP="00000000" w:rsidRDefault="00000000" w:rsidRPr="00000000" w14:paraId="00000302">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Contractual notice period</w:t>
            </w:r>
          </w:p>
        </w:tc>
        <w:tc>
          <w:tcPr>
            <w:gridSpan w:val="3"/>
            <w:shd w:fill="ffff99" w:val="clear"/>
            <w:vAlign w:val="center"/>
          </w:tcPr>
          <w:p w:rsidR="00000000" w:rsidDel="00000000" w:rsidP="00000000" w:rsidRDefault="00000000" w:rsidRPr="00000000" w14:paraId="00000306">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Contractual weekly hours</w:t>
            </w:r>
          </w:p>
        </w:tc>
        <w:tc>
          <w:tcPr>
            <w:gridSpan w:val="2"/>
            <w:shd w:fill="ffff99" w:val="clear"/>
            <w:vAlign w:val="center"/>
          </w:tcPr>
          <w:p w:rsidR="00000000" w:rsidDel="00000000" w:rsidP="00000000" w:rsidRDefault="00000000" w:rsidRPr="00000000" w14:paraId="00000309">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Regular overtime hours per week</w:t>
            </w:r>
          </w:p>
        </w:tc>
        <w:tc>
          <w:tcPr>
            <w:gridSpan w:val="2"/>
            <w:shd w:fill="ffff99" w:val="clear"/>
            <w:vAlign w:val="center"/>
          </w:tcPr>
          <w:p w:rsidR="00000000" w:rsidDel="00000000" w:rsidP="00000000" w:rsidRDefault="00000000" w:rsidRPr="00000000" w14:paraId="0000030B">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Mobility or flexibility clause in contract?</w:t>
            </w:r>
          </w:p>
        </w:tc>
        <w:tc>
          <w:tcPr>
            <w:gridSpan w:val="6"/>
            <w:shd w:fill="ffff99" w:val="clear"/>
            <w:vAlign w:val="center"/>
          </w:tcPr>
          <w:p w:rsidR="00000000" w:rsidDel="00000000" w:rsidP="00000000" w:rsidRDefault="00000000" w:rsidRPr="00000000" w14:paraId="0000030D">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Previously TUPE transferred to organisation? If so, please specify (i) date of transfer, (ii) name of transferor, and (iii) whether ex public sector</w:t>
            </w:r>
          </w:p>
        </w:tc>
        <w:tc>
          <w:tcPr>
            <w:gridSpan w:val="3"/>
            <w:shd w:fill="ffff99" w:val="clear"/>
            <w:vAlign w:val="center"/>
          </w:tcPr>
          <w:p w:rsidR="00000000" w:rsidDel="00000000" w:rsidP="00000000" w:rsidRDefault="00000000" w:rsidRPr="00000000" w14:paraId="00000313">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Any collective agreements?</w:t>
            </w:r>
          </w:p>
        </w:tc>
      </w:tr>
      <w:tr>
        <w:trPr>
          <w:cantSplit w:val="0"/>
          <w:tblHeader w:val="0"/>
        </w:trPr>
        <w:tc>
          <w:tcPr>
            <w:gridSpan w:val="2"/>
          </w:tcPr>
          <w:p w:rsidR="00000000" w:rsidDel="00000000" w:rsidP="00000000" w:rsidRDefault="00000000" w:rsidRPr="00000000" w14:paraId="00000316">
            <w:pPr>
              <w:widowControl w:val="0"/>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rtl w:val="0"/>
              </w:rPr>
            </w:r>
          </w:p>
        </w:tc>
        <w:tc>
          <w:tcPr>
            <w:gridSpan w:val="2"/>
            <w:shd w:fill="ccecff" w:val="clear"/>
          </w:tcPr>
          <w:p w:rsidR="00000000" w:rsidDel="00000000" w:rsidP="00000000" w:rsidRDefault="00000000" w:rsidRPr="00000000" w14:paraId="00000318">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1</w:t>
            </w:r>
          </w:p>
        </w:tc>
        <w:tc>
          <w:tcPr>
            <w:gridSpan w:val="2"/>
          </w:tcPr>
          <w:p w:rsidR="00000000" w:rsidDel="00000000" w:rsidP="00000000" w:rsidRDefault="00000000" w:rsidRPr="00000000" w14:paraId="0000031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31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2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2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2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6"/>
          </w:tcPr>
          <w:p w:rsidR="00000000" w:rsidDel="00000000" w:rsidP="00000000" w:rsidRDefault="00000000" w:rsidRPr="00000000" w14:paraId="0000032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2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330">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332">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2</w:t>
            </w:r>
          </w:p>
        </w:tc>
        <w:tc>
          <w:tcPr>
            <w:gridSpan w:val="2"/>
          </w:tcPr>
          <w:p w:rsidR="00000000" w:rsidDel="00000000" w:rsidP="00000000" w:rsidRDefault="00000000" w:rsidRPr="00000000" w14:paraId="0000033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33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3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3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3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6"/>
          </w:tcPr>
          <w:p w:rsidR="00000000" w:rsidDel="00000000" w:rsidP="00000000" w:rsidRDefault="00000000" w:rsidRPr="00000000" w14:paraId="0000034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4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34A">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34C">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34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35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5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5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5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6"/>
          </w:tcPr>
          <w:p w:rsidR="00000000" w:rsidDel="00000000" w:rsidP="00000000" w:rsidRDefault="00000000" w:rsidRPr="00000000" w14:paraId="0000035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6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364">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366">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36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36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6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7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7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6"/>
          </w:tcPr>
          <w:p w:rsidR="00000000" w:rsidDel="00000000" w:rsidP="00000000" w:rsidRDefault="00000000" w:rsidRPr="00000000" w14:paraId="0000037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7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37E">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380">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38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38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8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8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8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6"/>
          </w:tcPr>
          <w:p w:rsidR="00000000" w:rsidDel="00000000" w:rsidP="00000000" w:rsidRDefault="00000000" w:rsidRPr="00000000" w14:paraId="0000038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9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398">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39A">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39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39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A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A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A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6"/>
          </w:tcPr>
          <w:p w:rsidR="00000000" w:rsidDel="00000000" w:rsidP="00000000" w:rsidRDefault="00000000" w:rsidRPr="00000000" w14:paraId="000003A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A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3B2">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3B4">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3B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3B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B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B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3C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6"/>
          </w:tcPr>
          <w:p w:rsidR="00000000" w:rsidDel="00000000" w:rsidP="00000000" w:rsidRDefault="00000000" w:rsidRPr="00000000" w14:paraId="000003C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3C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3CC">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Borders>
              <w:top w:color="000000" w:space="0" w:sz="0" w:val="nil"/>
              <w:left w:color="000000" w:space="0" w:sz="0" w:val="nil"/>
              <w:bottom w:color="000000" w:space="0" w:sz="4" w:val="single"/>
            </w:tcBorders>
          </w:tcPr>
          <w:p w:rsidR="00000000" w:rsidDel="00000000" w:rsidP="00000000" w:rsidRDefault="00000000" w:rsidRPr="00000000" w14:paraId="000003C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5"/>
            <w:shd w:fill="f4b083" w:val="clear"/>
          </w:tcPr>
          <w:p w:rsidR="00000000" w:rsidDel="00000000" w:rsidP="00000000" w:rsidRDefault="00000000" w:rsidRPr="00000000" w14:paraId="000003C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ASSIGNMENT</w:t>
            </w:r>
          </w:p>
        </w:tc>
        <w:tc>
          <w:tcPr>
            <w:gridSpan w:val="18"/>
            <w:shd w:fill="a8d08d" w:val="clear"/>
          </w:tcPr>
          <w:p w:rsidR="00000000" w:rsidDel="00000000" w:rsidP="00000000" w:rsidRDefault="00000000" w:rsidRPr="00000000" w14:paraId="000003D4">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CONTRACTUAL PAY AND BENEFITS</w:t>
            </w:r>
          </w:p>
        </w:tc>
      </w:tr>
      <w:tr>
        <w:trPr>
          <w:cantSplit w:val="0"/>
          <w:trHeight w:val="2033" w:hRule="atLeast"/>
          <w:tblHeader w:val="0"/>
        </w:trPr>
        <w:tc>
          <w:tcPr/>
          <w:p w:rsidR="00000000" w:rsidDel="00000000" w:rsidP="00000000" w:rsidRDefault="00000000" w:rsidRPr="00000000" w14:paraId="000003E6">
            <w:pPr>
              <w:widowControl w:val="0"/>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rtl w:val="0"/>
              </w:rPr>
            </w:r>
          </w:p>
        </w:tc>
        <w:tc>
          <w:tcPr>
            <w:gridSpan w:val="2"/>
            <w:shd w:fill="ccecff" w:val="clear"/>
            <w:vAlign w:val="center"/>
          </w:tcPr>
          <w:p w:rsidR="00000000" w:rsidDel="00000000" w:rsidP="00000000" w:rsidRDefault="00000000" w:rsidRPr="00000000" w14:paraId="000003E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Details</w:t>
            </w:r>
          </w:p>
        </w:tc>
        <w:tc>
          <w:tcPr>
            <w:gridSpan w:val="5"/>
            <w:shd w:fill="f4b083" w:val="clear"/>
            <w:vAlign w:val="center"/>
          </w:tcPr>
          <w:p w:rsidR="00000000" w:rsidDel="00000000" w:rsidP="00000000" w:rsidRDefault="00000000" w:rsidRPr="00000000" w14:paraId="000003E9">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 of working time dedicated to the provision of services under the contract</w:t>
            </w:r>
          </w:p>
        </w:tc>
        <w:tc>
          <w:tcPr>
            <w:gridSpan w:val="3"/>
            <w:shd w:fill="a8d08d" w:val="clear"/>
            <w:vAlign w:val="center"/>
          </w:tcPr>
          <w:p w:rsidR="00000000" w:rsidDel="00000000" w:rsidP="00000000" w:rsidRDefault="00000000" w:rsidRPr="00000000" w14:paraId="000003EE">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Salary (or hourly rate of pay)</w:t>
            </w:r>
          </w:p>
        </w:tc>
        <w:tc>
          <w:tcPr>
            <w:gridSpan w:val="3"/>
            <w:shd w:fill="a8d08d" w:val="clear"/>
            <w:vAlign w:val="center"/>
          </w:tcPr>
          <w:p w:rsidR="00000000" w:rsidDel="00000000" w:rsidP="00000000" w:rsidRDefault="00000000" w:rsidRPr="00000000" w14:paraId="000003F1">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Payment interval (weekly / fortnightly / monthly)</w:t>
            </w:r>
          </w:p>
        </w:tc>
        <w:tc>
          <w:tcPr>
            <w:gridSpan w:val="4"/>
            <w:shd w:fill="a8d08d" w:val="clear"/>
            <w:vAlign w:val="center"/>
          </w:tcPr>
          <w:p w:rsidR="00000000" w:rsidDel="00000000" w:rsidP="00000000" w:rsidRDefault="00000000" w:rsidRPr="00000000" w14:paraId="000003F4">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Bonus payment for previous 12 months (please specify whether contractual or discretionary entitlement)</w:t>
            </w:r>
          </w:p>
        </w:tc>
        <w:tc>
          <w:tcPr>
            <w:gridSpan w:val="2"/>
            <w:shd w:fill="a8d08d" w:val="clear"/>
            <w:vAlign w:val="center"/>
          </w:tcPr>
          <w:p w:rsidR="00000000" w:rsidDel="00000000" w:rsidP="00000000" w:rsidRDefault="00000000" w:rsidRPr="00000000" w14:paraId="000003F8">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Pay review method</w:t>
            </w:r>
          </w:p>
        </w:tc>
        <w:tc>
          <w:tcPr>
            <w:gridSpan w:val="2"/>
            <w:shd w:fill="a8d08d" w:val="clear"/>
            <w:vAlign w:val="center"/>
          </w:tcPr>
          <w:p w:rsidR="00000000" w:rsidDel="00000000" w:rsidP="00000000" w:rsidRDefault="00000000" w:rsidRPr="00000000" w14:paraId="000003FA">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Frequency of pay reviews</w:t>
            </w:r>
          </w:p>
        </w:tc>
        <w:tc>
          <w:tcPr>
            <w:gridSpan w:val="3"/>
            <w:shd w:fill="a8d08d" w:val="clear"/>
            <w:vAlign w:val="center"/>
          </w:tcPr>
          <w:p w:rsidR="00000000" w:rsidDel="00000000" w:rsidP="00000000" w:rsidRDefault="00000000" w:rsidRPr="00000000" w14:paraId="000003FC">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Agreed pay increases</w:t>
            </w:r>
          </w:p>
        </w:tc>
        <w:tc>
          <w:tcPr>
            <w:shd w:fill="a8d08d" w:val="clear"/>
            <w:vAlign w:val="center"/>
          </w:tcPr>
          <w:p w:rsidR="00000000" w:rsidDel="00000000" w:rsidP="00000000" w:rsidRDefault="00000000" w:rsidRPr="00000000" w14:paraId="000003F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Next pay review date</w:t>
            </w:r>
          </w:p>
        </w:tc>
      </w:tr>
      <w:tr>
        <w:trPr>
          <w:cantSplit w:val="0"/>
          <w:tblHeader w:val="0"/>
        </w:trPr>
        <w:tc>
          <w:tcPr/>
          <w:p w:rsidR="00000000" w:rsidDel="00000000" w:rsidP="00000000" w:rsidRDefault="00000000" w:rsidRPr="00000000" w14:paraId="00000400">
            <w:pPr>
              <w:widowControl w:val="0"/>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rtl w:val="0"/>
              </w:rPr>
            </w:r>
          </w:p>
        </w:tc>
        <w:tc>
          <w:tcPr>
            <w:gridSpan w:val="2"/>
            <w:shd w:fill="ccecff" w:val="clear"/>
          </w:tcPr>
          <w:p w:rsidR="00000000" w:rsidDel="00000000" w:rsidP="00000000" w:rsidRDefault="00000000" w:rsidRPr="00000000" w14:paraId="00000401">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1</w:t>
            </w:r>
          </w:p>
        </w:tc>
        <w:tc>
          <w:tcPr>
            <w:gridSpan w:val="5"/>
          </w:tcPr>
          <w:p w:rsidR="00000000" w:rsidDel="00000000" w:rsidP="00000000" w:rsidRDefault="00000000" w:rsidRPr="00000000" w14:paraId="0000040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0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0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40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1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1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1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41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41A">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41B">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2</w:t>
            </w:r>
          </w:p>
        </w:tc>
        <w:tc>
          <w:tcPr>
            <w:gridSpan w:val="5"/>
          </w:tcPr>
          <w:p w:rsidR="00000000" w:rsidDel="00000000" w:rsidP="00000000" w:rsidRDefault="00000000" w:rsidRPr="00000000" w14:paraId="0000041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2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2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42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2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2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3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43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434">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435">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5"/>
          </w:tcPr>
          <w:p w:rsidR="00000000" w:rsidDel="00000000" w:rsidP="00000000" w:rsidRDefault="00000000" w:rsidRPr="00000000" w14:paraId="0000043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3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3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44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4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4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4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44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44E">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44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5"/>
          </w:tcPr>
          <w:p w:rsidR="00000000" w:rsidDel="00000000" w:rsidP="00000000" w:rsidRDefault="00000000" w:rsidRPr="00000000" w14:paraId="0000045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5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5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45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6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6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6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46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468">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469">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5"/>
          </w:tcPr>
          <w:p w:rsidR="00000000" w:rsidDel="00000000" w:rsidP="00000000" w:rsidRDefault="00000000" w:rsidRPr="00000000" w14:paraId="0000046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7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7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47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7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7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7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48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482">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483">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5"/>
          </w:tcPr>
          <w:p w:rsidR="00000000" w:rsidDel="00000000" w:rsidP="00000000" w:rsidRDefault="00000000" w:rsidRPr="00000000" w14:paraId="0000048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8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8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49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9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9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9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49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49C">
            <w:pPr>
              <w:widowControl w:val="0"/>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shd w:fill="ccecff" w:val="clear"/>
          </w:tcPr>
          <w:p w:rsidR="00000000" w:rsidDel="00000000" w:rsidP="00000000" w:rsidRDefault="00000000" w:rsidRPr="00000000" w14:paraId="0000049D">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5"/>
          </w:tcPr>
          <w:p w:rsidR="00000000" w:rsidDel="00000000" w:rsidP="00000000" w:rsidRDefault="00000000" w:rsidRPr="00000000" w14:paraId="0000049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A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A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4A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A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B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B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4B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5"/>
            <w:tcBorders>
              <w:top w:color="000000" w:space="0" w:sz="0" w:val="nil"/>
              <w:left w:color="000000" w:space="0" w:sz="0" w:val="nil"/>
              <w:bottom w:color="000000" w:space="0" w:sz="4" w:val="single"/>
            </w:tcBorders>
          </w:tcPr>
          <w:p w:rsidR="00000000" w:rsidDel="00000000" w:rsidP="00000000" w:rsidRDefault="00000000" w:rsidRPr="00000000" w14:paraId="000004B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2"/>
            <w:shd w:fill="a8d08d" w:val="clear"/>
          </w:tcPr>
          <w:p w:rsidR="00000000" w:rsidDel="00000000" w:rsidP="00000000" w:rsidRDefault="00000000" w:rsidRPr="00000000" w14:paraId="000004BB">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CONTRACTUAL PAY AND BENEFITS</w:t>
            </w:r>
          </w:p>
        </w:tc>
      </w:tr>
      <w:tr>
        <w:trPr>
          <w:cantSplit w:val="0"/>
          <w:tblHeader w:val="0"/>
        </w:trPr>
        <w:tc>
          <w:tcPr>
            <w:gridSpan w:val="5"/>
            <w:shd w:fill="ccecff" w:val="clear"/>
          </w:tcPr>
          <w:p w:rsidR="00000000" w:rsidDel="00000000" w:rsidP="00000000" w:rsidRDefault="00000000" w:rsidRPr="00000000" w14:paraId="000004D1">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Details</w:t>
            </w:r>
          </w:p>
        </w:tc>
        <w:tc>
          <w:tcPr>
            <w:gridSpan w:val="2"/>
            <w:shd w:fill="a8d08d" w:val="clear"/>
          </w:tcPr>
          <w:p w:rsidR="00000000" w:rsidDel="00000000" w:rsidP="00000000" w:rsidRDefault="00000000" w:rsidRPr="00000000" w14:paraId="000004D6">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Any existing or future commitment to training that has a time-off or financial implication</w:t>
            </w:r>
          </w:p>
        </w:tc>
        <w:tc>
          <w:tcPr>
            <w:gridSpan w:val="2"/>
            <w:shd w:fill="a8d08d" w:val="clear"/>
          </w:tcPr>
          <w:p w:rsidR="00000000" w:rsidDel="00000000" w:rsidP="00000000" w:rsidRDefault="00000000" w:rsidRPr="00000000" w14:paraId="000004D8">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Car allowance (£ per year)</w:t>
            </w:r>
          </w:p>
        </w:tc>
        <w:tc>
          <w:tcPr>
            <w:gridSpan w:val="3"/>
            <w:shd w:fill="a8d08d" w:val="clear"/>
          </w:tcPr>
          <w:p w:rsidR="00000000" w:rsidDel="00000000" w:rsidP="00000000" w:rsidRDefault="00000000" w:rsidRPr="00000000" w14:paraId="000004DA">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Lease or company car details</w:t>
            </w:r>
          </w:p>
        </w:tc>
        <w:tc>
          <w:tcPr>
            <w:gridSpan w:val="4"/>
            <w:shd w:fill="a8d08d" w:val="clear"/>
          </w:tcPr>
          <w:p w:rsidR="00000000" w:rsidDel="00000000" w:rsidP="00000000" w:rsidRDefault="00000000" w:rsidRPr="00000000" w14:paraId="000004DD">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Any other allowances paid (e.g. shift allowance, standby allowance, travel allowance)</w:t>
            </w:r>
          </w:p>
        </w:tc>
        <w:tc>
          <w:tcPr>
            <w:gridSpan w:val="3"/>
            <w:shd w:fill="a8d08d" w:val="clear"/>
          </w:tcPr>
          <w:p w:rsidR="00000000" w:rsidDel="00000000" w:rsidP="00000000" w:rsidRDefault="00000000" w:rsidRPr="00000000" w14:paraId="000004E1">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Private medical insurance (please specify whether single or family cover)</w:t>
            </w:r>
          </w:p>
        </w:tc>
        <w:tc>
          <w:tcPr>
            <w:gridSpan w:val="2"/>
            <w:shd w:fill="a8d08d" w:val="clear"/>
          </w:tcPr>
          <w:p w:rsidR="00000000" w:rsidDel="00000000" w:rsidP="00000000" w:rsidRDefault="00000000" w:rsidRPr="00000000" w14:paraId="000004E4">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Life assurance (xSalary)</w:t>
            </w:r>
          </w:p>
        </w:tc>
        <w:tc>
          <w:tcPr>
            <w:gridSpan w:val="3"/>
            <w:shd w:fill="a8d08d" w:val="clear"/>
          </w:tcPr>
          <w:p w:rsidR="00000000" w:rsidDel="00000000" w:rsidP="00000000" w:rsidRDefault="00000000" w:rsidRPr="00000000" w14:paraId="000004E6">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Long Term Disability / PHI (% of Salary</w:t>
            </w:r>
          </w:p>
        </w:tc>
        <w:tc>
          <w:tcPr>
            <w:gridSpan w:val="3"/>
            <w:shd w:fill="a8d08d" w:val="clear"/>
          </w:tcPr>
          <w:p w:rsidR="00000000" w:rsidDel="00000000" w:rsidP="00000000" w:rsidRDefault="00000000" w:rsidRPr="00000000" w14:paraId="000004E9">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Any other benefits in kind</w:t>
            </w:r>
          </w:p>
        </w:tc>
      </w:tr>
      <w:tr>
        <w:trPr>
          <w:cantSplit w:val="0"/>
          <w:tblHeader w:val="0"/>
        </w:trPr>
        <w:tc>
          <w:tcPr>
            <w:gridSpan w:val="5"/>
            <w:shd w:fill="ccecff" w:val="clear"/>
          </w:tcPr>
          <w:p w:rsidR="00000000" w:rsidDel="00000000" w:rsidP="00000000" w:rsidRDefault="00000000" w:rsidRPr="00000000" w14:paraId="000004EC">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1</w:t>
            </w:r>
          </w:p>
        </w:tc>
        <w:tc>
          <w:tcPr>
            <w:gridSpan w:val="2"/>
          </w:tcPr>
          <w:p w:rsidR="00000000" w:rsidDel="00000000" w:rsidP="00000000" w:rsidRDefault="00000000" w:rsidRPr="00000000" w14:paraId="000004F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F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F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4F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4F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4F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0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0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5"/>
            <w:shd w:fill="ccecff" w:val="clear"/>
          </w:tcPr>
          <w:p w:rsidR="00000000" w:rsidDel="00000000" w:rsidP="00000000" w:rsidRDefault="00000000" w:rsidRPr="00000000" w14:paraId="0000050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2</w:t>
            </w:r>
          </w:p>
        </w:tc>
        <w:tc>
          <w:tcPr>
            <w:gridSpan w:val="2"/>
          </w:tcPr>
          <w:p w:rsidR="00000000" w:rsidDel="00000000" w:rsidP="00000000" w:rsidRDefault="00000000" w:rsidRPr="00000000" w14:paraId="0000050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0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1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51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1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1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1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1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5"/>
            <w:shd w:fill="ccecff" w:val="clear"/>
          </w:tcPr>
          <w:p w:rsidR="00000000" w:rsidDel="00000000" w:rsidP="00000000" w:rsidRDefault="00000000" w:rsidRPr="00000000" w14:paraId="00000522">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52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2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2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52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3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3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3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3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5"/>
            <w:shd w:fill="ccecff" w:val="clear"/>
          </w:tcPr>
          <w:p w:rsidR="00000000" w:rsidDel="00000000" w:rsidP="00000000" w:rsidRDefault="00000000" w:rsidRPr="00000000" w14:paraId="0000053D">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54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4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4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54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4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5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5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5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5"/>
            <w:shd w:fill="ccecff" w:val="clear"/>
          </w:tcPr>
          <w:p w:rsidR="00000000" w:rsidDel="00000000" w:rsidP="00000000" w:rsidRDefault="00000000" w:rsidRPr="00000000" w14:paraId="00000558">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55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5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6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56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6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6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6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7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5"/>
            <w:shd w:fill="ccecff" w:val="clear"/>
          </w:tcPr>
          <w:p w:rsidR="00000000" w:rsidDel="00000000" w:rsidP="00000000" w:rsidRDefault="00000000" w:rsidRPr="00000000" w14:paraId="00000573">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57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7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7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57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8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8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8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8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5"/>
            <w:shd w:fill="ccecff" w:val="clear"/>
          </w:tcPr>
          <w:p w:rsidR="00000000" w:rsidDel="00000000" w:rsidP="00000000" w:rsidRDefault="00000000" w:rsidRPr="00000000" w14:paraId="0000058E">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59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9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9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4"/>
          </w:tcPr>
          <w:p w:rsidR="00000000" w:rsidDel="00000000" w:rsidP="00000000" w:rsidRDefault="00000000" w:rsidRPr="00000000" w14:paraId="0000059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9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5A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A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5A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bl>
    <w:p w:rsidR="00000000" w:rsidDel="00000000" w:rsidP="00000000" w:rsidRDefault="00000000" w:rsidRPr="00000000" w14:paraId="000005A9">
      <w:pPr>
        <w:spacing w:after="120" w:before="120" w:lineRule="auto"/>
        <w:jc w:val="left"/>
        <w:rPr/>
      </w:pPr>
      <w:r w:rsidDel="00000000" w:rsidR="00000000" w:rsidRPr="00000000">
        <w:br w:type="page"/>
      </w:r>
      <w:r w:rsidDel="00000000" w:rsidR="00000000" w:rsidRPr="00000000">
        <w:rPr>
          <w:rtl w:val="0"/>
        </w:rPr>
      </w:r>
    </w:p>
    <w:tbl>
      <w:tblPr>
        <w:tblStyle w:val="Table8"/>
        <w:tblW w:w="15593.0" w:type="dxa"/>
        <w:jc w:val="left"/>
        <w:tblInd w:w="-4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8"/>
        <w:gridCol w:w="1691"/>
        <w:gridCol w:w="1497"/>
        <w:gridCol w:w="4074"/>
        <w:gridCol w:w="3093"/>
        <w:gridCol w:w="1698"/>
        <w:gridCol w:w="2122"/>
        <w:tblGridChange w:id="0">
          <w:tblGrid>
            <w:gridCol w:w="1418"/>
            <w:gridCol w:w="1691"/>
            <w:gridCol w:w="1497"/>
            <w:gridCol w:w="4074"/>
            <w:gridCol w:w="3093"/>
            <w:gridCol w:w="1698"/>
            <w:gridCol w:w="2122"/>
          </w:tblGrid>
        </w:tblGridChange>
      </w:tblGrid>
      <w:tr>
        <w:trPr>
          <w:cantSplit w:val="0"/>
          <w:tblHeader w:val="0"/>
        </w:trPr>
        <w:tc>
          <w:tcPr>
            <w:tcBorders>
              <w:top w:color="000000" w:space="0" w:sz="0" w:val="nil"/>
              <w:left w:color="000000" w:space="0" w:sz="0" w:val="nil"/>
              <w:bottom w:color="000000" w:space="0" w:sz="4" w:val="single"/>
            </w:tcBorders>
          </w:tcPr>
          <w:p w:rsidR="00000000" w:rsidDel="00000000" w:rsidP="00000000" w:rsidRDefault="00000000" w:rsidRPr="00000000" w14:paraId="000005A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6"/>
            <w:shd w:fill="a8d08d" w:val="clear"/>
          </w:tcPr>
          <w:p w:rsidR="00000000" w:rsidDel="00000000" w:rsidP="00000000" w:rsidRDefault="00000000" w:rsidRPr="00000000" w14:paraId="000005AB">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CONTRACTUAL PAY AND BENEFITS</w:t>
            </w:r>
          </w:p>
        </w:tc>
      </w:tr>
      <w:tr>
        <w:trPr>
          <w:cantSplit w:val="0"/>
          <w:tblHeader w:val="0"/>
        </w:trPr>
        <w:tc>
          <w:tcPr>
            <w:shd w:fill="ccecff" w:val="clear"/>
          </w:tcPr>
          <w:p w:rsidR="00000000" w:rsidDel="00000000" w:rsidP="00000000" w:rsidRDefault="00000000" w:rsidRPr="00000000" w14:paraId="000005B1">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Details</w:t>
            </w:r>
          </w:p>
        </w:tc>
        <w:tc>
          <w:tcPr>
            <w:shd w:fill="a8d08d" w:val="clear"/>
          </w:tcPr>
          <w:p w:rsidR="00000000" w:rsidDel="00000000" w:rsidP="00000000" w:rsidRDefault="00000000" w:rsidRPr="00000000" w14:paraId="000005B2">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Annual leave entitlement (excluding bank holidays)</w:t>
            </w:r>
          </w:p>
        </w:tc>
        <w:tc>
          <w:tcPr>
            <w:shd w:fill="a8d08d" w:val="clear"/>
          </w:tcPr>
          <w:p w:rsidR="00000000" w:rsidDel="00000000" w:rsidP="00000000" w:rsidRDefault="00000000" w:rsidRPr="00000000" w14:paraId="000005B3">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Bank holiday entitlement</w:t>
            </w:r>
          </w:p>
        </w:tc>
        <w:tc>
          <w:tcPr>
            <w:shd w:fill="a8d08d" w:val="clear"/>
          </w:tcPr>
          <w:p w:rsidR="00000000" w:rsidDel="00000000" w:rsidP="00000000" w:rsidRDefault="00000000" w:rsidRPr="00000000" w14:paraId="000005B4">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Method of calculating holiday pay (i.e. based on fixed salary only or incl. entitlements to variable remuneration such as bonuses, allowances, commission or overtime pay?)</w:t>
            </w:r>
          </w:p>
        </w:tc>
        <w:tc>
          <w:tcPr>
            <w:shd w:fill="a8d08d" w:val="clear"/>
          </w:tcPr>
          <w:p w:rsidR="00000000" w:rsidDel="00000000" w:rsidP="00000000" w:rsidRDefault="00000000" w:rsidRPr="00000000" w14:paraId="000005B5">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Maternity or paternity or shared parental leave entitlement and pay</w:t>
            </w:r>
          </w:p>
        </w:tc>
        <w:tc>
          <w:tcPr>
            <w:shd w:fill="a8d08d" w:val="clear"/>
          </w:tcPr>
          <w:p w:rsidR="00000000" w:rsidDel="00000000" w:rsidP="00000000" w:rsidRDefault="00000000" w:rsidRPr="00000000" w14:paraId="000005B6">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Sick leave entitlement and pay</w:t>
            </w:r>
          </w:p>
        </w:tc>
        <w:tc>
          <w:tcPr>
            <w:shd w:fill="a8d08d" w:val="clear"/>
          </w:tcPr>
          <w:p w:rsidR="00000000" w:rsidDel="00000000" w:rsidP="00000000" w:rsidRDefault="00000000" w:rsidRPr="00000000" w14:paraId="000005B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Redundancy pay entitlement (statutory / enhanced / contractual / discretionary) </w:t>
            </w:r>
          </w:p>
        </w:tc>
      </w:tr>
      <w:tr>
        <w:trPr>
          <w:cantSplit w:val="0"/>
          <w:tblHeader w:val="0"/>
        </w:trPr>
        <w:tc>
          <w:tcPr>
            <w:shd w:fill="ccecff" w:val="clear"/>
          </w:tcPr>
          <w:p w:rsidR="00000000" w:rsidDel="00000000" w:rsidP="00000000" w:rsidRDefault="00000000" w:rsidRPr="00000000" w14:paraId="000005B8">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1</w:t>
            </w:r>
          </w:p>
        </w:tc>
        <w:tc>
          <w:tcPr/>
          <w:p w:rsidR="00000000" w:rsidDel="00000000" w:rsidP="00000000" w:rsidRDefault="00000000" w:rsidRPr="00000000" w14:paraId="000005B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B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B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B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B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B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5B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2</w:t>
            </w:r>
          </w:p>
        </w:tc>
        <w:tc>
          <w:tcPr/>
          <w:p w:rsidR="00000000" w:rsidDel="00000000" w:rsidP="00000000" w:rsidRDefault="00000000" w:rsidRPr="00000000" w14:paraId="000005C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C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C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C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C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C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5C6">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5C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C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C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C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C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C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5CD">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5C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C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5D4">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5D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5DB">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5D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D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E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E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5E2">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5E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E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E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E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E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E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bl>
    <w:p w:rsidR="00000000" w:rsidDel="00000000" w:rsidP="00000000" w:rsidRDefault="00000000" w:rsidRPr="00000000" w14:paraId="000005E9">
      <w:pPr>
        <w:spacing w:after="120" w:before="120" w:lineRule="auto"/>
        <w:jc w:val="left"/>
        <w:rPr/>
      </w:pPr>
      <w:r w:rsidDel="00000000" w:rsidR="00000000" w:rsidRPr="00000000">
        <w:br w:type="page"/>
      </w:r>
      <w:r w:rsidDel="00000000" w:rsidR="00000000" w:rsidRPr="00000000">
        <w:rPr>
          <w:rtl w:val="0"/>
        </w:rPr>
      </w:r>
    </w:p>
    <w:tbl>
      <w:tblPr>
        <w:tblStyle w:val="Table9"/>
        <w:tblW w:w="15735.0" w:type="dxa"/>
        <w:jc w:val="left"/>
        <w:tblInd w:w="-5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9"/>
        <w:gridCol w:w="1616"/>
        <w:gridCol w:w="1616"/>
        <w:gridCol w:w="2334"/>
        <w:gridCol w:w="1832"/>
        <w:gridCol w:w="2622"/>
        <w:gridCol w:w="4326"/>
        <w:tblGridChange w:id="0">
          <w:tblGrid>
            <w:gridCol w:w="1389"/>
            <w:gridCol w:w="1616"/>
            <w:gridCol w:w="1616"/>
            <w:gridCol w:w="2334"/>
            <w:gridCol w:w="1832"/>
            <w:gridCol w:w="2622"/>
            <w:gridCol w:w="4326"/>
          </w:tblGrid>
        </w:tblGridChange>
      </w:tblGrid>
      <w:tr>
        <w:trPr>
          <w:cantSplit w:val="0"/>
          <w:tblHeader w:val="0"/>
        </w:trPr>
        <w:tc>
          <w:tcPr>
            <w:tcBorders>
              <w:top w:color="000000" w:space="0" w:sz="0" w:val="nil"/>
              <w:left w:color="000000" w:space="0" w:sz="0" w:val="nil"/>
              <w:bottom w:color="000000" w:space="0" w:sz="4" w:val="single"/>
            </w:tcBorders>
          </w:tcPr>
          <w:p w:rsidR="00000000" w:rsidDel="00000000" w:rsidP="00000000" w:rsidRDefault="00000000" w:rsidRPr="00000000" w14:paraId="000005E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6"/>
            <w:shd w:fill="c9c9c9" w:val="clear"/>
          </w:tcPr>
          <w:p w:rsidR="00000000" w:rsidDel="00000000" w:rsidP="00000000" w:rsidRDefault="00000000" w:rsidRPr="00000000" w14:paraId="000005EB">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PENSIONS</w:t>
            </w:r>
          </w:p>
        </w:tc>
      </w:tr>
      <w:tr>
        <w:trPr>
          <w:cantSplit w:val="0"/>
          <w:tblHeader w:val="0"/>
        </w:trPr>
        <w:tc>
          <w:tcPr>
            <w:shd w:fill="ccecff" w:val="clear"/>
            <w:vAlign w:val="center"/>
          </w:tcPr>
          <w:p w:rsidR="00000000" w:rsidDel="00000000" w:rsidP="00000000" w:rsidRDefault="00000000" w:rsidRPr="00000000" w14:paraId="000005F1">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Details</w:t>
            </w:r>
          </w:p>
        </w:tc>
        <w:tc>
          <w:tcPr>
            <w:shd w:fill="c9c9c9" w:val="clear"/>
            <w:vAlign w:val="center"/>
          </w:tcPr>
          <w:p w:rsidR="00000000" w:rsidDel="00000000" w:rsidP="00000000" w:rsidRDefault="00000000" w:rsidRPr="00000000" w14:paraId="000005F2">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Employee pension contribution rate</w:t>
            </w:r>
          </w:p>
        </w:tc>
        <w:tc>
          <w:tcPr>
            <w:shd w:fill="c9c9c9" w:val="clear"/>
            <w:vAlign w:val="center"/>
          </w:tcPr>
          <w:p w:rsidR="00000000" w:rsidDel="00000000" w:rsidP="00000000" w:rsidRDefault="00000000" w:rsidRPr="00000000" w14:paraId="000005F3">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Employer pension contribution rate</w:t>
            </w:r>
          </w:p>
        </w:tc>
        <w:tc>
          <w:tcPr>
            <w:shd w:fill="c9c9c9" w:val="clear"/>
            <w:vAlign w:val="center"/>
          </w:tcPr>
          <w:p w:rsidR="00000000" w:rsidDel="00000000" w:rsidP="00000000" w:rsidRDefault="00000000" w:rsidRPr="00000000" w14:paraId="000005F4">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Please provide the name of the pension scheme and a link to the pension scheme website</w:t>
            </w:r>
          </w:p>
        </w:tc>
        <w:tc>
          <w:tcPr>
            <w:shd w:fill="c9c9c9" w:val="clear"/>
            <w:vAlign w:val="center"/>
          </w:tcPr>
          <w:p w:rsidR="00000000" w:rsidDel="00000000" w:rsidP="00000000" w:rsidRDefault="00000000" w:rsidRPr="00000000" w14:paraId="000005F5">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Is the scheme an occupational pension scheme as defined in the Pension Schemes Act 1993?</w:t>
            </w:r>
          </w:p>
        </w:tc>
        <w:tc>
          <w:tcPr>
            <w:shd w:fill="c9c9c9" w:val="clear"/>
            <w:vAlign w:val="center"/>
          </w:tcPr>
          <w:p w:rsidR="00000000" w:rsidDel="00000000" w:rsidP="00000000" w:rsidRDefault="00000000" w:rsidRPr="00000000" w14:paraId="000005F6">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If the scheme is not an occupational pension scheme, what type of scheme is it? E.g. personal pension scheme?</w:t>
            </w:r>
          </w:p>
        </w:tc>
        <w:tc>
          <w:tcPr>
            <w:shd w:fill="c9c9c9" w:val="clear"/>
            <w:vAlign w:val="center"/>
          </w:tcPr>
          <w:p w:rsidR="00000000" w:rsidDel="00000000" w:rsidP="00000000" w:rsidRDefault="00000000" w:rsidRPr="00000000" w14:paraId="000005F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Type of pension provision e.g. defined benefit (CARE or final salary, and whether a public sector scheme e.g. CSPS, NHSPS, LGPS etc. or a broadly comparable scheme) or a defined contribution scheme or an auto enrolment master trust?</w:t>
            </w:r>
          </w:p>
        </w:tc>
      </w:tr>
      <w:tr>
        <w:trPr>
          <w:cantSplit w:val="0"/>
          <w:tblHeader w:val="0"/>
        </w:trPr>
        <w:tc>
          <w:tcPr>
            <w:shd w:fill="ccecff" w:val="clear"/>
          </w:tcPr>
          <w:p w:rsidR="00000000" w:rsidDel="00000000" w:rsidP="00000000" w:rsidRDefault="00000000" w:rsidRPr="00000000" w14:paraId="000005F8">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1</w:t>
            </w:r>
          </w:p>
        </w:tc>
        <w:tc>
          <w:tcPr/>
          <w:p w:rsidR="00000000" w:rsidDel="00000000" w:rsidP="00000000" w:rsidRDefault="00000000" w:rsidRPr="00000000" w14:paraId="000005F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F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F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F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F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5F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5F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2</w:t>
            </w:r>
          </w:p>
        </w:tc>
        <w:tc>
          <w:tcPr/>
          <w:p w:rsidR="00000000" w:rsidDel="00000000" w:rsidP="00000000" w:rsidRDefault="00000000" w:rsidRPr="00000000" w14:paraId="0000060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0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0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0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0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0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606">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60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0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0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0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0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0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60D">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60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0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614">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61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61B">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61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1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2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2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shd w:fill="ccecff" w:val="clear"/>
          </w:tcPr>
          <w:p w:rsidR="00000000" w:rsidDel="00000000" w:rsidP="00000000" w:rsidRDefault="00000000" w:rsidRPr="00000000" w14:paraId="00000622">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p w:rsidR="00000000" w:rsidDel="00000000" w:rsidP="00000000" w:rsidRDefault="00000000" w:rsidRPr="00000000" w14:paraId="0000062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2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2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2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2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2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bl>
    <w:p w:rsidR="00000000" w:rsidDel="00000000" w:rsidP="00000000" w:rsidRDefault="00000000" w:rsidRPr="00000000" w14:paraId="00000629">
      <w:pPr>
        <w:spacing w:after="120" w:before="120" w:lineRule="auto"/>
        <w:jc w:val="left"/>
        <w:rPr/>
      </w:pPr>
      <w:r w:rsidDel="00000000" w:rsidR="00000000" w:rsidRPr="00000000">
        <w:rPr>
          <w:rtl w:val="0"/>
        </w:rPr>
      </w:r>
    </w:p>
    <w:p w:rsidR="00000000" w:rsidDel="00000000" w:rsidP="00000000" w:rsidRDefault="00000000" w:rsidRPr="00000000" w14:paraId="0000062A">
      <w:pPr>
        <w:spacing w:after="120" w:before="120" w:lineRule="auto"/>
        <w:jc w:val="left"/>
        <w:rPr/>
      </w:pPr>
      <w:r w:rsidDel="00000000" w:rsidR="00000000" w:rsidRPr="00000000">
        <w:br w:type="page"/>
      </w:r>
      <w:r w:rsidDel="00000000" w:rsidR="00000000" w:rsidRPr="00000000">
        <w:rPr>
          <w:rtl w:val="0"/>
        </w:rPr>
      </w:r>
    </w:p>
    <w:tbl>
      <w:tblPr>
        <w:tblStyle w:val="Table10"/>
        <w:tblW w:w="15594.0" w:type="dxa"/>
        <w:jc w:val="left"/>
        <w:tblInd w:w="-4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9"/>
        <w:gridCol w:w="279"/>
        <w:gridCol w:w="1705"/>
        <w:gridCol w:w="912"/>
        <w:gridCol w:w="789"/>
        <w:gridCol w:w="1701"/>
        <w:gridCol w:w="229"/>
        <w:gridCol w:w="2323"/>
        <w:gridCol w:w="4110"/>
        <w:gridCol w:w="2127"/>
        <w:tblGridChange w:id="0">
          <w:tblGrid>
            <w:gridCol w:w="1419"/>
            <w:gridCol w:w="279"/>
            <w:gridCol w:w="1705"/>
            <w:gridCol w:w="912"/>
            <w:gridCol w:w="789"/>
            <w:gridCol w:w="1701"/>
            <w:gridCol w:w="229"/>
            <w:gridCol w:w="2323"/>
            <w:gridCol w:w="4110"/>
            <w:gridCol w:w="2127"/>
          </w:tblGrid>
        </w:tblGridChange>
      </w:tblGrid>
      <w:tr>
        <w:trPr>
          <w:cantSplit w:val="0"/>
          <w:tblHeader w:val="0"/>
        </w:trPr>
        <w:tc>
          <w:tcPr>
            <w:tcBorders>
              <w:top w:color="000000" w:space="0" w:sz="0" w:val="nil"/>
              <w:left w:color="000000" w:space="0" w:sz="0" w:val="nil"/>
              <w:bottom w:color="000000" w:space="0" w:sz="4" w:val="single"/>
            </w:tcBorders>
          </w:tcPr>
          <w:p w:rsidR="00000000" w:rsidDel="00000000" w:rsidP="00000000" w:rsidRDefault="00000000" w:rsidRPr="00000000" w14:paraId="0000062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9"/>
            <w:shd w:fill="c9c9c9" w:val="clear"/>
          </w:tcPr>
          <w:p w:rsidR="00000000" w:rsidDel="00000000" w:rsidP="00000000" w:rsidRDefault="00000000" w:rsidRPr="00000000" w14:paraId="0000062C">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PENSIONS</w:t>
            </w:r>
          </w:p>
        </w:tc>
      </w:tr>
      <w:tr>
        <w:trPr>
          <w:cantSplit w:val="0"/>
          <w:tblHeader w:val="0"/>
        </w:trPr>
        <w:tc>
          <w:tcPr>
            <w:shd w:fill="ccecff" w:val="clear"/>
            <w:vAlign w:val="center"/>
          </w:tcPr>
          <w:p w:rsidR="00000000" w:rsidDel="00000000" w:rsidP="00000000" w:rsidRDefault="00000000" w:rsidRPr="00000000" w14:paraId="00000635">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Details</w:t>
            </w:r>
          </w:p>
        </w:tc>
        <w:tc>
          <w:tcPr>
            <w:gridSpan w:val="2"/>
            <w:shd w:fill="c9c9c9" w:val="clear"/>
            <w:vAlign w:val="center"/>
          </w:tcPr>
          <w:p w:rsidR="00000000" w:rsidDel="00000000" w:rsidP="00000000" w:rsidRDefault="00000000" w:rsidRPr="00000000" w14:paraId="00000636">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If the Employee is in the Local Government Pension Scheme, please supply details of Fund and Administering Authority.</w:t>
            </w:r>
          </w:p>
        </w:tc>
        <w:tc>
          <w:tcPr>
            <w:gridSpan w:val="2"/>
            <w:shd w:fill="c9c9c9" w:val="clear"/>
            <w:vAlign w:val="center"/>
          </w:tcPr>
          <w:p w:rsidR="00000000" w:rsidDel="00000000" w:rsidP="00000000" w:rsidRDefault="00000000" w:rsidRPr="00000000" w14:paraId="00000638">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If the Employee is in the Civil Service Pension Scheme, please provide details of the Admission Agreement.</w:t>
            </w:r>
          </w:p>
        </w:tc>
        <w:tc>
          <w:tcPr>
            <w:shd w:fill="c9c9c9" w:val="clear"/>
            <w:vAlign w:val="center"/>
          </w:tcPr>
          <w:p w:rsidR="00000000" w:rsidDel="00000000" w:rsidP="00000000" w:rsidRDefault="00000000" w:rsidRPr="00000000" w14:paraId="0000063A">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If the Employee is in the NHSPS, please provide details of the Direction Letter.</w:t>
            </w:r>
          </w:p>
        </w:tc>
        <w:tc>
          <w:tcPr>
            <w:gridSpan w:val="2"/>
            <w:shd w:fill="c9c9c9" w:val="clear"/>
            <w:vAlign w:val="center"/>
          </w:tcPr>
          <w:p w:rsidR="00000000" w:rsidDel="00000000" w:rsidP="00000000" w:rsidRDefault="00000000" w:rsidRPr="00000000" w14:paraId="0000063B">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If the Employee is in a broadly comparable pension scheme, please supply a copy of the GAD certificate of Broad Comparability.</w:t>
            </w:r>
          </w:p>
        </w:tc>
        <w:tc>
          <w:tcPr>
            <w:shd w:fill="c9c9c9" w:val="clear"/>
            <w:vAlign w:val="center"/>
          </w:tcPr>
          <w:p w:rsidR="00000000" w:rsidDel="00000000" w:rsidP="00000000" w:rsidRDefault="00000000" w:rsidRPr="00000000" w14:paraId="0000063D">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Did Fair Deal or any other similar pension protection for ex-public sector employees apply to the employee when they TUPE transferred into your employment? If so, what was the nature of that protection (e.g. right to participate in a public sector pension scheme, or a broadly comparable scheme, or to bulk transfer past pension service into their current scheme)?</w:t>
            </w:r>
          </w:p>
        </w:tc>
        <w:tc>
          <w:tcPr>
            <w:shd w:fill="c9c9c9" w:val="clear"/>
            <w:vAlign w:val="center"/>
          </w:tcPr>
          <w:p w:rsidR="00000000" w:rsidDel="00000000" w:rsidP="00000000" w:rsidRDefault="00000000" w:rsidRPr="00000000" w14:paraId="0000063E">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If Fair Deal, Best Value or other pension protection applied, which public sector employer did they originally transfer out of and when? </w:t>
            </w:r>
          </w:p>
        </w:tc>
      </w:tr>
      <w:tr>
        <w:trPr>
          <w:cantSplit w:val="0"/>
          <w:tblHeader w:val="0"/>
        </w:trPr>
        <w:tc>
          <w:tcPr>
            <w:shd w:fill="ccecff" w:val="clear"/>
          </w:tcPr>
          <w:p w:rsidR="00000000" w:rsidDel="00000000" w:rsidP="00000000" w:rsidRDefault="00000000" w:rsidRPr="00000000" w14:paraId="0000063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1</w:t>
            </w:r>
          </w:p>
        </w:tc>
        <w:tc>
          <w:tcPr>
            <w:gridSpan w:val="2"/>
          </w:tcPr>
          <w:p w:rsidR="00000000" w:rsidDel="00000000" w:rsidP="00000000" w:rsidRDefault="00000000" w:rsidRPr="00000000" w14:paraId="0000064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64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4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gridSpan w:val="2"/>
          </w:tcPr>
          <w:p w:rsidR="00000000" w:rsidDel="00000000" w:rsidP="00000000" w:rsidRDefault="00000000" w:rsidRPr="00000000" w14:paraId="0000064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4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4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r>
      <w:tr>
        <w:trPr>
          <w:cantSplit w:val="0"/>
          <w:tblHeader w:val="0"/>
        </w:trPr>
        <w:tc>
          <w:tcPr>
            <w:shd w:fill="ccecff" w:val="clear"/>
          </w:tcPr>
          <w:p w:rsidR="00000000" w:rsidDel="00000000" w:rsidP="00000000" w:rsidRDefault="00000000" w:rsidRPr="00000000" w14:paraId="00000649">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2</w:t>
            </w:r>
          </w:p>
        </w:tc>
        <w:tc>
          <w:tcPr>
            <w:gridSpan w:val="2"/>
          </w:tcPr>
          <w:p w:rsidR="00000000" w:rsidDel="00000000" w:rsidP="00000000" w:rsidRDefault="00000000" w:rsidRPr="00000000" w14:paraId="0000064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64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4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gridSpan w:val="2"/>
          </w:tcPr>
          <w:p w:rsidR="00000000" w:rsidDel="00000000" w:rsidP="00000000" w:rsidRDefault="00000000" w:rsidRPr="00000000" w14:paraId="0000064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5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5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r>
      <w:tr>
        <w:trPr>
          <w:cantSplit w:val="0"/>
          <w:tblHeader w:val="0"/>
        </w:trPr>
        <w:tc>
          <w:tcPr>
            <w:shd w:fill="ccecff" w:val="clear"/>
          </w:tcPr>
          <w:p w:rsidR="00000000" w:rsidDel="00000000" w:rsidP="00000000" w:rsidRDefault="00000000" w:rsidRPr="00000000" w14:paraId="00000653">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65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65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5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gridSpan w:val="2"/>
          </w:tcPr>
          <w:p w:rsidR="00000000" w:rsidDel="00000000" w:rsidP="00000000" w:rsidRDefault="00000000" w:rsidRPr="00000000" w14:paraId="0000065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5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5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r>
      <w:tr>
        <w:trPr>
          <w:cantSplit w:val="0"/>
          <w:tblHeader w:val="0"/>
        </w:trPr>
        <w:tc>
          <w:tcPr>
            <w:shd w:fill="ccecff" w:val="clear"/>
          </w:tcPr>
          <w:p w:rsidR="00000000" w:rsidDel="00000000" w:rsidP="00000000" w:rsidRDefault="00000000" w:rsidRPr="00000000" w14:paraId="0000065D">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65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66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6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gridSpan w:val="2"/>
          </w:tcPr>
          <w:p w:rsidR="00000000" w:rsidDel="00000000" w:rsidP="00000000" w:rsidRDefault="00000000" w:rsidRPr="00000000" w14:paraId="0000066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6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6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r>
      <w:tr>
        <w:trPr>
          <w:cantSplit w:val="0"/>
          <w:tblHeader w:val="0"/>
        </w:trPr>
        <w:tc>
          <w:tcPr>
            <w:shd w:fill="ccecff" w:val="clear"/>
          </w:tcPr>
          <w:p w:rsidR="00000000" w:rsidDel="00000000" w:rsidP="00000000" w:rsidRDefault="00000000" w:rsidRPr="00000000" w14:paraId="0000066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66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66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6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gridSpan w:val="2"/>
          </w:tcPr>
          <w:p w:rsidR="00000000" w:rsidDel="00000000" w:rsidP="00000000" w:rsidRDefault="00000000" w:rsidRPr="00000000" w14:paraId="0000066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6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7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r>
      <w:tr>
        <w:trPr>
          <w:cantSplit w:val="0"/>
          <w:tblHeader w:val="0"/>
        </w:trPr>
        <w:tc>
          <w:tcPr>
            <w:shd w:fill="ccecff" w:val="clear"/>
          </w:tcPr>
          <w:p w:rsidR="00000000" w:rsidDel="00000000" w:rsidP="00000000" w:rsidRDefault="00000000" w:rsidRPr="00000000" w14:paraId="00000671">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67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67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76">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gridSpan w:val="2"/>
          </w:tcPr>
          <w:p w:rsidR="00000000" w:rsidDel="00000000" w:rsidP="00000000" w:rsidRDefault="00000000" w:rsidRPr="00000000" w14:paraId="0000067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7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7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r>
      <w:tr>
        <w:trPr>
          <w:cantSplit w:val="0"/>
          <w:tblHeader w:val="0"/>
        </w:trPr>
        <w:tc>
          <w:tcPr>
            <w:shd w:fill="ccecff" w:val="clear"/>
          </w:tcPr>
          <w:p w:rsidR="00000000" w:rsidDel="00000000" w:rsidP="00000000" w:rsidRDefault="00000000" w:rsidRPr="00000000" w14:paraId="0000067B">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67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2"/>
          </w:tcPr>
          <w:p w:rsidR="00000000" w:rsidDel="00000000" w:rsidP="00000000" w:rsidRDefault="00000000" w:rsidRPr="00000000" w14:paraId="0000067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p w:rsidR="00000000" w:rsidDel="00000000" w:rsidP="00000000" w:rsidRDefault="00000000" w:rsidRPr="00000000" w14:paraId="0000068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gridSpan w:val="2"/>
          </w:tcPr>
          <w:p w:rsidR="00000000" w:rsidDel="00000000" w:rsidP="00000000" w:rsidRDefault="00000000" w:rsidRPr="00000000" w14:paraId="0000068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8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c>
          <w:tcPr/>
          <w:p w:rsidR="00000000" w:rsidDel="00000000" w:rsidP="00000000" w:rsidRDefault="00000000" w:rsidRPr="00000000" w14:paraId="0000068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t xml:space="preserve"> </w:t>
            </w:r>
          </w:p>
        </w:tc>
      </w:tr>
      <w:tr>
        <w:trPr>
          <w:cantSplit w:val="0"/>
          <w:tblHeader w:val="0"/>
        </w:trPr>
        <w:tc>
          <w:tcPr>
            <w:gridSpan w:val="2"/>
            <w:tcBorders>
              <w:top w:color="000000" w:space="0" w:sz="0" w:val="nil"/>
              <w:left w:color="000000" w:space="0" w:sz="0" w:val="nil"/>
              <w:bottom w:color="000000" w:space="0" w:sz="4" w:val="single"/>
            </w:tcBorders>
          </w:tcPr>
          <w:p w:rsidR="00000000" w:rsidDel="00000000" w:rsidP="00000000" w:rsidRDefault="00000000" w:rsidRPr="00000000" w14:paraId="0000068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8"/>
            <w:shd w:fill="ff99cc" w:val="clear"/>
          </w:tcPr>
          <w:p w:rsidR="00000000" w:rsidDel="00000000" w:rsidP="00000000" w:rsidRDefault="00000000" w:rsidRPr="00000000" w14:paraId="0000068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OTHER</w:t>
            </w:r>
          </w:p>
        </w:tc>
      </w:tr>
      <w:tr>
        <w:trPr>
          <w:cantSplit w:val="0"/>
          <w:tblHeader w:val="0"/>
        </w:trPr>
        <w:tc>
          <w:tcPr>
            <w:gridSpan w:val="2"/>
            <w:shd w:fill="ccecff" w:val="clear"/>
          </w:tcPr>
          <w:p w:rsidR="00000000" w:rsidDel="00000000" w:rsidP="00000000" w:rsidRDefault="00000000" w:rsidRPr="00000000" w14:paraId="0000068F">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Details</w:t>
            </w:r>
          </w:p>
        </w:tc>
        <w:tc>
          <w:tcPr>
            <w:gridSpan w:val="2"/>
            <w:shd w:fill="ff99cc" w:val="clear"/>
          </w:tcPr>
          <w:p w:rsidR="00000000" w:rsidDel="00000000" w:rsidP="00000000" w:rsidRDefault="00000000" w:rsidRPr="00000000" w14:paraId="00000691">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Security Check Level</w:t>
            </w:r>
          </w:p>
        </w:tc>
        <w:tc>
          <w:tcPr>
            <w:gridSpan w:val="3"/>
            <w:shd w:fill="ff99cc" w:val="clear"/>
          </w:tcPr>
          <w:p w:rsidR="00000000" w:rsidDel="00000000" w:rsidP="00000000" w:rsidRDefault="00000000" w:rsidRPr="00000000" w14:paraId="00000693">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Security Clearance Expiry date</w:t>
            </w:r>
          </w:p>
        </w:tc>
        <w:tc>
          <w:tcPr>
            <w:gridSpan w:val="3"/>
            <w:shd w:fill="ff99cc" w:val="clear"/>
          </w:tcPr>
          <w:p w:rsidR="00000000" w:rsidDel="00000000" w:rsidP="00000000" w:rsidRDefault="00000000" w:rsidRPr="00000000" w14:paraId="00000696">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Additional info or comments</w:t>
            </w:r>
          </w:p>
        </w:tc>
      </w:tr>
      <w:tr>
        <w:trPr>
          <w:cantSplit w:val="0"/>
          <w:tblHeader w:val="0"/>
        </w:trPr>
        <w:tc>
          <w:tcPr>
            <w:gridSpan w:val="2"/>
            <w:shd w:fill="ccecff" w:val="clear"/>
          </w:tcPr>
          <w:p w:rsidR="00000000" w:rsidDel="00000000" w:rsidP="00000000" w:rsidRDefault="00000000" w:rsidRPr="00000000" w14:paraId="00000699">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1</w:t>
            </w:r>
          </w:p>
        </w:tc>
        <w:tc>
          <w:tcPr>
            <w:gridSpan w:val="2"/>
          </w:tcPr>
          <w:p w:rsidR="00000000" w:rsidDel="00000000" w:rsidP="00000000" w:rsidRDefault="00000000" w:rsidRPr="00000000" w14:paraId="0000069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9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A0">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shd w:fill="ccecff" w:val="clear"/>
          </w:tcPr>
          <w:p w:rsidR="00000000" w:rsidDel="00000000" w:rsidP="00000000" w:rsidRDefault="00000000" w:rsidRPr="00000000" w14:paraId="000006A3">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 2</w:t>
            </w:r>
          </w:p>
        </w:tc>
        <w:tc>
          <w:tcPr>
            <w:gridSpan w:val="2"/>
          </w:tcPr>
          <w:p w:rsidR="00000000" w:rsidDel="00000000" w:rsidP="00000000" w:rsidRDefault="00000000" w:rsidRPr="00000000" w14:paraId="000006A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A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AA">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shd w:fill="ccecff" w:val="clear"/>
          </w:tcPr>
          <w:p w:rsidR="00000000" w:rsidDel="00000000" w:rsidP="00000000" w:rsidRDefault="00000000" w:rsidRPr="00000000" w14:paraId="000006AD">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6A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B1">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B4">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shd w:fill="ccecff" w:val="clear"/>
          </w:tcPr>
          <w:p w:rsidR="00000000" w:rsidDel="00000000" w:rsidP="00000000" w:rsidRDefault="00000000" w:rsidRPr="00000000" w14:paraId="000006B7">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6B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BB">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BE">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shd w:fill="ccecff" w:val="clear"/>
          </w:tcPr>
          <w:p w:rsidR="00000000" w:rsidDel="00000000" w:rsidP="00000000" w:rsidRDefault="00000000" w:rsidRPr="00000000" w14:paraId="000006C1">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6C3">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C5">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C8">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shd w:fill="ccecff" w:val="clear"/>
          </w:tcPr>
          <w:p w:rsidR="00000000" w:rsidDel="00000000" w:rsidP="00000000" w:rsidRDefault="00000000" w:rsidRPr="00000000" w14:paraId="000006CB">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6CD">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CF">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D2">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r>
        <w:trPr>
          <w:cantSplit w:val="0"/>
          <w:tblHeader w:val="0"/>
        </w:trPr>
        <w:tc>
          <w:tcPr>
            <w:gridSpan w:val="2"/>
            <w:shd w:fill="ccecff" w:val="clear"/>
          </w:tcPr>
          <w:p w:rsidR="00000000" w:rsidDel="00000000" w:rsidP="00000000" w:rsidRDefault="00000000" w:rsidRPr="00000000" w14:paraId="000006D5">
            <w:pPr>
              <w:pBdr>
                <w:top w:space="0" w:sz="0" w:val="nil"/>
                <w:left w:space="0" w:sz="0" w:val="nil"/>
                <w:bottom w:space="0" w:sz="0" w:val="nil"/>
                <w:right w:space="0" w:sz="0" w:val="nil"/>
                <w:between w:space="0" w:sz="0" w:val="nil"/>
              </w:pBdr>
              <w:spacing w:after="120" w:before="120" w:lineRule="auto"/>
              <w:jc w:val="left"/>
              <w:rPr>
                <w:b w:val="1"/>
                <w:bCs w:val="1"/>
              </w:rPr>
            </w:pPr>
            <w:r w:rsidDel="00000000" w:rsidR="00000000" w:rsidRPr="00000000">
              <w:rPr>
                <w:b w:val="1"/>
                <w:bCs w:val="1"/>
                <w:rtl w:val="0"/>
              </w:rPr>
              <w:t xml:space="preserve">Emp No</w:t>
            </w:r>
          </w:p>
        </w:tc>
        <w:tc>
          <w:tcPr>
            <w:gridSpan w:val="2"/>
          </w:tcPr>
          <w:p w:rsidR="00000000" w:rsidDel="00000000" w:rsidP="00000000" w:rsidRDefault="00000000" w:rsidRPr="00000000" w14:paraId="000006D7">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D9">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c>
          <w:tcPr>
            <w:gridSpan w:val="3"/>
          </w:tcPr>
          <w:p w:rsidR="00000000" w:rsidDel="00000000" w:rsidP="00000000" w:rsidRDefault="00000000" w:rsidRPr="00000000" w14:paraId="000006DC">
            <w:pPr>
              <w:pBdr>
                <w:top w:space="0" w:sz="0" w:val="nil"/>
                <w:left w:space="0" w:sz="0" w:val="nil"/>
                <w:bottom w:space="0" w:sz="0" w:val="nil"/>
                <w:right w:space="0" w:sz="0" w:val="nil"/>
                <w:between w:space="0" w:sz="0" w:val="nil"/>
              </w:pBdr>
              <w:spacing w:after="120" w:before="120" w:lineRule="auto"/>
              <w:jc w:val="left"/>
              <w:rPr/>
            </w:pPr>
            <w:r w:rsidDel="00000000" w:rsidR="00000000" w:rsidRPr="00000000">
              <w:rPr>
                <w:rtl w:val="0"/>
              </w:rPr>
            </w:r>
          </w:p>
        </w:tc>
      </w:tr>
    </w:tbl>
    <w:p w:rsidR="00000000" w:rsidDel="00000000" w:rsidP="00000000" w:rsidRDefault="00000000" w:rsidRPr="00000000" w14:paraId="000006DF">
      <w:pPr>
        <w:spacing w:after="120" w:before="120" w:lineRule="auto"/>
        <w:jc w:val="left"/>
        <w:rPr>
          <w:b w:val="1"/>
          <w:bCs w:val="1"/>
        </w:rPr>
      </w:pPr>
      <w:r w:rsidDel="00000000" w:rsidR="00000000" w:rsidRPr="00000000">
        <w:rPr>
          <w:rtl w:val="0"/>
        </w:rPr>
      </w:r>
    </w:p>
    <w:p w:rsidR="00000000" w:rsidDel="00000000" w:rsidP="00000000" w:rsidRDefault="00000000" w:rsidRPr="00000000" w14:paraId="000006E0">
      <w:pPr>
        <w:keepNext w:val="1"/>
        <w:pBdr>
          <w:top w:space="0" w:sz="0" w:val="nil"/>
          <w:left w:space="0" w:sz="0" w:val="nil"/>
          <w:bottom w:space="0" w:sz="0" w:val="nil"/>
          <w:right w:space="0" w:sz="0" w:val="nil"/>
          <w:between w:space="0" w:sz="0" w:val="nil"/>
        </w:pBdr>
        <w:spacing w:after="120" w:before="120" w:lineRule="auto"/>
        <w:jc w:val="left"/>
        <w:rPr>
          <w:color w:val="000000"/>
        </w:rPr>
      </w:pPr>
      <w:r w:rsidDel="00000000" w:rsidR="00000000" w:rsidRPr="00000000">
        <w:rPr>
          <w:rtl w:val="0"/>
        </w:rPr>
      </w:r>
    </w:p>
    <w:sectPr>
      <w:type w:val="nextPage"/>
      <w:pgSz w:h="11906" w:w="16838" w:orient="landscape"/>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Times New Roman"/>
  <w:font w:name="Georgia"/>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A">
    <w:pPr>
      <w:tabs>
        <w:tab w:val="center" w:leader="none" w:pos="4513"/>
        <w:tab w:val="right" w:leader="none" w:pos="9026"/>
      </w:tabs>
      <w:spacing w:after="0" w:lineRule="auto"/>
      <w:rPr>
        <w:color w:val="a6a6a6"/>
        <w:sz w:val="20"/>
        <w:szCs w:val="20"/>
      </w:rPr>
    </w:pPr>
    <w:r w:rsidDel="00000000" w:rsidR="00000000" w:rsidRPr="00000000">
      <w:rPr>
        <w:rtl w:val="0"/>
      </w:rPr>
    </w:r>
  </w:p>
  <w:p w:rsidR="00000000" w:rsidDel="00000000" w:rsidP="00000000" w:rsidRDefault="00000000" w:rsidRPr="00000000" w14:paraId="000006FB">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r>
  </w:p>
  <w:p w:rsidR="00000000" w:rsidDel="00000000" w:rsidP="00000000" w:rsidRDefault="00000000" w:rsidRPr="00000000" w14:paraId="000006FC">
    <w:pPr>
      <w:tabs>
        <w:tab w:val="center" w:leader="none" w:pos="4513"/>
        <w:tab w:val="right" w:leader="none" w:pos="9026"/>
      </w:tabs>
      <w:spacing w:after="0" w:lineRule="auto"/>
      <w:rPr>
        <w:sz w:val="20"/>
        <w:szCs w:val="20"/>
      </w:rPr>
    </w:pPr>
    <w:r w:rsidDel="00000000" w:rsidR="00000000" w:rsidRPr="00000000">
      <w:rPr>
        <w:rtl w:val="0"/>
      </w:rPr>
    </w:r>
  </w:p>
  <w:p w:rsidR="00000000" w:rsidDel="00000000" w:rsidP="00000000" w:rsidRDefault="00000000" w:rsidRPr="00000000" w14:paraId="000006FD">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0"/>
        <w:szCs w:val="20"/>
      </w:rPr>
    </w:pPr>
    <w:r w:rsidDel="00000000" w:rsidR="00000000" w:rsidRPr="00000000">
      <w:rPr>
        <w:color w:val="000000"/>
        <w:sz w:val="20"/>
        <w:szCs w:val="20"/>
        <w:rtl w:val="0"/>
      </w:rPr>
      <w:t xml:space="preserve">Project Version: v1.0</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FE">
    <w:pPr>
      <w:spacing w:after="0" w:lineRule="auto"/>
      <w:rPr>
        <w:color w:val="000000"/>
        <w:sz w:val="14"/>
        <w:szCs w:val="14"/>
      </w:rPr>
    </w:pPr>
    <w:r w:rsidDel="00000000" w:rsidR="00000000" w:rsidRPr="00000000">
      <w:rPr>
        <w:sz w:val="20"/>
        <w:szCs w:val="20"/>
        <w:rtl w:val="0"/>
      </w:rPr>
      <w:t xml:space="preserve">Model Version: v1.1 PA</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F">
    <w:pPr>
      <w:tabs>
        <w:tab w:val="center" w:leader="none" w:pos="4513"/>
        <w:tab w:val="right" w:leader="none" w:pos="9026"/>
      </w:tabs>
      <w:spacing w:after="0" w:lineRule="auto"/>
      <w:rPr>
        <w:color w:val="a6a6a6"/>
        <w:sz w:val="20"/>
        <w:szCs w:val="20"/>
      </w:rPr>
    </w:pPr>
    <w:r w:rsidDel="00000000" w:rsidR="00000000" w:rsidRPr="00000000">
      <w:rPr>
        <w:rtl w:val="0"/>
      </w:rPr>
    </w:r>
  </w:p>
  <w:p w:rsidR="00000000" w:rsidDel="00000000" w:rsidP="00000000" w:rsidRDefault="00000000" w:rsidRPr="00000000" w14:paraId="00000700">
    <w:pPr>
      <w:tabs>
        <w:tab w:val="center" w:leader="none" w:pos="4513"/>
        <w:tab w:val="right" w:leader="none" w:pos="9026"/>
      </w:tabs>
      <w:spacing w:after="0" w:lineRule="auto"/>
      <w:rPr>
        <w:color w:val="a6a6a6"/>
        <w:sz w:val="20"/>
        <w:szCs w:val="20"/>
      </w:rPr>
    </w:pPr>
    <w:r w:rsidDel="00000000" w:rsidR="00000000" w:rsidRPr="00000000">
      <w:rPr>
        <w:color w:val="a6a6a6"/>
        <w:sz w:val="20"/>
        <w:szCs w:val="20"/>
        <w:rtl w:val="0"/>
      </w:rPr>
      <w:t xml:space="preserve">Framework Ref: RM</w:t>
      <w:tab/>
      <w:t xml:space="preserve">                                           </w:t>
    </w:r>
  </w:p>
  <w:p w:rsidR="00000000" w:rsidDel="00000000" w:rsidP="00000000" w:rsidRDefault="00000000" w:rsidRPr="00000000" w14:paraId="00000701">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a6a6a6"/>
        <w:sz w:val="20"/>
        <w:szCs w:val="20"/>
      </w:rPr>
    </w:pPr>
    <w:r w:rsidDel="00000000" w:rsidR="00000000" w:rsidRPr="00000000">
      <w:rPr>
        <w:color w:val="a6a6a6"/>
        <w:sz w:val="20"/>
        <w:szCs w:val="20"/>
        <w:rtl w:val="0"/>
      </w:rPr>
      <w:t xml:space="preserve">Project Version: v1.0</w:t>
      <w:tab/>
      <w:tab/>
      <w:tab/>
      <w:t xml:space="preserve"> </w:t>
    </w:r>
    <w:r w:rsidDel="00000000" w:rsidR="00000000" w:rsidRPr="00000000">
      <w:rPr>
        <w:color w:val="a6a6a6"/>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02">
    <w:pPr>
      <w:spacing w:after="0" w:lineRule="auto"/>
      <w:rPr>
        <w:color w:val="a6a6a6"/>
        <w:sz w:val="20"/>
        <w:szCs w:val="20"/>
      </w:rPr>
    </w:pPr>
    <w:r w:rsidDel="00000000" w:rsidR="00000000" w:rsidRPr="00000000">
      <w:rPr>
        <w:color w:val="a6a6a6"/>
        <w:sz w:val="20"/>
        <w:szCs w:val="20"/>
        <w:rtl w:val="0"/>
      </w:rPr>
      <w:t xml:space="preserve">Model Version: v3.0</w:t>
      <w:tab/>
      <w:tab/>
      <w:tab/>
      <w:tab/>
      <w:tab/>
      <w:tab/>
      <w:tab/>
      <w:tab/>
      <w:tab/>
      <w:tab/>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4">
    <w:pPr>
      <w:tabs>
        <w:tab w:val="center" w:leader="none" w:pos="4513"/>
        <w:tab w:val="right" w:leader="none" w:pos="9026"/>
      </w:tabs>
      <w:spacing w:after="0" w:lineRule="auto"/>
      <w:rPr>
        <w:color w:val="bfbfbf"/>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-928681</wp:posOffset>
              </wp:positionH>
              <wp:positionV relativeFrom="paragraph">
                <wp:posOffset>10196513</wp:posOffset>
              </wp:positionV>
              <wp:extent cx="7598410" cy="311150"/>
              <wp:effectExtent b="0" l="0" r="0" t="0"/>
              <wp:wrapNone/>
              <wp:docPr descr="{&quot;HashCode&quot;:-1264847310,&quot;Height&quot;:841.0,&quot;Width&quot;:595.0,&quot;Placement&quot;:&quot;Footer&quot;,&quot;Index&quot;:&quot;Primary&quot;,&quot;Section&quot;:1,&quot;Top&quot;:0.0,&quot;Left&quot;:0.0}" id="5" name=""/>
              <a:graphic>
                <a:graphicData uri="http://schemas.microsoft.com/office/word/2010/wordprocessingShape">
                  <wps:wsp>
                    <wps:cNvSpPr/>
                    <wps:cNvPr id="2" name="Shape 2"/>
                    <wps:spPr>
                      <a:xfrm>
                        <a:off x="1565845" y="3643475"/>
                        <a:ext cx="7560310" cy="27305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b"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-928681</wp:posOffset>
              </wp:positionH>
              <wp:positionV relativeFrom="paragraph">
                <wp:posOffset>10196513</wp:posOffset>
              </wp:positionV>
              <wp:extent cx="7598410" cy="311150"/>
              <wp:effectExtent b="0" l="0" r="0" t="0"/>
              <wp:wrapNone/>
              <wp:docPr descr="{&quot;HashCode&quot;:-1264847310,&quot;Height&quot;:841.0,&quot;Width&quot;:595.0,&quot;Placement&quot;:&quot;Footer&quot;,&quot;Index&quot;:&quot;Primary&quot;,&quot;Section&quot;:1,&quot;Top&quot;:0.0,&quot;Left&quot;:0.0}" id="5" name="image1.png"/>
              <a:graphic>
                <a:graphicData uri="http://schemas.openxmlformats.org/drawingml/2006/picture">
                  <pic:pic>
                    <pic:nvPicPr>
                      <pic:cNvPr descr="{&quot;HashCode&quot;:-1264847310,&quot;Height&quot;:841.0,&quot;Width&quot;:595.0,&quot;Placement&quot;:&quot;Footer&quot;,&quot;Index&quot;:&quot;Primary&quot;,&quot;Section&quot;:1,&quot;Top&quot;:0.0,&quot;Left&quot;:0.0}" id="0" name="image1.png"/>
                      <pic:cNvPicPr preferRelativeResize="0"/>
                    </pic:nvPicPr>
                    <pic:blipFill>
                      <a:blip r:embed="rId1"/>
                      <a:srcRect/>
                      <a:stretch>
                        <a:fillRect/>
                      </a:stretch>
                    </pic:blipFill>
                    <pic:spPr>
                      <a:xfrm>
                        <a:off x="0" y="0"/>
                        <a:ext cx="7598410" cy="311150"/>
                      </a:xfrm>
                      <a:prstGeom prst="rect"/>
                      <a:ln/>
                    </pic:spPr>
                  </pic:pic>
                </a:graphicData>
              </a:graphic>
            </wp:anchor>
          </w:drawing>
        </mc:Fallback>
      </mc:AlternateContent>
    </w:r>
  </w:p>
  <w:p w:rsidR="00000000" w:rsidDel="00000000" w:rsidP="00000000" w:rsidRDefault="00000000" w:rsidRPr="00000000" w14:paraId="00000705">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r>
  </w:p>
  <w:p w:rsidR="00000000" w:rsidDel="00000000" w:rsidP="00000000" w:rsidRDefault="00000000" w:rsidRPr="00000000" w14:paraId="00000706">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0"/>
        <w:szCs w:val="20"/>
      </w:rPr>
    </w:pPr>
    <w:r w:rsidDel="00000000" w:rsidR="00000000" w:rsidRPr="00000000">
      <w:rPr>
        <w:color w:val="000000"/>
        <w:sz w:val="20"/>
        <w:szCs w:val="20"/>
        <w:rtl w:val="0"/>
      </w:rPr>
      <w:t xml:space="preserve">Project Version: v1.0</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07">
    <w:pPr>
      <w:tabs>
        <w:tab w:val="center" w:leader="none" w:pos="4513"/>
        <w:tab w:val="right" w:leader="none" w:pos="9026"/>
      </w:tabs>
      <w:spacing w:after="0" w:lineRule="auto"/>
      <w:rPr>
        <w:color w:val="000000"/>
        <w:sz w:val="14"/>
        <w:szCs w:val="14"/>
      </w:rPr>
    </w:pPr>
    <w:r w:rsidDel="00000000" w:rsidR="00000000" w:rsidRPr="00000000">
      <w:rPr>
        <w:sz w:val="20"/>
        <w:szCs w:val="20"/>
        <w:rtl w:val="0"/>
      </w:rPr>
      <w:t xml:space="preserve">Model Version: v3.3</w:t>
    </w: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8">
    <w:pPr>
      <w:tabs>
        <w:tab w:val="center" w:leader="none" w:pos="4513"/>
        <w:tab w:val="right" w:leader="none" w:pos="9026"/>
      </w:tabs>
      <w:spacing w:after="0" w:lineRule="auto"/>
      <w:rPr>
        <w:color w:val="a6a6a6"/>
        <w:sz w:val="20"/>
        <w:szCs w:val="20"/>
      </w:rPr>
    </w:pPr>
    <w:r w:rsidDel="00000000" w:rsidR="00000000" w:rsidRPr="00000000">
      <w:rPr>
        <w:rtl w:val="0"/>
      </w:rPr>
    </w:r>
  </w:p>
  <w:p w:rsidR="00000000" w:rsidDel="00000000" w:rsidP="00000000" w:rsidRDefault="00000000" w:rsidRPr="00000000" w14:paraId="00000709">
    <w:pPr>
      <w:tabs>
        <w:tab w:val="center" w:leader="none" w:pos="4513"/>
        <w:tab w:val="right" w:leader="none" w:pos="9026"/>
      </w:tabs>
      <w:spacing w:after="0" w:lineRule="auto"/>
      <w:rPr>
        <w:color w:val="a6a6a6"/>
        <w:sz w:val="20"/>
        <w:szCs w:val="20"/>
      </w:rPr>
    </w:pPr>
    <w:r w:rsidDel="00000000" w:rsidR="00000000" w:rsidRPr="00000000">
      <w:rPr>
        <w:color w:val="a6a6a6"/>
        <w:sz w:val="20"/>
        <w:szCs w:val="20"/>
        <w:rtl w:val="0"/>
      </w:rPr>
      <w:t xml:space="preserve">Framework Ref: RM</w:t>
      <w:tab/>
      <w:t xml:space="preserve">                                           </w:t>
    </w:r>
  </w:p>
  <w:p w:rsidR="00000000" w:rsidDel="00000000" w:rsidP="00000000" w:rsidRDefault="00000000" w:rsidRPr="00000000" w14:paraId="0000070A">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a6a6a6"/>
        <w:sz w:val="20"/>
        <w:szCs w:val="20"/>
      </w:rPr>
    </w:pPr>
    <w:r w:rsidDel="00000000" w:rsidR="00000000" w:rsidRPr="00000000">
      <w:rPr>
        <w:color w:val="a6a6a6"/>
        <w:sz w:val="20"/>
        <w:szCs w:val="20"/>
        <w:rtl w:val="0"/>
      </w:rPr>
      <w:t xml:space="preserve">Project Version: v1.0</w:t>
      <w:tab/>
      <w:tab/>
      <w:tab/>
      <w:t xml:space="preserve"> </w:t>
    </w:r>
    <w:r w:rsidDel="00000000" w:rsidR="00000000" w:rsidRPr="00000000">
      <w:rPr>
        <w:color w:val="a6a6a6"/>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0B">
    <w:pPr>
      <w:spacing w:after="0" w:lineRule="auto"/>
      <w:rPr>
        <w:color w:val="a6a6a6"/>
        <w:sz w:val="20"/>
        <w:szCs w:val="20"/>
      </w:rPr>
    </w:pPr>
    <w:r w:rsidDel="00000000" w:rsidR="00000000" w:rsidRPr="00000000">
      <w:rPr>
        <w:color w:val="a6a6a6"/>
        <w:sz w:val="20"/>
        <w:szCs w:val="20"/>
        <w:rtl w:val="0"/>
      </w:rPr>
      <w:t xml:space="preserve">Model Version: v3.0</w:t>
      <w:tab/>
      <w:tab/>
      <w:tab/>
      <w:tab/>
      <w:tab/>
      <w:tab/>
      <w:tab/>
      <w:tab/>
      <w:tab/>
      <w:tab/>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6E1">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highlight w:val="yellow"/>
          <w:rtl w:val="0"/>
        </w:rPr>
        <w:t xml:space="preserve"> We recommend that you seek specific legal advice on this clause.</w:t>
      </w:r>
      <w:r w:rsidDel="00000000" w:rsidR="00000000" w:rsidRPr="00000000">
        <w:rPr>
          <w:color w:val="000000"/>
          <w:sz w:val="20"/>
          <w:szCs w:val="20"/>
          <w:rtl w:val="0"/>
        </w:rPr>
        <w:t xml:space="preserve"> </w:t>
      </w:r>
    </w:p>
  </w:footnote>
  <w:footnote w:id="1">
    <w:p w:rsidR="00000000" w:rsidDel="00000000" w:rsidP="00000000" w:rsidRDefault="00000000" w:rsidRPr="00000000" w14:paraId="000006E2">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highlight w:val="yellow"/>
          <w:rtl w:val="0"/>
        </w:rPr>
        <w:t xml:space="preserve">We recommend that you seek specific legal advice on this clause.</w:t>
      </w:r>
      <w:r w:rsidDel="00000000" w:rsidR="00000000" w:rsidRPr="00000000">
        <w:rPr>
          <w:rtl w:val="0"/>
        </w:rPr>
      </w:r>
    </w:p>
  </w:footnote>
  <w:footnote w:id="2">
    <w:p w:rsidR="00000000" w:rsidDel="00000000" w:rsidP="00000000" w:rsidRDefault="00000000" w:rsidRPr="00000000" w14:paraId="000006E3">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highlight w:val="yellow"/>
          <w:rtl w:val="0"/>
        </w:rPr>
        <w:t xml:space="preserve"> We recommend that you seek specific legal advice on this clause.</w:t>
      </w:r>
      <w:r w:rsidDel="00000000" w:rsidR="00000000" w:rsidRPr="00000000">
        <w:rPr>
          <w:rtl w:val="0"/>
        </w:rPr>
      </w:r>
    </w:p>
  </w:footnote>
  <w:footnote w:id="3">
    <w:p w:rsidR="00000000" w:rsidDel="00000000" w:rsidP="00000000" w:rsidRDefault="00000000" w:rsidRPr="00000000" w14:paraId="000006E4">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highlight w:val="yellow"/>
          <w:rtl w:val="0"/>
        </w:rPr>
        <w:t xml:space="preserve"> We recommend that you seek specific legal advice on this clause.</w:t>
      </w:r>
      <w:r w:rsidDel="00000000" w:rsidR="00000000" w:rsidRPr="00000000">
        <w:rPr>
          <w:rtl w:val="0"/>
        </w:rPr>
      </w:r>
    </w:p>
  </w:footnote>
  <w:footnote w:id="4">
    <w:p w:rsidR="00000000" w:rsidDel="00000000" w:rsidP="00000000" w:rsidRDefault="00000000" w:rsidRPr="00000000" w14:paraId="000006E5">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highlight w:val="yellow"/>
          <w:rtl w:val="0"/>
        </w:rPr>
        <w:t xml:space="preserve"> We recommend that you seek specific legal advice on this clause.</w:t>
      </w:r>
      <w:r w:rsidDel="00000000" w:rsidR="00000000" w:rsidRPr="00000000">
        <w:rPr>
          <w:rtl w:val="0"/>
        </w:rPr>
      </w:r>
    </w:p>
  </w:footnote>
  <w:footnote w:id="5">
    <w:p w:rsidR="00000000" w:rsidDel="00000000" w:rsidP="00000000" w:rsidRDefault="00000000" w:rsidRPr="00000000" w14:paraId="000006E6">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highlight w:val="yellow"/>
          <w:rtl w:val="0"/>
        </w:rPr>
        <w:t xml:space="preserve"> We recommend that you seek specific legal advice on this definition.</w:t>
      </w:r>
      <w:r w:rsidDel="00000000" w:rsidR="00000000" w:rsidRPr="00000000">
        <w:rPr>
          <w:rtl w:val="0"/>
        </w:rPr>
      </w:r>
    </w:p>
  </w:footnote>
  <w:footnote w:id="6">
    <w:p w:rsidR="00000000" w:rsidDel="00000000" w:rsidP="00000000" w:rsidRDefault="00000000" w:rsidRPr="00000000" w14:paraId="000006E7">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highlight w:val="yellow"/>
          <w:rtl w:val="0"/>
        </w:rPr>
        <w:t xml:space="preserve"> We recommend that you seek specific legal advice on this clause.</w:t>
      </w:r>
      <w:r w:rsidDel="00000000" w:rsidR="00000000" w:rsidRPr="00000000">
        <w:rPr>
          <w:rtl w:val="0"/>
        </w:rPr>
      </w:r>
    </w:p>
  </w:footnote>
  <w:footnote w:id="7">
    <w:p w:rsidR="00000000" w:rsidDel="00000000" w:rsidP="00000000" w:rsidRDefault="00000000" w:rsidRPr="00000000" w14:paraId="000006E8">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highlight w:val="yellow"/>
          <w:rtl w:val="0"/>
        </w:rPr>
        <w:t xml:space="preserve"> We recommend that you seek specific legal advice on this clause.</w:t>
      </w:r>
      <w:r w:rsidDel="00000000" w:rsidR="00000000" w:rsidRPr="00000000">
        <w:rPr>
          <w:rtl w:val="0"/>
        </w:rPr>
      </w:r>
    </w:p>
  </w:footnote>
  <w:footnote w:id="8">
    <w:p w:rsidR="00000000" w:rsidDel="00000000" w:rsidP="00000000" w:rsidRDefault="00000000" w:rsidRPr="00000000" w14:paraId="000006E9">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highlight w:val="yellow"/>
          <w:rtl w:val="0"/>
        </w:rPr>
        <w:t xml:space="preserve"> We recommend that you seek specific legal advice on this clause.</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EA">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b w:val="1"/>
        <w:bCs w:val="1"/>
        <w:color w:val="000000"/>
        <w:sz w:val="22"/>
        <w:szCs w:val="22"/>
      </w:rPr>
    </w:pPr>
    <w:r w:rsidDel="00000000" w:rsidR="00000000" w:rsidRPr="00000000">
      <w:rPr>
        <w:b w:val="1"/>
        <w:bCs w:val="1"/>
        <w:color w:val="000000"/>
        <w:sz w:val="22"/>
        <w:szCs w:val="22"/>
        <w:rtl w:val="0"/>
      </w:rPr>
      <w:t xml:space="preserve">Call-Off Schedule 2 (Staff Transfer)</w:t>
    </w:r>
  </w:p>
  <w:p w:rsidR="00000000" w:rsidDel="00000000" w:rsidP="00000000" w:rsidRDefault="00000000" w:rsidRPr="00000000" w14:paraId="000006EB">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2"/>
        <w:szCs w:val="22"/>
      </w:rPr>
    </w:pPr>
    <w:r w:rsidDel="00000000" w:rsidR="00000000" w:rsidRPr="00000000">
      <w:rPr>
        <w:color w:val="000000"/>
        <w:sz w:val="22"/>
        <w:szCs w:val="22"/>
        <w:rtl w:val="0"/>
      </w:rPr>
      <w:t xml:space="preserve">Call-Off Ref: </w:t>
    </w:r>
  </w:p>
  <w:p w:rsidR="00000000" w:rsidDel="00000000" w:rsidP="00000000" w:rsidRDefault="00000000" w:rsidRPr="00000000" w14:paraId="000006EC">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2"/>
        <w:szCs w:val="22"/>
      </w:rPr>
    </w:pPr>
    <w:r w:rsidDel="00000000" w:rsidR="00000000" w:rsidRPr="00000000">
      <w:rPr>
        <w:color w:val="000000"/>
        <w:sz w:val="22"/>
        <w:szCs w:val="22"/>
        <w:rtl w:val="0"/>
      </w:rPr>
      <w:t xml:space="preserve">Crown Copyright 20</w:t>
    </w:r>
    <w:r w:rsidDel="00000000" w:rsidR="00000000" w:rsidRPr="00000000">
      <w:rPr>
        <w:sz w:val="22"/>
        <w:szCs w:val="22"/>
        <w:rtl w:val="0"/>
      </w:rPr>
      <w:t xml:space="preserve">25</w:t>
    </w:r>
    <w:r w:rsidDel="00000000" w:rsidR="00000000" w:rsidRPr="00000000">
      <w:rPr>
        <w:color w:val="000000"/>
        <w:sz w:val="22"/>
        <w:szCs w:val="22"/>
        <w:rtl w:val="0"/>
      </w:rPr>
      <w:t xml:space="preserve"> </w:t>
    </w:r>
  </w:p>
  <w:p w:rsidR="00000000" w:rsidDel="00000000" w:rsidP="00000000" w:rsidRDefault="00000000" w:rsidRPr="00000000" w14:paraId="000006ED">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EE">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rPr>
    </w:pPr>
    <w:r w:rsidDel="00000000" w:rsidR="00000000" w:rsidRPr="00000000">
      <w:rPr>
        <w:rtl w:val="0"/>
      </w:rPr>
    </w:r>
  </w:p>
  <w:p w:rsidR="00000000" w:rsidDel="00000000" w:rsidP="00000000" w:rsidRDefault="00000000" w:rsidRPr="00000000" w14:paraId="000006EF">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rPr>
    </w:pPr>
    <w:r w:rsidDel="00000000" w:rsidR="00000000" w:rsidRPr="00000000">
      <w:rPr>
        <w:rtl w:val="0"/>
      </w:rPr>
    </w:r>
  </w:p>
  <w:p w:rsidR="00000000" w:rsidDel="00000000" w:rsidP="00000000" w:rsidRDefault="00000000" w:rsidRPr="00000000" w14:paraId="000006F0">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2">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b w:val="1"/>
        <w:bCs w:val="1"/>
        <w:color w:val="000000"/>
        <w:sz w:val="22"/>
        <w:szCs w:val="22"/>
      </w:rPr>
    </w:pPr>
    <w:r w:rsidDel="00000000" w:rsidR="00000000" w:rsidRPr="00000000">
      <w:rPr>
        <w:b w:val="1"/>
        <w:bCs w:val="1"/>
        <w:color w:val="000000"/>
        <w:sz w:val="22"/>
        <w:szCs w:val="22"/>
        <w:rtl w:val="0"/>
      </w:rPr>
      <w:t xml:space="preserve">Call-Off Schedule 2 (Staff Transfer)</w:t>
    </w:r>
  </w:p>
  <w:p w:rsidR="00000000" w:rsidDel="00000000" w:rsidP="00000000" w:rsidRDefault="00000000" w:rsidRPr="00000000" w14:paraId="000006F3">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2"/>
        <w:szCs w:val="22"/>
      </w:rPr>
    </w:pPr>
    <w:r w:rsidDel="00000000" w:rsidR="00000000" w:rsidRPr="00000000">
      <w:rPr>
        <w:color w:val="000000"/>
        <w:sz w:val="22"/>
        <w:szCs w:val="22"/>
        <w:rtl w:val="0"/>
      </w:rPr>
      <w:t xml:space="preserve">Call-Off Ref: </w:t>
    </w:r>
  </w:p>
  <w:p w:rsidR="00000000" w:rsidDel="00000000" w:rsidP="00000000" w:rsidRDefault="00000000" w:rsidRPr="00000000" w14:paraId="000006F4">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2"/>
        <w:szCs w:val="22"/>
      </w:rPr>
    </w:pPr>
    <w:r w:rsidDel="00000000" w:rsidR="00000000" w:rsidRPr="00000000">
      <w:rPr>
        <w:color w:val="000000"/>
        <w:sz w:val="22"/>
        <w:szCs w:val="22"/>
        <w:rtl w:val="0"/>
      </w:rPr>
      <w:t xml:space="preserve">Crown Copyright 20</w:t>
    </w:r>
    <w:r w:rsidDel="00000000" w:rsidR="00000000" w:rsidRPr="00000000">
      <w:rPr>
        <w:sz w:val="22"/>
        <w:szCs w:val="22"/>
        <w:rtl w:val="0"/>
      </w:rPr>
      <w:t xml:space="preserve">25</w:t>
    </w:r>
    <w:r w:rsidDel="00000000" w:rsidR="00000000" w:rsidRPr="00000000">
      <w:rPr>
        <w:color w:val="000000"/>
        <w:sz w:val="22"/>
        <w:szCs w:val="22"/>
        <w:rtl w:val="0"/>
      </w:rPr>
      <w:t xml:space="preserve"> </w:t>
    </w:r>
  </w:p>
  <w:p w:rsidR="00000000" w:rsidDel="00000000" w:rsidP="00000000" w:rsidRDefault="00000000" w:rsidRPr="00000000" w14:paraId="000006F5">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0"/>
        <w:szCs w:val="20"/>
      </w:rPr>
    </w:pPr>
    <w:r w:rsidDel="00000000" w:rsidR="00000000" w:rsidRPr="00000000">
      <w:rPr>
        <w:rtl w:val="0"/>
      </w:rPr>
    </w:r>
  </w:p>
  <w:p w:rsidR="00000000" w:rsidDel="00000000" w:rsidP="00000000" w:rsidRDefault="00000000" w:rsidRPr="00000000" w14:paraId="000006F6">
    <w:pPr>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7">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rPr>
    </w:pPr>
    <w:r w:rsidDel="00000000" w:rsidR="00000000" w:rsidRPr="00000000">
      <w:rPr>
        <w:rtl w:val="0"/>
      </w:rPr>
    </w:r>
  </w:p>
  <w:p w:rsidR="00000000" w:rsidDel="00000000" w:rsidP="00000000" w:rsidRDefault="00000000" w:rsidRPr="00000000" w14:paraId="000006F8">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rPr>
    </w:pPr>
    <w:r w:rsidDel="00000000" w:rsidR="00000000" w:rsidRPr="00000000">
      <w:rPr>
        <w:rtl w:val="0"/>
      </w:rPr>
    </w:r>
  </w:p>
  <w:p w:rsidR="00000000" w:rsidDel="00000000" w:rsidP="00000000" w:rsidRDefault="00000000" w:rsidRPr="00000000" w14:paraId="000006F9">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360" w:hanging="360"/>
      </w:pPr>
      <w:rPr>
        <w:b w:val="0"/>
        <w:bCs w:val="0"/>
        <w:i w:val="0"/>
        <w:iCs w:val="0"/>
        <w:smallCaps w:val="0"/>
        <w:strike w:val="0"/>
        <w:color w:val="000000"/>
        <w:u w:val="none"/>
        <w:vertAlign w:val="baseline"/>
      </w:rPr>
    </w:lvl>
    <w:lvl w:ilvl="1">
      <w:start w:val="1"/>
      <w:numFmt w:val="decimal"/>
      <w:lvlText w:val="%1.%2"/>
      <w:lvlJc w:val="left"/>
      <w:pPr>
        <w:ind w:left="1353" w:hanging="359"/>
      </w:pPr>
      <w:rPr>
        <w:b w:val="0"/>
        <w:bCs w:val="0"/>
        <w:i w:val="0"/>
        <w:iCs w:val="0"/>
        <w:smallCaps w:val="0"/>
        <w:strike w:val="0"/>
        <w:color w:val="000000"/>
        <w:u w:val="none"/>
        <w:vertAlign w:val="baseline"/>
      </w:rPr>
    </w:lvl>
    <w:lvl w:ilvl="2">
      <w:start w:val="1"/>
      <w:numFmt w:val="decimal"/>
      <w:lvlText w:val="%1.%2.%3"/>
      <w:lvlJc w:val="left"/>
      <w:pPr>
        <w:ind w:left="1713" w:hanging="719"/>
      </w:pPr>
      <w:rPr>
        <w:b w:val="0"/>
        <w:bCs w:val="0"/>
        <w:i w:val="0"/>
        <w:iCs w:val="0"/>
        <w:smallCaps w:val="0"/>
        <w:strike w:val="0"/>
        <w:color w:val="000000"/>
        <w:u w:val="none"/>
        <w:vertAlign w:val="baseline"/>
      </w:rPr>
    </w:lvl>
    <w:lvl w:ilvl="3">
      <w:start w:val="1"/>
      <w:numFmt w:val="lowerLetter"/>
      <w:lvlText w:val="(%4)"/>
      <w:lvlJc w:val="left"/>
      <w:pPr>
        <w:ind w:left="1080" w:hanging="720"/>
      </w:pPr>
      <w:rPr>
        <w:b w:val="0"/>
        <w:bCs w:val="0"/>
        <w:i w:val="0"/>
        <w:iCs w:val="0"/>
        <w:smallCaps w:val="0"/>
        <w:strike w:val="0"/>
        <w:color w:val="000000"/>
        <w:u w:val="none"/>
        <w:vertAlign w:val="baseline"/>
      </w:rPr>
    </w:lvl>
    <w:lvl w:ilvl="4">
      <w:start w:val="1"/>
      <w:numFmt w:val="lowerRoman"/>
      <w:lvlText w:val="(%5)"/>
      <w:lvlJc w:val="left"/>
      <w:pPr>
        <w:ind w:left="3916"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color w:val="000000"/>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2">
    <w:lvl w:ilvl="0">
      <w:start w:val="1"/>
      <w:numFmt w:val="decimal"/>
      <w:lvlText w:val="%1."/>
      <w:lvlJc w:val="left"/>
      <w:pPr>
        <w:ind w:left="720" w:hanging="720"/>
      </w:pPr>
      <w:rPr>
        <w:smallCaps w:val="0"/>
      </w:rPr>
    </w:lvl>
    <w:lvl w:ilvl="1">
      <w:start w:val="1"/>
      <w:numFmt w:val="decimal"/>
      <w:lvlText w:val="%1.%2"/>
      <w:lvlJc w:val="left"/>
      <w:pPr>
        <w:ind w:left="720" w:hanging="720"/>
      </w:pPr>
      <w:rPr>
        <w:rFonts w:ascii="Arial" w:cs="Arial" w:eastAsia="Arial" w:hAnsi="Arial"/>
        <w:b w:val="0"/>
        <w:bCs w:val="0"/>
        <w:smallCaps w:val="0"/>
      </w:rPr>
    </w:lvl>
    <w:lvl w:ilvl="2">
      <w:start w:val="1"/>
      <w:numFmt w:val="decimal"/>
      <w:lvlText w:val="%1.%2.%3"/>
      <w:lvlJc w:val="left"/>
      <w:pPr>
        <w:ind w:left="2214" w:hanging="1080"/>
      </w:pPr>
      <w:rPr>
        <w:smallCaps w:val="0"/>
      </w:rPr>
    </w:lvl>
    <w:lvl w:ilvl="3">
      <w:start w:val="1"/>
      <w:numFmt w:val="lowerLetter"/>
      <w:lvlText w:val="(%4)"/>
      <w:lvlJc w:val="left"/>
      <w:pPr>
        <w:ind w:left="2880" w:hanging="1080"/>
      </w:pPr>
      <w:rPr>
        <w:smallCaps w:val="0"/>
      </w:rPr>
    </w:lvl>
    <w:lvl w:ilvl="4">
      <w:start w:val="1"/>
      <w:numFmt w:val="lowerLetter"/>
      <w:lvlText w:val="(%5)"/>
      <w:lvlJc w:val="left"/>
      <w:pPr>
        <w:ind w:left="3600" w:hanging="720"/>
      </w:pPr>
      <w:rPr>
        <w:smallCaps w:val="0"/>
      </w:rPr>
    </w:lvl>
    <w:lvl w:ilvl="5">
      <w:start w:val="1"/>
      <w:numFmt w:val="lowerRoman"/>
      <w:lvlText w:val="(%6)"/>
      <w:lvlJc w:val="left"/>
      <w:pPr>
        <w:ind w:left="4320" w:hanging="720"/>
      </w:pPr>
      <w:rPr>
        <w:smallCaps w:val="0"/>
      </w:rPr>
    </w:lvl>
    <w:lvl w:ilvl="6">
      <w:start w:val="1"/>
      <w:numFmt w:val="decimal"/>
      <w:lvlText w:val="(%7)"/>
      <w:lvlJc w:val="left"/>
      <w:pPr>
        <w:ind w:left="5040" w:hanging="720"/>
      </w:pPr>
      <w:rPr>
        <w:smallCaps w:val="0"/>
      </w:rPr>
    </w:lvl>
    <w:lvl w:ilvl="7">
      <w:start w:val="1"/>
      <w:numFmt w:val="decimal"/>
      <w:lvlText w:val=""/>
      <w:lvlJc w:val="left"/>
      <w:pPr>
        <w:ind w:left="5040" w:hanging="720"/>
      </w:pPr>
      <w:rPr>
        <w:smallCaps w:val="0"/>
      </w:rPr>
    </w:lvl>
    <w:lvl w:ilvl="8">
      <w:start w:val="1"/>
      <w:numFmt w:val="decimal"/>
      <w:lvlText w:val=""/>
      <w:lvlJc w:val="left"/>
      <w:pPr>
        <w:ind w:left="5040" w:hanging="720"/>
      </w:pPr>
      <w:rPr>
        <w:smallCaps w:val="0"/>
      </w:rPr>
    </w:lvl>
  </w:abstractNum>
  <w:abstractNum w:abstractNumId="3">
    <w:lvl w:ilvl="0">
      <w:start w:val="1"/>
      <w:numFmt w:val="decimal"/>
      <w:lvlText w:val="%1"/>
      <w:lvlJc w:val="left"/>
      <w:pPr>
        <w:ind w:left="170" w:hanging="170"/>
      </w:pPr>
      <w:rPr>
        <w:rFonts w:ascii="Arial" w:cs="Arial" w:eastAsia="Arial" w:hAnsi="Arial"/>
        <w:sz w:val="22"/>
        <w:szCs w:val="22"/>
      </w:rPr>
    </w:lvl>
    <w:lvl w:ilvl="1">
      <w:start w:val="1"/>
      <w:numFmt w:val="lowerLetter"/>
      <w:lvlText w:val="%2)"/>
      <w:lvlJc w:val="left"/>
      <w:pPr>
        <w:ind w:left="720" w:hanging="360"/>
      </w:pPr>
      <w:rPr>
        <w:b w:val="0"/>
        <w:bCs w:val="0"/>
        <w:i w:val="0"/>
        <w:iCs w:val="0"/>
        <w:smallCaps w:val="0"/>
        <w:strike w:val="0"/>
        <w:color w:val="000000"/>
        <w:u w:val="none"/>
        <w:vertAlign w:val="baseline"/>
      </w:rPr>
    </w:lvl>
    <w:lvl w:ilvl="2">
      <w:start w:val="1"/>
      <w:numFmt w:val="lowerRoman"/>
      <w:lvlText w:val="%3)"/>
      <w:lvlJc w:val="left"/>
      <w:pPr>
        <w:ind w:left="1080" w:hanging="360"/>
      </w:pPr>
      <w:rPr>
        <w:rFonts w:ascii="Arial" w:cs="Arial" w:eastAsia="Arial" w:hAnsi="Arial"/>
        <w:sz w:val="22"/>
        <w:szCs w:val="22"/>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rFonts w:ascii="Arial" w:cs="Arial" w:eastAsia="Arial" w:hAnsi="Arial"/>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decimal"/>
      <w:lvlText w:val="%1."/>
      <w:lvlJc w:val="left"/>
      <w:pPr>
        <w:ind w:left="720" w:hanging="720"/>
      </w:pPr>
      <w:rPr>
        <w:smallCaps w:val="0"/>
      </w:rPr>
    </w:lvl>
    <w:lvl w:ilvl="1">
      <w:start w:val="1"/>
      <w:numFmt w:val="decimal"/>
      <w:lvlText w:val="%1.%2"/>
      <w:lvlJc w:val="left"/>
      <w:pPr>
        <w:ind w:left="720" w:hanging="720"/>
      </w:pPr>
      <w:rPr>
        <w:rFonts w:ascii="Arial" w:cs="Arial" w:eastAsia="Arial" w:hAnsi="Arial"/>
        <w:b w:val="0"/>
        <w:bCs w:val="0"/>
        <w:smallCaps w:val="0"/>
      </w:rPr>
    </w:lvl>
    <w:lvl w:ilvl="2">
      <w:start w:val="1"/>
      <w:numFmt w:val="decimal"/>
      <w:lvlText w:val="%1.%2.%3"/>
      <w:lvlJc w:val="left"/>
      <w:pPr>
        <w:ind w:left="2214" w:hanging="1080"/>
      </w:pPr>
      <w:rPr>
        <w:smallCaps w:val="0"/>
      </w:rPr>
    </w:lvl>
    <w:lvl w:ilvl="3">
      <w:start w:val="1"/>
      <w:numFmt w:val="lowerLetter"/>
      <w:lvlText w:val="(%4)"/>
      <w:lvlJc w:val="left"/>
      <w:pPr>
        <w:ind w:left="2880" w:hanging="1080"/>
      </w:pPr>
      <w:rPr>
        <w:smallCaps w:val="0"/>
      </w:rPr>
    </w:lvl>
    <w:lvl w:ilvl="4">
      <w:start w:val="1"/>
      <w:numFmt w:val="lowerLetter"/>
      <w:lvlText w:val="(%5)"/>
      <w:lvlJc w:val="left"/>
      <w:pPr>
        <w:ind w:left="3600" w:hanging="720"/>
      </w:pPr>
      <w:rPr>
        <w:smallCaps w:val="0"/>
      </w:rPr>
    </w:lvl>
    <w:lvl w:ilvl="5">
      <w:start w:val="1"/>
      <w:numFmt w:val="lowerRoman"/>
      <w:lvlText w:val="(%6)"/>
      <w:lvlJc w:val="left"/>
      <w:pPr>
        <w:ind w:left="4320" w:hanging="720"/>
      </w:pPr>
      <w:rPr>
        <w:smallCaps w:val="0"/>
      </w:rPr>
    </w:lvl>
    <w:lvl w:ilvl="6">
      <w:start w:val="1"/>
      <w:numFmt w:val="decimal"/>
      <w:lvlText w:val="(%7)"/>
      <w:lvlJc w:val="left"/>
      <w:pPr>
        <w:ind w:left="5040" w:hanging="720"/>
      </w:pPr>
      <w:rPr>
        <w:smallCaps w:val="0"/>
      </w:rPr>
    </w:lvl>
    <w:lvl w:ilvl="7">
      <w:start w:val="1"/>
      <w:numFmt w:val="decimal"/>
      <w:lvlText w:val=""/>
      <w:lvlJc w:val="left"/>
      <w:pPr>
        <w:ind w:left="5040" w:hanging="720"/>
      </w:pPr>
      <w:rPr>
        <w:smallCaps w:val="0"/>
      </w:rPr>
    </w:lvl>
    <w:lvl w:ilvl="8">
      <w:start w:val="1"/>
      <w:numFmt w:val="decimal"/>
      <w:lvlText w:val=""/>
      <w:lvlJc w:val="left"/>
      <w:pPr>
        <w:ind w:left="5040" w:hanging="720"/>
      </w:pPr>
      <w:rPr>
        <w:smallCaps w:val="0"/>
      </w:rPr>
    </w:lvl>
  </w:abstractNum>
  <w:abstractNum w:abstractNumId="5">
    <w:lvl w:ilvl="0">
      <w:start w:val="1"/>
      <w:numFmt w:val="lowerLetter"/>
      <w:lvlText w:val="(%1)"/>
      <w:lvlJc w:val="left"/>
      <w:pPr>
        <w:ind w:left="1587" w:hanging="793.0000000000003"/>
      </w:pPr>
      <w:rPr/>
    </w:lvl>
    <w:lvl w:ilvl="1">
      <w:start w:val="1"/>
      <w:numFmt w:val="lowerRoman"/>
      <w:lvlText w:val="(%2)"/>
      <w:lvlJc w:val="left"/>
      <w:pPr>
        <w:ind w:left="2381" w:hanging="794"/>
      </w:pPr>
      <w:rPr/>
    </w:lvl>
    <w:lvl w:ilvl="2">
      <w:start w:val="1"/>
      <w:numFmt w:val="decimal"/>
      <w:lvlText w:val=""/>
      <w:lvlJc w:val="left"/>
      <w:pPr>
        <w:ind w:left="2381" w:hanging="794"/>
      </w:pPr>
      <w:rPr/>
    </w:lvl>
    <w:lvl w:ilvl="3">
      <w:start w:val="1"/>
      <w:numFmt w:val="decimal"/>
      <w:lvlText w:val=""/>
      <w:lvlJc w:val="left"/>
      <w:pPr>
        <w:ind w:left="2381" w:hanging="794"/>
      </w:pPr>
      <w:rPr/>
    </w:lvl>
    <w:lvl w:ilvl="4">
      <w:start w:val="1"/>
      <w:numFmt w:val="decimal"/>
      <w:lvlText w:val=""/>
      <w:lvlJc w:val="left"/>
      <w:pPr>
        <w:ind w:left="2381" w:hanging="794"/>
      </w:pPr>
      <w:rPr/>
    </w:lvl>
    <w:lvl w:ilvl="5">
      <w:start w:val="1"/>
      <w:numFmt w:val="decimal"/>
      <w:lvlText w:val=""/>
      <w:lvlJc w:val="left"/>
      <w:pPr>
        <w:ind w:left="2381" w:hanging="794"/>
      </w:pPr>
      <w:rPr/>
    </w:lvl>
    <w:lvl w:ilvl="6">
      <w:start w:val="1"/>
      <w:numFmt w:val="decimal"/>
      <w:lvlText w:val=""/>
      <w:lvlJc w:val="left"/>
      <w:pPr>
        <w:ind w:left="2381" w:hanging="794"/>
      </w:pPr>
      <w:rPr/>
    </w:lvl>
    <w:lvl w:ilvl="7">
      <w:start w:val="1"/>
      <w:numFmt w:val="decimal"/>
      <w:lvlText w:val=""/>
      <w:lvlJc w:val="left"/>
      <w:pPr>
        <w:ind w:left="2381" w:hanging="794"/>
      </w:pPr>
      <w:rPr/>
    </w:lvl>
    <w:lvl w:ilvl="8">
      <w:start w:val="1"/>
      <w:numFmt w:val="decimal"/>
      <w:lvlText w:val=""/>
      <w:lvlJc w:val="left"/>
      <w:pPr>
        <w:ind w:left="2381" w:hanging="794"/>
      </w:pPr>
      <w:rPr/>
    </w:lvl>
  </w:abstractNum>
  <w:abstractNum w:abstractNumId="6">
    <w:lvl w:ilvl="0">
      <w:start w:val="1"/>
      <w:numFmt w:val="decimal"/>
      <w:lvlText w:val=""/>
      <w:lvlJc w:val="center"/>
      <w:pPr>
        <w:ind w:left="0" w:hanging="57"/>
      </w:pPr>
      <w:rPr/>
    </w:lvl>
    <w:lvl w:ilvl="1">
      <w:start w:val="1"/>
      <w:numFmt w:val="decimal"/>
      <w:lvlText w:val="%1%2"/>
      <w:lvlJc w:val="left"/>
      <w:pPr>
        <w:ind w:left="709" w:hanging="709"/>
      </w:pPr>
      <w:rPr>
        <w:b w:val="1"/>
        <w:bCs w:val="1"/>
      </w:rPr>
    </w:lvl>
    <w:lvl w:ilvl="2">
      <w:start w:val="1"/>
      <w:numFmt w:val="decimal"/>
      <w:lvlText w:val="%2.%3"/>
      <w:lvlJc w:val="left"/>
      <w:pPr>
        <w:ind w:left="709" w:hanging="709"/>
      </w:pPr>
      <w:rPr>
        <w:rFonts w:ascii="Calibri" w:cs="Calibri" w:eastAsia="Calibri" w:hAnsi="Calibri"/>
        <w:b w:val="0"/>
        <w:bCs w:val="0"/>
        <w:i w:val="0"/>
        <w:iCs w:val="0"/>
      </w:rPr>
    </w:lvl>
    <w:lvl w:ilvl="3">
      <w:start w:val="1"/>
      <w:numFmt w:val="lowerLetter"/>
      <w:lvlText w:val="(%4)"/>
      <w:lvlJc w:val="left"/>
      <w:pPr>
        <w:ind w:left="1418" w:hanging="709"/>
      </w:pPr>
      <w:rPr/>
    </w:lvl>
    <w:lvl w:ilvl="4">
      <w:start w:val="1"/>
      <w:numFmt w:val="lowerLetter"/>
      <w:lvlText w:val="(%5)"/>
      <w:lvlJc w:val="left"/>
      <w:pPr>
        <w:ind w:left="2126" w:hanging="708"/>
      </w:pPr>
      <w:rPr>
        <w:rFonts w:ascii="Arial" w:cs="Arial" w:eastAsia="Arial" w:hAnsi="Arial"/>
      </w:rPr>
    </w:lvl>
    <w:lvl w:ilvl="5">
      <w:start w:val="1"/>
      <w:numFmt w:val="bullet"/>
      <w:lvlText w:val="●"/>
      <w:lvlJc w:val="left"/>
      <w:pPr>
        <w:ind w:left="3543" w:hanging="708"/>
      </w:pPr>
      <w:rPr>
        <w:rFonts w:ascii="Noto Sans Symbols" w:cs="Noto Sans Symbols" w:eastAsia="Noto Sans Symbols" w:hAnsi="Noto Sans Symbols"/>
        <w:color w:val="000000"/>
      </w:rPr>
    </w:lvl>
    <w:lvl w:ilvl="6">
      <w:start w:val="1"/>
      <w:numFmt w:val="lowerLetter"/>
      <w:lvlText w:val="%7)"/>
      <w:lvlJc w:val="left"/>
      <w:pPr>
        <w:ind w:left="4252" w:hanging="709.0000000000005"/>
      </w:pPr>
      <w:rPr/>
    </w:lvl>
    <w:lvl w:ilvl="7">
      <w:start w:val="1"/>
      <w:numFmt w:val="lowerRoman"/>
      <w:lvlText w:val="%8)"/>
      <w:lvlJc w:val="left"/>
      <w:pPr>
        <w:ind w:left="4961" w:hanging="709"/>
      </w:pPr>
      <w:rPr/>
    </w:lvl>
    <w:lvl w:ilvl="8">
      <w:start w:val="1"/>
      <w:numFmt w:val="upperLetter"/>
      <w:lvlText w:val="%9)"/>
      <w:lvlJc w:val="left"/>
      <w:pPr>
        <w:ind w:left="5669" w:hanging="708"/>
      </w:pPr>
      <w:rPr/>
    </w:lvl>
  </w:abstractNum>
  <w:abstractNum w:abstractNumId="7">
    <w:lvl w:ilvl="0">
      <w:start w:val="1"/>
      <w:numFmt w:val="decimal"/>
      <w:lvlText w:val="%1."/>
      <w:lvlJc w:val="left"/>
      <w:pPr>
        <w:ind w:left="720" w:hanging="720"/>
      </w:pPr>
      <w:rPr>
        <w:smallCaps w:val="0"/>
      </w:rPr>
    </w:lvl>
    <w:lvl w:ilvl="1">
      <w:start w:val="1"/>
      <w:numFmt w:val="decimal"/>
      <w:lvlText w:val="%1.%2"/>
      <w:lvlJc w:val="left"/>
      <w:pPr>
        <w:ind w:left="720" w:hanging="720"/>
      </w:pPr>
      <w:rPr>
        <w:rFonts w:ascii="Arial" w:cs="Arial" w:eastAsia="Arial" w:hAnsi="Arial"/>
        <w:b w:val="0"/>
        <w:bCs w:val="0"/>
        <w:smallCaps w:val="0"/>
      </w:rPr>
    </w:lvl>
    <w:lvl w:ilvl="2">
      <w:start w:val="1"/>
      <w:numFmt w:val="decimal"/>
      <w:lvlText w:val="%1.%2.%3"/>
      <w:lvlJc w:val="left"/>
      <w:pPr>
        <w:ind w:left="2214" w:hanging="1080"/>
      </w:pPr>
      <w:rPr>
        <w:smallCaps w:val="0"/>
      </w:rPr>
    </w:lvl>
    <w:lvl w:ilvl="3">
      <w:start w:val="1"/>
      <w:numFmt w:val="lowerLetter"/>
      <w:lvlText w:val="(%4)"/>
      <w:lvlJc w:val="left"/>
      <w:pPr>
        <w:ind w:left="2880" w:hanging="1080"/>
      </w:pPr>
      <w:rPr>
        <w:smallCaps w:val="0"/>
      </w:rPr>
    </w:lvl>
    <w:lvl w:ilvl="4">
      <w:start w:val="1"/>
      <w:numFmt w:val="lowerLetter"/>
      <w:lvlText w:val="(%5)"/>
      <w:lvlJc w:val="left"/>
      <w:pPr>
        <w:ind w:left="3600" w:hanging="720"/>
      </w:pPr>
      <w:rPr>
        <w:smallCaps w:val="0"/>
      </w:rPr>
    </w:lvl>
    <w:lvl w:ilvl="5">
      <w:start w:val="1"/>
      <w:numFmt w:val="lowerRoman"/>
      <w:lvlText w:val="(%6)"/>
      <w:lvlJc w:val="left"/>
      <w:pPr>
        <w:ind w:left="4320" w:hanging="720"/>
      </w:pPr>
      <w:rPr>
        <w:smallCaps w:val="0"/>
      </w:rPr>
    </w:lvl>
    <w:lvl w:ilvl="6">
      <w:start w:val="1"/>
      <w:numFmt w:val="decimal"/>
      <w:lvlText w:val="(%7)"/>
      <w:lvlJc w:val="left"/>
      <w:pPr>
        <w:ind w:left="5040" w:hanging="720"/>
      </w:pPr>
      <w:rPr>
        <w:smallCaps w:val="0"/>
      </w:rPr>
    </w:lvl>
    <w:lvl w:ilvl="7">
      <w:start w:val="1"/>
      <w:numFmt w:val="decimal"/>
      <w:lvlText w:val=""/>
      <w:lvlJc w:val="left"/>
      <w:pPr>
        <w:ind w:left="5040" w:hanging="720"/>
      </w:pPr>
      <w:rPr>
        <w:smallCaps w:val="0"/>
      </w:rPr>
    </w:lvl>
    <w:lvl w:ilvl="8">
      <w:start w:val="1"/>
      <w:numFmt w:val="decimal"/>
      <w:lvlText w:val=""/>
      <w:lvlJc w:val="left"/>
      <w:pPr>
        <w:ind w:left="5040" w:hanging="720"/>
      </w:pPr>
      <w:rPr>
        <w:smallCaps w:val="0"/>
      </w:rPr>
    </w:lvl>
  </w:abstractNum>
  <w:abstractNum w:abstractNumId="8">
    <w:lvl w:ilvl="0">
      <w:start w:val="1"/>
      <w:numFmt w:val="decimal"/>
      <w:lvlText w:val="%1."/>
      <w:lvlJc w:val="left"/>
      <w:pPr>
        <w:ind w:left="720" w:hanging="720"/>
      </w:pPr>
      <w:rPr>
        <w:smallCaps w:val="0"/>
      </w:rPr>
    </w:lvl>
    <w:lvl w:ilvl="1">
      <w:start w:val="1"/>
      <w:numFmt w:val="decimal"/>
      <w:lvlText w:val="%1.%2"/>
      <w:lvlJc w:val="left"/>
      <w:pPr>
        <w:ind w:left="720" w:hanging="720"/>
      </w:pPr>
      <w:rPr>
        <w:rFonts w:ascii="Arial" w:cs="Arial" w:eastAsia="Arial" w:hAnsi="Arial"/>
        <w:b w:val="0"/>
        <w:bCs w:val="0"/>
        <w:smallCaps w:val="0"/>
      </w:rPr>
    </w:lvl>
    <w:lvl w:ilvl="2">
      <w:start w:val="1"/>
      <w:numFmt w:val="decimal"/>
      <w:lvlText w:val="%1.%2.%3"/>
      <w:lvlJc w:val="left"/>
      <w:pPr>
        <w:ind w:left="2214" w:hanging="1080"/>
      </w:pPr>
      <w:rPr>
        <w:smallCaps w:val="0"/>
      </w:rPr>
    </w:lvl>
    <w:lvl w:ilvl="3">
      <w:start w:val="1"/>
      <w:numFmt w:val="lowerLetter"/>
      <w:lvlText w:val="(%4)"/>
      <w:lvlJc w:val="left"/>
      <w:pPr>
        <w:ind w:left="2880" w:hanging="1080"/>
      </w:pPr>
      <w:rPr>
        <w:smallCaps w:val="0"/>
      </w:rPr>
    </w:lvl>
    <w:lvl w:ilvl="4">
      <w:start w:val="1"/>
      <w:numFmt w:val="lowerLetter"/>
      <w:lvlText w:val="(%5)"/>
      <w:lvlJc w:val="left"/>
      <w:pPr>
        <w:ind w:left="3600" w:hanging="720"/>
      </w:pPr>
      <w:rPr>
        <w:smallCaps w:val="0"/>
      </w:rPr>
    </w:lvl>
    <w:lvl w:ilvl="5">
      <w:start w:val="1"/>
      <w:numFmt w:val="lowerRoman"/>
      <w:lvlText w:val="(%6)"/>
      <w:lvlJc w:val="left"/>
      <w:pPr>
        <w:ind w:left="4320" w:hanging="720"/>
      </w:pPr>
      <w:rPr>
        <w:smallCaps w:val="0"/>
      </w:rPr>
    </w:lvl>
    <w:lvl w:ilvl="6">
      <w:start w:val="1"/>
      <w:numFmt w:val="decimal"/>
      <w:lvlText w:val="(%7)"/>
      <w:lvlJc w:val="left"/>
      <w:pPr>
        <w:ind w:left="5040" w:hanging="720"/>
      </w:pPr>
      <w:rPr>
        <w:smallCaps w:val="0"/>
      </w:rPr>
    </w:lvl>
    <w:lvl w:ilvl="7">
      <w:start w:val="1"/>
      <w:numFmt w:val="decimal"/>
      <w:lvlText w:val=""/>
      <w:lvlJc w:val="left"/>
      <w:pPr>
        <w:ind w:left="5040" w:hanging="720"/>
      </w:pPr>
      <w:rPr>
        <w:smallCaps w:val="0"/>
      </w:rPr>
    </w:lvl>
    <w:lvl w:ilvl="8">
      <w:start w:val="1"/>
      <w:numFmt w:val="decimal"/>
      <w:lvlText w:val=""/>
      <w:lvlJc w:val="left"/>
      <w:pPr>
        <w:ind w:left="5040" w:hanging="720"/>
      </w:pPr>
      <w:rPr>
        <w:smallCaps w:val="0"/>
      </w:rPr>
    </w:lvl>
  </w:abstractNum>
  <w:abstractNum w:abstractNumId="9">
    <w:lvl w:ilvl="0">
      <w:start w:val="1"/>
      <w:numFmt w:val="decimal"/>
      <w:lvlText w:val="%1."/>
      <w:lvlJc w:val="left"/>
      <w:pPr>
        <w:ind w:left="720" w:hanging="720"/>
      </w:pPr>
      <w:rPr>
        <w:smallCaps w:val="0"/>
      </w:rPr>
    </w:lvl>
    <w:lvl w:ilvl="1">
      <w:start w:val="1"/>
      <w:numFmt w:val="decimal"/>
      <w:lvlText w:val="%1.%2"/>
      <w:lvlJc w:val="left"/>
      <w:pPr>
        <w:ind w:left="720" w:hanging="720"/>
      </w:pPr>
      <w:rPr>
        <w:rFonts w:ascii="Arial" w:cs="Arial" w:eastAsia="Arial" w:hAnsi="Arial"/>
        <w:b w:val="0"/>
        <w:bCs w:val="0"/>
        <w:smallCaps w:val="0"/>
      </w:rPr>
    </w:lvl>
    <w:lvl w:ilvl="2">
      <w:start w:val="1"/>
      <w:numFmt w:val="decimal"/>
      <w:lvlText w:val="%1.%2.%3"/>
      <w:lvlJc w:val="left"/>
      <w:pPr>
        <w:ind w:left="2214" w:hanging="1080"/>
      </w:pPr>
      <w:rPr>
        <w:smallCaps w:val="0"/>
      </w:rPr>
    </w:lvl>
    <w:lvl w:ilvl="3">
      <w:start w:val="1"/>
      <w:numFmt w:val="lowerLetter"/>
      <w:lvlText w:val="(%4)"/>
      <w:lvlJc w:val="left"/>
      <w:pPr>
        <w:ind w:left="2880" w:hanging="1080"/>
      </w:pPr>
      <w:rPr>
        <w:smallCaps w:val="0"/>
      </w:rPr>
    </w:lvl>
    <w:lvl w:ilvl="4">
      <w:start w:val="1"/>
      <w:numFmt w:val="lowerLetter"/>
      <w:lvlText w:val="(%5)"/>
      <w:lvlJc w:val="left"/>
      <w:pPr>
        <w:ind w:left="3600" w:hanging="720"/>
      </w:pPr>
      <w:rPr>
        <w:smallCaps w:val="0"/>
      </w:rPr>
    </w:lvl>
    <w:lvl w:ilvl="5">
      <w:start w:val="1"/>
      <w:numFmt w:val="lowerRoman"/>
      <w:lvlText w:val="(%6)"/>
      <w:lvlJc w:val="left"/>
      <w:pPr>
        <w:ind w:left="4320" w:hanging="720"/>
      </w:pPr>
      <w:rPr>
        <w:smallCaps w:val="0"/>
      </w:rPr>
    </w:lvl>
    <w:lvl w:ilvl="6">
      <w:start w:val="1"/>
      <w:numFmt w:val="decimal"/>
      <w:lvlText w:val="(%7)"/>
      <w:lvlJc w:val="left"/>
      <w:pPr>
        <w:ind w:left="5040" w:hanging="720"/>
      </w:pPr>
      <w:rPr>
        <w:smallCaps w:val="0"/>
      </w:rPr>
    </w:lvl>
    <w:lvl w:ilvl="7">
      <w:start w:val="1"/>
      <w:numFmt w:val="decimal"/>
      <w:lvlText w:val=""/>
      <w:lvlJc w:val="left"/>
      <w:pPr>
        <w:ind w:left="5040" w:hanging="720"/>
      </w:pPr>
      <w:rPr>
        <w:smallCaps w:val="0"/>
      </w:rPr>
    </w:lvl>
    <w:lvl w:ilvl="8">
      <w:start w:val="1"/>
      <w:numFmt w:val="decimal"/>
      <w:lvlText w:val=""/>
      <w:lvlJc w:val="left"/>
      <w:pPr>
        <w:ind w:left="5040" w:hanging="720"/>
      </w:pPr>
      <w:rPr>
        <w:smallCaps w:val="0"/>
      </w:rPr>
    </w:lvl>
  </w:abstractNum>
  <w:abstractNum w:abstractNumId="10">
    <w:lvl w:ilvl="0">
      <w:start w:val="1"/>
      <w:numFmt w:val="decimal"/>
      <w:lvlText w:val="%1."/>
      <w:lvlJc w:val="left"/>
      <w:pPr>
        <w:ind w:left="720" w:hanging="720"/>
      </w:pPr>
      <w:rPr>
        <w:smallCaps w:val="0"/>
      </w:rPr>
    </w:lvl>
    <w:lvl w:ilvl="1">
      <w:start w:val="1"/>
      <w:numFmt w:val="decimal"/>
      <w:lvlText w:val="%1.%2"/>
      <w:lvlJc w:val="left"/>
      <w:pPr>
        <w:ind w:left="720" w:hanging="720"/>
      </w:pPr>
      <w:rPr>
        <w:rFonts w:ascii="Arial" w:cs="Arial" w:eastAsia="Arial" w:hAnsi="Arial"/>
        <w:b w:val="0"/>
        <w:bCs w:val="0"/>
        <w:smallCaps w:val="0"/>
      </w:rPr>
    </w:lvl>
    <w:lvl w:ilvl="2">
      <w:start w:val="1"/>
      <w:numFmt w:val="decimal"/>
      <w:lvlText w:val="%1.%2.%3"/>
      <w:lvlJc w:val="left"/>
      <w:pPr>
        <w:ind w:left="2214" w:hanging="1080"/>
      </w:pPr>
      <w:rPr>
        <w:smallCaps w:val="0"/>
      </w:rPr>
    </w:lvl>
    <w:lvl w:ilvl="3">
      <w:start w:val="1"/>
      <w:numFmt w:val="lowerLetter"/>
      <w:lvlText w:val="(%4)"/>
      <w:lvlJc w:val="left"/>
      <w:pPr>
        <w:ind w:left="2880" w:hanging="1080"/>
      </w:pPr>
      <w:rPr>
        <w:smallCaps w:val="0"/>
      </w:rPr>
    </w:lvl>
    <w:lvl w:ilvl="4">
      <w:start w:val="1"/>
      <w:numFmt w:val="lowerLetter"/>
      <w:lvlText w:val="(%5)"/>
      <w:lvlJc w:val="left"/>
      <w:pPr>
        <w:ind w:left="3600" w:hanging="720"/>
      </w:pPr>
      <w:rPr>
        <w:smallCaps w:val="0"/>
      </w:rPr>
    </w:lvl>
    <w:lvl w:ilvl="5">
      <w:start w:val="1"/>
      <w:numFmt w:val="lowerRoman"/>
      <w:lvlText w:val="(%6)"/>
      <w:lvlJc w:val="left"/>
      <w:pPr>
        <w:ind w:left="4320" w:hanging="720"/>
      </w:pPr>
      <w:rPr>
        <w:smallCaps w:val="0"/>
      </w:rPr>
    </w:lvl>
    <w:lvl w:ilvl="6">
      <w:start w:val="1"/>
      <w:numFmt w:val="decimal"/>
      <w:lvlText w:val="(%7)"/>
      <w:lvlJc w:val="left"/>
      <w:pPr>
        <w:ind w:left="5040" w:hanging="720"/>
      </w:pPr>
      <w:rPr>
        <w:smallCaps w:val="0"/>
      </w:rPr>
    </w:lvl>
    <w:lvl w:ilvl="7">
      <w:start w:val="1"/>
      <w:numFmt w:val="decimal"/>
      <w:lvlText w:val=""/>
      <w:lvlJc w:val="left"/>
      <w:pPr>
        <w:ind w:left="5040" w:hanging="720"/>
      </w:pPr>
      <w:rPr>
        <w:smallCaps w:val="0"/>
      </w:rPr>
    </w:lvl>
    <w:lvl w:ilvl="8">
      <w:start w:val="1"/>
      <w:numFmt w:val="decimal"/>
      <w:lvlText w:val=""/>
      <w:lvlJc w:val="left"/>
      <w:pPr>
        <w:ind w:left="5040" w:hanging="720"/>
      </w:pPr>
      <w:rPr>
        <w:smallCaps w:val="0"/>
      </w:rPr>
    </w:lvl>
  </w:abstractNum>
  <w:abstractNum w:abstractNumId="11">
    <w:lvl w:ilvl="0">
      <w:start w:val="6"/>
      <w:numFmt w:val="decimal"/>
      <w:lvlText w:val=""/>
      <w:lvlJc w:val="center"/>
      <w:pPr>
        <w:ind w:left="0" w:hanging="57"/>
      </w:pPr>
      <w:rPr/>
    </w:lvl>
    <w:lvl w:ilvl="1">
      <w:start w:val="12"/>
      <w:numFmt w:val="decimal"/>
      <w:lvlText w:val="%1%2"/>
      <w:lvlJc w:val="left"/>
      <w:pPr>
        <w:ind w:left="709" w:hanging="709"/>
      </w:pPr>
      <w:rPr>
        <w:b w:val="1"/>
        <w:bCs w:val="1"/>
      </w:rPr>
    </w:lvl>
    <w:lvl w:ilvl="2">
      <w:start w:val="1"/>
      <w:numFmt w:val="decimal"/>
      <w:lvlText w:val="%2.%3"/>
      <w:lvlJc w:val="left"/>
      <w:pPr>
        <w:ind w:left="709" w:hanging="709"/>
      </w:pPr>
      <w:rPr>
        <w:rFonts w:ascii="Calibri" w:cs="Calibri" w:eastAsia="Calibri" w:hAnsi="Calibri"/>
        <w:b w:val="0"/>
        <w:bCs w:val="0"/>
        <w:i w:val="0"/>
        <w:iCs w:val="0"/>
      </w:rPr>
    </w:lvl>
    <w:lvl w:ilvl="3">
      <w:start w:val="1"/>
      <w:numFmt w:val="lowerLetter"/>
      <w:lvlText w:val="(%4)"/>
      <w:lvlJc w:val="left"/>
      <w:pPr>
        <w:ind w:left="1418" w:hanging="709"/>
      </w:pPr>
      <w:rPr/>
    </w:lvl>
    <w:lvl w:ilvl="4">
      <w:start w:val="1"/>
      <w:numFmt w:val="lowerLetter"/>
      <w:lvlText w:val="(%5)"/>
      <w:lvlJc w:val="left"/>
      <w:pPr>
        <w:ind w:left="2126" w:hanging="708"/>
      </w:pPr>
      <w:rPr>
        <w:rFonts w:ascii="Trebuchet MS" w:cs="Trebuchet MS" w:eastAsia="Trebuchet MS" w:hAnsi="Trebuchet MS"/>
      </w:rPr>
    </w:lvl>
    <w:lvl w:ilvl="5">
      <w:start w:val="1"/>
      <w:numFmt w:val="bullet"/>
      <w:lvlText w:val="●"/>
      <w:lvlJc w:val="left"/>
      <w:pPr>
        <w:ind w:left="3543" w:hanging="708"/>
      </w:pPr>
      <w:rPr>
        <w:rFonts w:ascii="Noto Sans Symbols" w:cs="Noto Sans Symbols" w:eastAsia="Noto Sans Symbols" w:hAnsi="Noto Sans Symbols"/>
        <w:color w:val="000000"/>
      </w:rPr>
    </w:lvl>
    <w:lvl w:ilvl="6">
      <w:start w:val="1"/>
      <w:numFmt w:val="lowerLetter"/>
      <w:lvlText w:val="%7)"/>
      <w:lvlJc w:val="left"/>
      <w:pPr>
        <w:ind w:left="4252" w:hanging="709.0000000000005"/>
      </w:pPr>
      <w:rPr/>
    </w:lvl>
    <w:lvl w:ilvl="7">
      <w:start w:val="1"/>
      <w:numFmt w:val="lowerRoman"/>
      <w:lvlText w:val="%8)"/>
      <w:lvlJc w:val="left"/>
      <w:pPr>
        <w:ind w:left="4961" w:hanging="709"/>
      </w:pPr>
      <w:rPr/>
    </w:lvl>
    <w:lvl w:ilvl="8">
      <w:start w:val="1"/>
      <w:numFmt w:val="upperLetter"/>
      <w:lvlText w:val="%9)"/>
      <w:lvlJc w:val="left"/>
      <w:pPr>
        <w:ind w:left="5669" w:hanging="708"/>
      </w:pPr>
      <w:rPr/>
    </w:lvl>
  </w:abstractNum>
  <w:abstractNum w:abstractNumId="12">
    <w:lvl w:ilvl="0">
      <w:start w:val="1"/>
      <w:numFmt w:val="decimal"/>
      <w:lvlText w:val="%1."/>
      <w:lvlJc w:val="left"/>
      <w:pPr>
        <w:ind w:left="720" w:hanging="720"/>
      </w:pPr>
      <w:rPr>
        <w:smallCaps w:val="0"/>
      </w:rPr>
    </w:lvl>
    <w:lvl w:ilvl="1">
      <w:start w:val="1"/>
      <w:numFmt w:val="decimal"/>
      <w:lvlText w:val="%1.%2"/>
      <w:lvlJc w:val="left"/>
      <w:pPr>
        <w:ind w:left="720" w:hanging="720"/>
      </w:pPr>
      <w:rPr>
        <w:rFonts w:ascii="Arial" w:cs="Arial" w:eastAsia="Arial" w:hAnsi="Arial"/>
        <w:b w:val="0"/>
        <w:bCs w:val="0"/>
        <w:smallCaps w:val="0"/>
      </w:rPr>
    </w:lvl>
    <w:lvl w:ilvl="2">
      <w:start w:val="1"/>
      <w:numFmt w:val="decimal"/>
      <w:lvlText w:val="%1.%2.%3"/>
      <w:lvlJc w:val="left"/>
      <w:pPr>
        <w:ind w:left="2214" w:hanging="1080"/>
      </w:pPr>
      <w:rPr>
        <w:smallCaps w:val="0"/>
      </w:rPr>
    </w:lvl>
    <w:lvl w:ilvl="3">
      <w:start w:val="1"/>
      <w:numFmt w:val="lowerLetter"/>
      <w:lvlText w:val="(%4)"/>
      <w:lvlJc w:val="left"/>
      <w:pPr>
        <w:ind w:left="2880" w:hanging="1080"/>
      </w:pPr>
      <w:rPr>
        <w:smallCaps w:val="0"/>
      </w:rPr>
    </w:lvl>
    <w:lvl w:ilvl="4">
      <w:start w:val="1"/>
      <w:numFmt w:val="lowerLetter"/>
      <w:lvlText w:val="(%5)"/>
      <w:lvlJc w:val="left"/>
      <w:pPr>
        <w:ind w:left="3600" w:hanging="720"/>
      </w:pPr>
      <w:rPr>
        <w:smallCaps w:val="0"/>
      </w:rPr>
    </w:lvl>
    <w:lvl w:ilvl="5">
      <w:start w:val="1"/>
      <w:numFmt w:val="lowerRoman"/>
      <w:lvlText w:val="(%6)"/>
      <w:lvlJc w:val="left"/>
      <w:pPr>
        <w:ind w:left="4320" w:hanging="720"/>
      </w:pPr>
      <w:rPr>
        <w:smallCaps w:val="0"/>
      </w:rPr>
    </w:lvl>
    <w:lvl w:ilvl="6">
      <w:start w:val="1"/>
      <w:numFmt w:val="decimal"/>
      <w:lvlText w:val="(%7)"/>
      <w:lvlJc w:val="left"/>
      <w:pPr>
        <w:ind w:left="5040" w:hanging="720"/>
      </w:pPr>
      <w:rPr>
        <w:smallCaps w:val="0"/>
      </w:rPr>
    </w:lvl>
    <w:lvl w:ilvl="7">
      <w:start w:val="1"/>
      <w:numFmt w:val="decimal"/>
      <w:lvlText w:val=""/>
      <w:lvlJc w:val="left"/>
      <w:pPr>
        <w:ind w:left="5040" w:hanging="720"/>
      </w:pPr>
      <w:rPr>
        <w:smallCaps w:val="0"/>
      </w:rPr>
    </w:lvl>
    <w:lvl w:ilvl="8">
      <w:start w:val="1"/>
      <w:numFmt w:val="decimal"/>
      <w:lvlText w:val=""/>
      <w:lvlJc w:val="left"/>
      <w:pPr>
        <w:ind w:left="5040" w:hanging="720"/>
      </w:pPr>
      <w:rPr>
        <w:smallCaps w:val="0"/>
      </w:rPr>
    </w:lvl>
  </w:abstractNum>
  <w:abstractNum w:abstractNumId="13">
    <w:lvl w:ilvl="0">
      <w:start w:val="1"/>
      <w:numFmt w:val="decimal"/>
      <w:lvlText w:val="%1."/>
      <w:lvlJc w:val="left"/>
      <w:pPr>
        <w:ind w:left="720" w:hanging="720"/>
      </w:pPr>
      <w:rPr>
        <w:smallCaps w:val="0"/>
      </w:rPr>
    </w:lvl>
    <w:lvl w:ilvl="1">
      <w:start w:val="1"/>
      <w:numFmt w:val="decimal"/>
      <w:lvlText w:val="%1.%2"/>
      <w:lvlJc w:val="left"/>
      <w:pPr>
        <w:ind w:left="720" w:hanging="720"/>
      </w:pPr>
      <w:rPr>
        <w:rFonts w:ascii="Arial" w:cs="Arial" w:eastAsia="Arial" w:hAnsi="Arial"/>
        <w:b w:val="0"/>
        <w:bCs w:val="0"/>
        <w:smallCaps w:val="0"/>
      </w:rPr>
    </w:lvl>
    <w:lvl w:ilvl="2">
      <w:start w:val="1"/>
      <w:numFmt w:val="decimal"/>
      <w:lvlText w:val="%1.%2.%3"/>
      <w:lvlJc w:val="left"/>
      <w:pPr>
        <w:ind w:left="2214" w:hanging="1080"/>
      </w:pPr>
      <w:rPr>
        <w:smallCaps w:val="0"/>
      </w:rPr>
    </w:lvl>
    <w:lvl w:ilvl="3">
      <w:start w:val="1"/>
      <w:numFmt w:val="lowerLetter"/>
      <w:lvlText w:val="(%4)"/>
      <w:lvlJc w:val="left"/>
      <w:pPr>
        <w:ind w:left="2880" w:hanging="1080"/>
      </w:pPr>
      <w:rPr>
        <w:smallCaps w:val="0"/>
      </w:rPr>
    </w:lvl>
    <w:lvl w:ilvl="4">
      <w:start w:val="1"/>
      <w:numFmt w:val="lowerLetter"/>
      <w:lvlText w:val="(%5)"/>
      <w:lvlJc w:val="left"/>
      <w:pPr>
        <w:ind w:left="3600" w:hanging="720"/>
      </w:pPr>
      <w:rPr>
        <w:smallCaps w:val="0"/>
      </w:rPr>
    </w:lvl>
    <w:lvl w:ilvl="5">
      <w:start w:val="1"/>
      <w:numFmt w:val="lowerRoman"/>
      <w:lvlText w:val="(%6)"/>
      <w:lvlJc w:val="left"/>
      <w:pPr>
        <w:ind w:left="4320" w:hanging="720"/>
      </w:pPr>
      <w:rPr>
        <w:smallCaps w:val="0"/>
      </w:rPr>
    </w:lvl>
    <w:lvl w:ilvl="6">
      <w:start w:val="1"/>
      <w:numFmt w:val="decimal"/>
      <w:lvlText w:val="(%7)"/>
      <w:lvlJc w:val="left"/>
      <w:pPr>
        <w:ind w:left="5040" w:hanging="720"/>
      </w:pPr>
      <w:rPr>
        <w:smallCaps w:val="0"/>
      </w:rPr>
    </w:lvl>
    <w:lvl w:ilvl="7">
      <w:start w:val="1"/>
      <w:numFmt w:val="decimal"/>
      <w:lvlText w:val=""/>
      <w:lvlJc w:val="left"/>
      <w:pPr>
        <w:ind w:left="5040" w:hanging="720"/>
      </w:pPr>
      <w:rPr>
        <w:smallCaps w:val="0"/>
      </w:rPr>
    </w:lvl>
    <w:lvl w:ilvl="8">
      <w:start w:val="1"/>
      <w:numFmt w:val="decimal"/>
      <w:lvlText w:val=""/>
      <w:lvlJc w:val="left"/>
      <w:pPr>
        <w:ind w:left="5040" w:hanging="720"/>
      </w:pPr>
      <w:rPr>
        <w:smallCaps w:val="0"/>
      </w:rPr>
    </w:lvl>
  </w:abstractNum>
  <w:abstractNum w:abstractNumId="14">
    <w:lvl w:ilvl="0">
      <w:start w:val="3"/>
      <w:numFmt w:val="decimal"/>
      <w:lvlText w:val="%1"/>
      <w:lvlJc w:val="left"/>
      <w:pPr>
        <w:ind w:left="360" w:hanging="360"/>
      </w:pPr>
      <w:rPr>
        <w:color w:val="000000"/>
      </w:rPr>
    </w:lvl>
    <w:lvl w:ilvl="1">
      <w:start w:val="5"/>
      <w:numFmt w:val="decimal"/>
      <w:lvlText w:val="%1.%2"/>
      <w:lvlJc w:val="left"/>
      <w:pPr>
        <w:ind w:left="1267" w:hanging="360"/>
      </w:pPr>
      <w:rPr>
        <w:color w:val="000000"/>
      </w:rPr>
    </w:lvl>
    <w:lvl w:ilvl="2">
      <w:start w:val="1"/>
      <w:numFmt w:val="decimal"/>
      <w:lvlText w:val="%1.%2.%3"/>
      <w:lvlJc w:val="left"/>
      <w:pPr>
        <w:ind w:left="2534" w:hanging="720"/>
      </w:pPr>
      <w:rPr>
        <w:color w:val="000000"/>
      </w:rPr>
    </w:lvl>
    <w:lvl w:ilvl="3">
      <w:start w:val="1"/>
      <w:numFmt w:val="decimal"/>
      <w:lvlText w:val="%1.%2.%3.%4"/>
      <w:lvlJc w:val="left"/>
      <w:pPr>
        <w:ind w:left="3801" w:hanging="1080"/>
      </w:pPr>
      <w:rPr>
        <w:color w:val="000000"/>
      </w:rPr>
    </w:lvl>
    <w:lvl w:ilvl="4">
      <w:start w:val="1"/>
      <w:numFmt w:val="decimal"/>
      <w:lvlText w:val="%1.%2.%3.%4.%5"/>
      <w:lvlJc w:val="left"/>
      <w:pPr>
        <w:ind w:left="4708" w:hanging="1080"/>
      </w:pPr>
      <w:rPr>
        <w:color w:val="000000"/>
      </w:rPr>
    </w:lvl>
    <w:lvl w:ilvl="5">
      <w:start w:val="1"/>
      <w:numFmt w:val="decimal"/>
      <w:lvlText w:val="%1.%2.%3.%4.%5.%6"/>
      <w:lvlJc w:val="left"/>
      <w:pPr>
        <w:ind w:left="5975" w:hanging="1440"/>
      </w:pPr>
      <w:rPr>
        <w:color w:val="000000"/>
      </w:rPr>
    </w:lvl>
    <w:lvl w:ilvl="6">
      <w:start w:val="1"/>
      <w:numFmt w:val="decimal"/>
      <w:lvlText w:val="%1.%2.%3.%4.%5.%6.%7"/>
      <w:lvlJc w:val="left"/>
      <w:pPr>
        <w:ind w:left="6882" w:hanging="1440"/>
      </w:pPr>
      <w:rPr>
        <w:color w:val="000000"/>
      </w:rPr>
    </w:lvl>
    <w:lvl w:ilvl="7">
      <w:start w:val="1"/>
      <w:numFmt w:val="decimal"/>
      <w:lvlText w:val="%1.%2.%3.%4.%5.%6.%7.%8"/>
      <w:lvlJc w:val="left"/>
      <w:pPr>
        <w:ind w:left="8149" w:hanging="1800"/>
      </w:pPr>
      <w:rPr>
        <w:color w:val="000000"/>
      </w:rPr>
    </w:lvl>
    <w:lvl w:ilvl="8">
      <w:start w:val="1"/>
      <w:numFmt w:val="decimal"/>
      <w:lvlText w:val="%1.%2.%3.%4.%5.%6.%7.%8.%9"/>
      <w:lvlJc w:val="left"/>
      <w:pPr>
        <w:ind w:left="9056" w:hanging="1800"/>
      </w:pPr>
      <w:rPr>
        <w:color w:val="000000"/>
      </w:rPr>
    </w:lvl>
  </w:abstractNum>
  <w:abstractNum w:abstractNumId="15">
    <w:lvl w:ilvl="0">
      <w:start w:val="1"/>
      <w:numFmt w:val="decimal"/>
      <w:lvlText w:val="%1"/>
      <w:lvlJc w:val="left"/>
      <w:pPr>
        <w:ind w:left="720" w:hanging="720"/>
      </w:pPr>
      <w:rPr/>
    </w:lvl>
    <w:lvl w:ilvl="1">
      <w:start w:val="1"/>
      <w:numFmt w:val="decimal"/>
      <w:lvlText w:val="%1.%2"/>
      <w:lvlJc w:val="left"/>
      <w:pPr>
        <w:ind w:left="720" w:hanging="720"/>
      </w:pPr>
      <w:rPr/>
    </w:lvl>
    <w:lvl w:ilvl="2">
      <w:start w:val="1"/>
      <w:numFmt w:val="decimal"/>
      <w:lvlText w:val="%1.%2.%3"/>
      <w:lvlJc w:val="left"/>
      <w:pPr>
        <w:ind w:left="1803" w:hanging="1083"/>
      </w:pPr>
      <w:rPr/>
    </w:lvl>
    <w:lvl w:ilvl="3">
      <w:start w:val="1"/>
      <w:numFmt w:val="lowerLetter"/>
      <w:lvlText w:val="(%4)"/>
      <w:lvlJc w:val="left"/>
      <w:pPr>
        <w:ind w:left="1803" w:hanging="1083"/>
      </w:pPr>
      <w:rPr/>
    </w:lvl>
    <w:lvl w:ilvl="4">
      <w:start w:val="1"/>
      <w:numFmt w:val="lowerRoman"/>
      <w:lvlText w:val="(%5)"/>
      <w:lvlJc w:val="left"/>
      <w:pPr>
        <w:ind w:left="2523" w:hanging="720"/>
      </w:pPr>
      <w:rPr/>
    </w:lvl>
    <w:lvl w:ilvl="5">
      <w:start w:val="1"/>
      <w:numFmt w:val="upperLetter"/>
      <w:lvlText w:val="(%6)"/>
      <w:lvlJc w:val="left"/>
      <w:pPr>
        <w:ind w:left="3243" w:hanging="720"/>
      </w:pPr>
      <w:rPr/>
    </w:lvl>
    <w:lvl w:ilvl="6">
      <w:start w:val="1"/>
      <w:numFmt w:val="decimal"/>
      <w:lvlText w:val=""/>
      <w:lvlJc w:val="left"/>
      <w:pPr>
        <w:ind w:left="2523" w:hanging="720"/>
      </w:pPr>
      <w:rPr/>
    </w:lvl>
    <w:lvl w:ilvl="7">
      <w:start w:val="1"/>
      <w:numFmt w:val="decimal"/>
      <w:lvlText w:val=""/>
      <w:lvlJc w:val="left"/>
      <w:pPr>
        <w:ind w:left="2523" w:hanging="720"/>
      </w:pPr>
      <w:rPr/>
    </w:lvl>
    <w:lvl w:ilvl="8">
      <w:start w:val="1"/>
      <w:numFmt w:val="decimal"/>
      <w:lvlText w:val=""/>
      <w:lvlJc w:val="left"/>
      <w:pPr>
        <w:ind w:left="2523" w:hanging="720"/>
      </w:pPr>
      <w:rPr/>
    </w:lvl>
  </w:abstractNum>
  <w:abstractNum w:abstractNumId="16">
    <w:lvl w:ilvl="0">
      <w:start w:val="1"/>
      <w:numFmt w:val="decimal"/>
      <w:lvlText w:val=""/>
      <w:lvlJc w:val="center"/>
      <w:pPr>
        <w:ind w:left="0" w:hanging="57"/>
      </w:pPr>
      <w:rPr/>
    </w:lvl>
    <w:lvl w:ilvl="1">
      <w:start w:val="1"/>
      <w:numFmt w:val="decimal"/>
      <w:lvlText w:val="%1%2"/>
      <w:lvlJc w:val="left"/>
      <w:pPr>
        <w:ind w:left="709" w:hanging="709"/>
      </w:pPr>
      <w:rPr>
        <w:b w:val="1"/>
        <w:bCs w:val="1"/>
      </w:rPr>
    </w:lvl>
    <w:lvl w:ilvl="2">
      <w:start w:val="1"/>
      <w:numFmt w:val="decimal"/>
      <w:lvlText w:val="%2.%3"/>
      <w:lvlJc w:val="left"/>
      <w:pPr>
        <w:ind w:left="709" w:hanging="709"/>
      </w:pPr>
      <w:rPr>
        <w:rFonts w:ascii="Calibri" w:cs="Calibri" w:eastAsia="Calibri" w:hAnsi="Calibri"/>
        <w:b w:val="0"/>
        <w:bCs w:val="0"/>
        <w:i w:val="0"/>
        <w:iCs w:val="0"/>
      </w:rPr>
    </w:lvl>
    <w:lvl w:ilvl="3">
      <w:start w:val="1"/>
      <w:numFmt w:val="lowerLetter"/>
      <w:lvlText w:val="(%4)"/>
      <w:lvlJc w:val="left"/>
      <w:pPr>
        <w:ind w:left="1418" w:hanging="709"/>
      </w:pPr>
      <w:rPr/>
    </w:lvl>
    <w:lvl w:ilvl="4">
      <w:start w:val="1"/>
      <w:numFmt w:val="lowerLetter"/>
      <w:lvlText w:val="(%5)"/>
      <w:lvlJc w:val="left"/>
      <w:pPr>
        <w:ind w:left="2126" w:hanging="708"/>
      </w:pPr>
      <w:rPr>
        <w:rFonts w:ascii="Arial" w:cs="Arial" w:eastAsia="Arial" w:hAnsi="Arial"/>
      </w:rPr>
    </w:lvl>
    <w:lvl w:ilvl="5">
      <w:start w:val="1"/>
      <w:numFmt w:val="bullet"/>
      <w:lvlText w:val="●"/>
      <w:lvlJc w:val="left"/>
      <w:pPr>
        <w:ind w:left="3543" w:hanging="708"/>
      </w:pPr>
      <w:rPr>
        <w:rFonts w:ascii="Noto Sans Symbols" w:cs="Noto Sans Symbols" w:eastAsia="Noto Sans Symbols" w:hAnsi="Noto Sans Symbols"/>
        <w:color w:val="000000"/>
      </w:rPr>
    </w:lvl>
    <w:lvl w:ilvl="6">
      <w:start w:val="1"/>
      <w:numFmt w:val="lowerLetter"/>
      <w:lvlText w:val="%7)"/>
      <w:lvlJc w:val="left"/>
      <w:pPr>
        <w:ind w:left="4252" w:hanging="709.0000000000005"/>
      </w:pPr>
      <w:rPr/>
    </w:lvl>
    <w:lvl w:ilvl="7">
      <w:start w:val="1"/>
      <w:numFmt w:val="lowerRoman"/>
      <w:lvlText w:val="%8)"/>
      <w:lvlJc w:val="left"/>
      <w:pPr>
        <w:ind w:left="4961" w:hanging="709"/>
      </w:pPr>
      <w:rPr/>
    </w:lvl>
    <w:lvl w:ilvl="8">
      <w:start w:val="1"/>
      <w:numFmt w:val="upperLetter"/>
      <w:lvlText w:val="%9)"/>
      <w:lvlJc w:val="left"/>
      <w:pPr>
        <w:ind w:left="5669" w:hanging="708"/>
      </w:pPr>
      <w:rPr/>
    </w:lvl>
  </w:abstractNum>
  <w:abstractNum w:abstractNumId="17">
    <w:lvl w:ilvl="0">
      <w:start w:val="1"/>
      <w:numFmt w:val="decimal"/>
      <w:lvlText w:val=""/>
      <w:lvlJc w:val="center"/>
      <w:pPr>
        <w:ind w:left="0" w:hanging="57"/>
      </w:pPr>
      <w:rPr/>
    </w:lvl>
    <w:lvl w:ilvl="1">
      <w:start w:val="1"/>
      <w:numFmt w:val="decimal"/>
      <w:lvlText w:val="%1%2"/>
      <w:lvlJc w:val="left"/>
      <w:pPr>
        <w:ind w:left="709" w:hanging="709"/>
      </w:pPr>
      <w:rPr>
        <w:b w:val="1"/>
        <w:bCs w:val="1"/>
      </w:rPr>
    </w:lvl>
    <w:lvl w:ilvl="2">
      <w:start w:val="1"/>
      <w:numFmt w:val="decimal"/>
      <w:lvlText w:val="%2.%3"/>
      <w:lvlJc w:val="left"/>
      <w:pPr>
        <w:ind w:left="709" w:hanging="709"/>
      </w:pPr>
      <w:rPr>
        <w:rFonts w:ascii="Calibri" w:cs="Calibri" w:eastAsia="Calibri" w:hAnsi="Calibri"/>
        <w:b w:val="0"/>
        <w:bCs w:val="0"/>
        <w:i w:val="0"/>
        <w:iCs w:val="0"/>
      </w:rPr>
    </w:lvl>
    <w:lvl w:ilvl="3">
      <w:start w:val="1"/>
      <w:numFmt w:val="lowerLetter"/>
      <w:lvlText w:val="(%4)"/>
      <w:lvlJc w:val="left"/>
      <w:pPr>
        <w:ind w:left="1418" w:hanging="709"/>
      </w:pPr>
      <w:rPr/>
    </w:lvl>
    <w:lvl w:ilvl="4">
      <w:start w:val="1"/>
      <w:numFmt w:val="lowerLetter"/>
      <w:lvlText w:val="(%5)"/>
      <w:lvlJc w:val="left"/>
      <w:pPr>
        <w:ind w:left="2126" w:hanging="708"/>
      </w:pPr>
      <w:rPr>
        <w:rFonts w:ascii="Arial" w:cs="Arial" w:eastAsia="Arial" w:hAnsi="Arial"/>
      </w:rPr>
    </w:lvl>
    <w:lvl w:ilvl="5">
      <w:start w:val="1"/>
      <w:numFmt w:val="bullet"/>
      <w:lvlText w:val="●"/>
      <w:lvlJc w:val="left"/>
      <w:pPr>
        <w:ind w:left="3543" w:hanging="708"/>
      </w:pPr>
      <w:rPr>
        <w:rFonts w:ascii="Noto Sans Symbols" w:cs="Noto Sans Symbols" w:eastAsia="Noto Sans Symbols" w:hAnsi="Noto Sans Symbols"/>
        <w:color w:val="000000"/>
      </w:rPr>
    </w:lvl>
    <w:lvl w:ilvl="6">
      <w:start w:val="1"/>
      <w:numFmt w:val="lowerLetter"/>
      <w:lvlText w:val="%7)"/>
      <w:lvlJc w:val="left"/>
      <w:pPr>
        <w:ind w:left="4252" w:hanging="709.0000000000005"/>
      </w:pPr>
      <w:rPr/>
    </w:lvl>
    <w:lvl w:ilvl="7">
      <w:start w:val="1"/>
      <w:numFmt w:val="lowerRoman"/>
      <w:lvlText w:val="%8)"/>
      <w:lvlJc w:val="left"/>
      <w:pPr>
        <w:ind w:left="4961" w:hanging="709"/>
      </w:pPr>
      <w:rPr/>
    </w:lvl>
    <w:lvl w:ilvl="8">
      <w:start w:val="1"/>
      <w:numFmt w:val="upperLetter"/>
      <w:lvlText w:val="%9)"/>
      <w:lvlJc w:val="left"/>
      <w:pPr>
        <w:ind w:left="5669" w:hanging="708"/>
      </w:pPr>
      <w:rPr/>
    </w:lvl>
  </w:abstractNum>
  <w:abstractNum w:abstractNumId="18">
    <w:lvl w:ilvl="0">
      <w:start w:val="1"/>
      <w:numFmt w:val="lowerLetter"/>
      <w:lvlText w:val="(%1)"/>
      <w:lvlJc w:val="left"/>
      <w:pPr>
        <w:ind w:left="1587" w:hanging="793.0000000000003"/>
      </w:pPr>
      <w:rPr/>
    </w:lvl>
    <w:lvl w:ilvl="1">
      <w:start w:val="1"/>
      <w:numFmt w:val="lowerRoman"/>
      <w:lvlText w:val="(%2)"/>
      <w:lvlJc w:val="left"/>
      <w:pPr>
        <w:ind w:left="2381" w:hanging="794"/>
      </w:pPr>
      <w:rPr/>
    </w:lvl>
    <w:lvl w:ilvl="2">
      <w:start w:val="1"/>
      <w:numFmt w:val="decimal"/>
      <w:lvlText w:val=""/>
      <w:lvlJc w:val="left"/>
      <w:pPr>
        <w:ind w:left="2381" w:hanging="794"/>
      </w:pPr>
      <w:rPr/>
    </w:lvl>
    <w:lvl w:ilvl="3">
      <w:start w:val="1"/>
      <w:numFmt w:val="decimal"/>
      <w:lvlText w:val=""/>
      <w:lvlJc w:val="left"/>
      <w:pPr>
        <w:ind w:left="2381" w:hanging="794"/>
      </w:pPr>
      <w:rPr/>
    </w:lvl>
    <w:lvl w:ilvl="4">
      <w:start w:val="1"/>
      <w:numFmt w:val="decimal"/>
      <w:lvlText w:val=""/>
      <w:lvlJc w:val="left"/>
      <w:pPr>
        <w:ind w:left="2381" w:hanging="794"/>
      </w:pPr>
      <w:rPr/>
    </w:lvl>
    <w:lvl w:ilvl="5">
      <w:start w:val="1"/>
      <w:numFmt w:val="decimal"/>
      <w:lvlText w:val=""/>
      <w:lvlJc w:val="left"/>
      <w:pPr>
        <w:ind w:left="2381" w:hanging="794"/>
      </w:pPr>
      <w:rPr/>
    </w:lvl>
    <w:lvl w:ilvl="6">
      <w:start w:val="1"/>
      <w:numFmt w:val="decimal"/>
      <w:lvlText w:val=""/>
      <w:lvlJc w:val="left"/>
      <w:pPr>
        <w:ind w:left="2381" w:hanging="794"/>
      </w:pPr>
      <w:rPr/>
    </w:lvl>
    <w:lvl w:ilvl="7">
      <w:start w:val="1"/>
      <w:numFmt w:val="decimal"/>
      <w:lvlText w:val=""/>
      <w:lvlJc w:val="left"/>
      <w:pPr>
        <w:ind w:left="2381" w:hanging="794"/>
      </w:pPr>
      <w:rPr/>
    </w:lvl>
    <w:lvl w:ilvl="8">
      <w:start w:val="1"/>
      <w:numFmt w:val="decimal"/>
      <w:lvlText w:val=""/>
      <w:lvlJc w:val="left"/>
      <w:pPr>
        <w:ind w:left="2381" w:hanging="794"/>
      </w:pPr>
      <w:rPr/>
    </w:lvl>
  </w:abstractNum>
  <w:abstractNum w:abstractNumId="19">
    <w:lvl w:ilvl="0">
      <w:start w:val="1"/>
      <w:numFmt w:val="lowerLetter"/>
      <w:lvlText w:val="(%1)"/>
      <w:lvlJc w:val="left"/>
      <w:pPr>
        <w:ind w:left="1587" w:hanging="793.0000000000003"/>
      </w:pPr>
      <w:rPr/>
    </w:lvl>
    <w:lvl w:ilvl="1">
      <w:start w:val="1"/>
      <w:numFmt w:val="lowerRoman"/>
      <w:lvlText w:val="(%2)"/>
      <w:lvlJc w:val="left"/>
      <w:pPr>
        <w:ind w:left="2381" w:hanging="794"/>
      </w:pPr>
      <w:rPr/>
    </w:lvl>
    <w:lvl w:ilvl="2">
      <w:start w:val="1"/>
      <w:numFmt w:val="decimal"/>
      <w:lvlText w:val=""/>
      <w:lvlJc w:val="left"/>
      <w:pPr>
        <w:ind w:left="2381" w:hanging="794"/>
      </w:pPr>
      <w:rPr/>
    </w:lvl>
    <w:lvl w:ilvl="3">
      <w:start w:val="1"/>
      <w:numFmt w:val="decimal"/>
      <w:lvlText w:val=""/>
      <w:lvlJc w:val="left"/>
      <w:pPr>
        <w:ind w:left="2381" w:hanging="794"/>
      </w:pPr>
      <w:rPr/>
    </w:lvl>
    <w:lvl w:ilvl="4">
      <w:start w:val="1"/>
      <w:numFmt w:val="decimal"/>
      <w:lvlText w:val=""/>
      <w:lvlJc w:val="left"/>
      <w:pPr>
        <w:ind w:left="2381" w:hanging="794"/>
      </w:pPr>
      <w:rPr/>
    </w:lvl>
    <w:lvl w:ilvl="5">
      <w:start w:val="1"/>
      <w:numFmt w:val="decimal"/>
      <w:lvlText w:val=""/>
      <w:lvlJc w:val="left"/>
      <w:pPr>
        <w:ind w:left="2381" w:hanging="794"/>
      </w:pPr>
      <w:rPr/>
    </w:lvl>
    <w:lvl w:ilvl="6">
      <w:start w:val="1"/>
      <w:numFmt w:val="decimal"/>
      <w:lvlText w:val=""/>
      <w:lvlJc w:val="left"/>
      <w:pPr>
        <w:ind w:left="2381" w:hanging="794"/>
      </w:pPr>
      <w:rPr/>
    </w:lvl>
    <w:lvl w:ilvl="7">
      <w:start w:val="1"/>
      <w:numFmt w:val="decimal"/>
      <w:lvlText w:val=""/>
      <w:lvlJc w:val="left"/>
      <w:pPr>
        <w:ind w:left="2381" w:hanging="794"/>
      </w:pPr>
      <w:rPr/>
    </w:lvl>
    <w:lvl w:ilvl="8">
      <w:start w:val="1"/>
      <w:numFmt w:val="decimal"/>
      <w:lvlText w:val=""/>
      <w:lvlJc w:val="left"/>
      <w:pPr>
        <w:ind w:left="2381" w:hanging="794"/>
      </w:pPr>
      <w:rPr/>
    </w:lvl>
  </w:abstractNum>
  <w:abstractNum w:abstractNumId="20">
    <w:lvl w:ilvl="0">
      <w:start w:val="1"/>
      <w:numFmt w:val="decimal"/>
      <w:lvlText w:val="%1."/>
      <w:lvlJc w:val="left"/>
      <w:pPr>
        <w:ind w:left="720" w:hanging="720"/>
      </w:pPr>
      <w:rPr>
        <w:smallCaps w:val="0"/>
      </w:rPr>
    </w:lvl>
    <w:lvl w:ilvl="1">
      <w:start w:val="1"/>
      <w:numFmt w:val="decimal"/>
      <w:lvlText w:val="%1.%2"/>
      <w:lvlJc w:val="left"/>
      <w:pPr>
        <w:ind w:left="720" w:hanging="720"/>
      </w:pPr>
      <w:rPr>
        <w:rFonts w:ascii="Arial" w:cs="Arial" w:eastAsia="Arial" w:hAnsi="Arial"/>
        <w:b w:val="0"/>
        <w:bCs w:val="0"/>
        <w:smallCaps w:val="0"/>
      </w:rPr>
    </w:lvl>
    <w:lvl w:ilvl="2">
      <w:start w:val="1"/>
      <w:numFmt w:val="decimal"/>
      <w:lvlText w:val="%1.%2.%3"/>
      <w:lvlJc w:val="left"/>
      <w:pPr>
        <w:ind w:left="2214" w:hanging="1080"/>
      </w:pPr>
      <w:rPr>
        <w:smallCaps w:val="0"/>
      </w:rPr>
    </w:lvl>
    <w:lvl w:ilvl="3">
      <w:start w:val="1"/>
      <w:numFmt w:val="lowerLetter"/>
      <w:lvlText w:val="(%4)"/>
      <w:lvlJc w:val="left"/>
      <w:pPr>
        <w:ind w:left="2880" w:hanging="1080"/>
      </w:pPr>
      <w:rPr>
        <w:smallCaps w:val="0"/>
      </w:rPr>
    </w:lvl>
    <w:lvl w:ilvl="4">
      <w:start w:val="1"/>
      <w:numFmt w:val="lowerLetter"/>
      <w:lvlText w:val="(%5)"/>
      <w:lvlJc w:val="left"/>
      <w:pPr>
        <w:ind w:left="3600" w:hanging="720"/>
      </w:pPr>
      <w:rPr>
        <w:smallCaps w:val="0"/>
      </w:rPr>
    </w:lvl>
    <w:lvl w:ilvl="5">
      <w:start w:val="1"/>
      <w:numFmt w:val="lowerRoman"/>
      <w:lvlText w:val="(%6)"/>
      <w:lvlJc w:val="left"/>
      <w:pPr>
        <w:ind w:left="4320" w:hanging="720"/>
      </w:pPr>
      <w:rPr>
        <w:smallCaps w:val="0"/>
      </w:rPr>
    </w:lvl>
    <w:lvl w:ilvl="6">
      <w:start w:val="1"/>
      <w:numFmt w:val="decimal"/>
      <w:lvlText w:val="(%7)"/>
      <w:lvlJc w:val="left"/>
      <w:pPr>
        <w:ind w:left="5040" w:hanging="720"/>
      </w:pPr>
      <w:rPr>
        <w:smallCaps w:val="0"/>
      </w:rPr>
    </w:lvl>
    <w:lvl w:ilvl="7">
      <w:start w:val="1"/>
      <w:numFmt w:val="decimal"/>
      <w:lvlText w:val=""/>
      <w:lvlJc w:val="left"/>
      <w:pPr>
        <w:ind w:left="5040" w:hanging="720"/>
      </w:pPr>
      <w:rPr>
        <w:smallCaps w:val="0"/>
      </w:rPr>
    </w:lvl>
    <w:lvl w:ilvl="8">
      <w:start w:val="1"/>
      <w:numFmt w:val="decimal"/>
      <w:lvlText w:val=""/>
      <w:lvlJc w:val="left"/>
      <w:pPr>
        <w:ind w:left="5040" w:hanging="720"/>
      </w:pPr>
      <w:rPr>
        <w:smallCaps w:val="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pPr>
    <w:rPr>
      <w:rFonts w:ascii="Trebuchet MS" w:cs="Trebuchet MS" w:eastAsia="Trebuchet MS" w:hAnsi="Trebuchet MS"/>
      <w:b w:val="1"/>
      <w:bCs w:val="1"/>
      <w:i w:val="0"/>
      <w:iCs w:val="0"/>
      <w:smallCaps w:val="1"/>
      <w:strike w:val="0"/>
      <w:color w:val="000000"/>
      <w:sz w:val="24"/>
      <w:szCs w:val="24"/>
      <w:u w:val="none"/>
      <w:shd w:fill="auto" w:val="clear"/>
      <w:vertAlign w:val="baseline"/>
    </w:rPr>
  </w:style>
  <w:style w:type="paragraph" w:styleId="Heading2">
    <w:name w:val="heading 2"/>
    <w:basedOn w:val="Normal"/>
    <w:next w:val="Normal"/>
    <w:pPr>
      <w:keepNext w:val="1"/>
      <w:keepLines w:val="1"/>
    </w:pPr>
    <w:rPr>
      <w:rFonts w:ascii="Trebuchet MS" w:cs="Trebuchet MS" w:eastAsia="Trebuchet MS" w:hAnsi="Trebuchet MS"/>
      <w:b w:val="1"/>
      <w:bCs w:val="1"/>
    </w:rPr>
  </w:style>
  <w:style w:type="paragraph" w:styleId="Heading3">
    <w:name w:val="heading 3"/>
    <w:basedOn w:val="Normal"/>
    <w:next w:val="Normal"/>
    <w:pPr>
      <w:keepLines w:val="1"/>
    </w:pPr>
    <w:rPr>
      <w:rFonts w:ascii="Trebuchet MS" w:cs="Trebuchet MS" w:eastAsia="Trebuchet MS" w:hAnsi="Trebuchet MS"/>
    </w:rPr>
  </w:style>
  <w:style w:type="paragraph" w:styleId="Heading4">
    <w:name w:val="heading 4"/>
    <w:basedOn w:val="Normal"/>
    <w:next w:val="Normal"/>
    <w:pPr>
      <w:keepLines w:val="1"/>
    </w:pPr>
    <w:rPr>
      <w:rFonts w:ascii="Trebuchet MS" w:cs="Trebuchet MS" w:eastAsia="Trebuchet MS" w:hAnsi="Trebuchet MS"/>
    </w:rPr>
  </w:style>
  <w:style w:type="paragraph" w:styleId="Heading5">
    <w:name w:val="heading 5"/>
    <w:basedOn w:val="Normal"/>
    <w:next w:val="Normal"/>
    <w:pPr>
      <w:keepLines w:val="1"/>
    </w:pPr>
    <w:rPr>
      <w:rFonts w:ascii="Trebuchet MS" w:cs="Trebuchet MS" w:eastAsia="Trebuchet MS" w:hAnsi="Trebuchet MS"/>
    </w:rPr>
  </w:style>
  <w:style w:type="paragraph" w:styleId="Heading6">
    <w:name w:val="heading 6"/>
    <w:basedOn w:val="Normal"/>
    <w:next w:val="Normal"/>
    <w:pPr>
      <w:keepLines w:val="0"/>
      <w:spacing w:line="360" w:lineRule="auto"/>
    </w:pPr>
    <w:rPr>
      <w:rFonts w:ascii="Times New Roman" w:cs="Times New Roman" w:eastAsia="Times New Roman" w:hAnsi="Times New Roman"/>
    </w:rPr>
  </w:style>
  <w:style w:type="paragraph" w:styleId="Title">
    <w:name w:val="Title"/>
    <w:basedOn w:val="Normal"/>
    <w:next w:val="Normal"/>
    <w:pPr>
      <w:spacing w:after="60" w:before="240" w:line="36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aliases w:val="3AP,Heading 7(unused),Legal Level 1.1.,L2 PIP,Lev 7,H7DO NOT USE,PA Appendix Major,Blank 3,Heading 7 (Do Not Use),Appendix Major"/>
    <w:basedOn w:val="Normal"/>
    <w:next w:val="Normal"/>
    <w:link w:val="Heading7Char"/>
    <w:qFormat w:val="1"/>
    <w:pPr>
      <w:numPr>
        <w:ilvl w:val="1"/>
        <w:numId w:val="1"/>
      </w:numPr>
      <w:outlineLvl w:val="6"/>
    </w:pPr>
    <w:rPr>
      <w:rFonts w:ascii="Trebuchet MS" w:eastAsia="Trebuchet MS" w:hAnsi="Trebuchet MS"/>
    </w:rPr>
  </w:style>
  <w:style w:type="paragraph" w:styleId="Heading8">
    <w:name w:val="heading 8"/>
    <w:aliases w:val="4AP,Legal Level 1.1.1.,Lev 8,h8 DO NOT USE,PA Appendix Minor,Blank 4,h8,Heading 8 (Do Not Use),Appendix Minor"/>
    <w:basedOn w:val="Normal"/>
    <w:next w:val="Normal"/>
    <w:link w:val="Heading8Char"/>
    <w:qFormat w:val="1"/>
    <w:pPr>
      <w:numPr>
        <w:ilvl w:val="2"/>
        <w:numId w:val="1"/>
      </w:numPr>
      <w:outlineLvl w:val="7"/>
    </w:pPr>
    <w:rPr>
      <w:rFonts w:ascii="Trebuchet MS" w:eastAsia="Trebuchet MS" w:hAnsi="Trebuchet MS"/>
    </w:rPr>
  </w:style>
  <w:style w:type="paragraph" w:styleId="Heading9">
    <w:name w:val="heading 9"/>
    <w:aliases w:val="5AP,Heading 9 (defunct),Legal Level 1.1.1.1.,Lev 9,h9 DO NOT USE,App Heading,Titre 10,App1,Blank 5,appendix,h9,Heading 9 (Do Not Use)"/>
    <w:basedOn w:val="Normal"/>
    <w:next w:val="Normal"/>
    <w:link w:val="Heading9Char"/>
    <w:qFormat w:val="1"/>
    <w:pPr>
      <w:numPr>
        <w:ilvl w:val="3"/>
        <w:numId w:val="1"/>
      </w:numPr>
      <w:outlineLvl w:val="8"/>
    </w:pPr>
    <w:rPr>
      <w:rFonts w:ascii="Trebuchet MS" w:eastAsia="Trebuchet MS" w:hAnsi="Trebuchet M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aliases w:val="h1 Char,A MAJOR/BOLD Char,Schedheading Char,Heading 1(Report Only) Char,h1 chapter heading Char,Section Heading Char,H1 Char,Attribute Heading 1 Char,Roman 14 B Heading Char,Roman 14 B Heading1 Char,Roman 14 B Heading2 Char,1st level Char"/>
    <w:link w:val="Heading1"/>
    <w:uiPriority w:val="9"/>
    <w:rPr>
      <w:rFonts w:ascii="Trebuchet MS" w:eastAsia="Times New Roman" w:hAnsi="Trebuchet MS"/>
      <w:b w:val="1"/>
      <w:caps w:val="1"/>
      <w:sz w:val="22"/>
      <w:szCs w:val="22"/>
      <w:lang w:eastAsia="en-US"/>
    </w:rPr>
  </w:style>
  <w:style w:type="character" w:styleId="Heading2Char" w:customStyle="1">
    <w:name w:val="Heading 2 Char"/>
    <w:aliases w:val="KJL:1st Level Char,Heading Two Char,h2 Char,(1.1 Char,1.2 Char,1.3 etc) Char,Prophead 2 Char,2 Char,RFP Heading 2 Char,Activity Char,l2 Char,H2 Char,PARA2 Char,h 3 Char,Numbered - 2 Char,Reset numbering Char,S Heading Char,Major Char"/>
    <w:link w:val="Heading2"/>
    <w:uiPriority w:val="9"/>
    <w:rPr>
      <w:rFonts w:ascii="Trebuchet MS" w:cs="Arial" w:eastAsia="HGGothicM" w:hAnsi="Trebuchet MS"/>
      <w:b w:val="1"/>
      <w:bCs w:val="0"/>
      <w:sz w:val="22"/>
      <w:szCs w:val="22"/>
      <w:lang w:eastAsia="en-US"/>
    </w:rPr>
  </w:style>
  <w:style w:type="character" w:styleId="Heading3Char" w:customStyle="1">
    <w:name w:val="Heading 3 Char"/>
    <w:aliases w:val="H3 Char,Prophead 3 Char,h3 Char,HHHeading Char,Heading 31 Char,Heading 32 Char,Heading 33 Char,Heading 34 Char,Heading 35 Char,Heading 36 Char,H31 Char,H32 Char,H33 Char,H34 Char,H35 Char,H36 Char,3 Char,Numbered - 3 Char,HeadC Char"/>
    <w:link w:val="Heading3"/>
    <w:uiPriority w:val="9"/>
    <w:rPr>
      <w:rFonts w:ascii="Trebuchet MS" w:cs="Arial" w:eastAsia="HGGothicM" w:hAnsi="Trebuchet MS"/>
      <w:bCs w:val="0"/>
      <w:sz w:val="22"/>
      <w:szCs w:val="22"/>
      <w:lang w:eastAsia="en-US"/>
    </w:rPr>
  </w:style>
  <w:style w:type="character" w:styleId="Heading4Char" w:customStyle="1">
    <w:name w:val="Heading 4 Char"/>
    <w:aliases w:val="Sub-Minor Char,Project table Char,Propos Char,Bullet 1 Char,Level 2 - a Char,Bullet 11 Char,Bullet 12 Char,Bullet 13 Char,Bullet 14 Char,Bullet 15 Char,Bullet 16 Char,h4 Char,n Char,h4 sub sub heading Char,D Sub-Sub/Plain Char,H4 Char"/>
    <w:link w:val="Heading4"/>
    <w:uiPriority w:val="39"/>
    <w:rPr>
      <w:rFonts w:ascii="Trebuchet MS" w:cs="Arial" w:eastAsia="HGGothicM" w:hAnsi="Trebuchet MS"/>
      <w:bCs w:val="0"/>
      <w:sz w:val="22"/>
      <w:szCs w:val="22"/>
      <w:lang w:eastAsia="en-US"/>
    </w:rPr>
  </w:style>
  <w:style w:type="character" w:styleId="Heading5Char" w:customStyle="1">
    <w:name w:val="Heading 5 Char"/>
    <w:aliases w:val="Level 3 - i Char,Heading Char,Heading 5(unused) Char,Level 3 - (i) Char,Third Level Heading Char,h5 Char,Response Type Char,Response Type1 Char,Response Type2 Char,Response Type3 Char,Response Type4 Char,Response Type5 Char,H5 Char"/>
    <w:link w:val="Heading5"/>
    <w:rPr>
      <w:rFonts w:ascii="Trebuchet MS" w:cs="Arial" w:eastAsia="HGGothicM" w:hAnsi="Trebuchet MS"/>
      <w:bCs w:val="0"/>
      <w:sz w:val="22"/>
      <w:szCs w:val="22"/>
      <w:lang w:eastAsia="en-US"/>
    </w:rPr>
  </w:style>
  <w:style w:type="character" w:styleId="Heading7Char" w:customStyle="1">
    <w:name w:val="Heading 7 Char"/>
    <w:aliases w:val="3AP Char,Heading 7(unused) Char,Legal Level 1.1. Char,L2 PIP Char,Lev 7 Char,H7DO NOT USE Char,PA Appendix Major Char,Blank 3 Char,Heading 7 (Do Not Use) Char,Appendix Major Char"/>
    <w:link w:val="Heading7"/>
    <w:rPr>
      <w:rFonts w:ascii="Trebuchet MS" w:cs="Arial" w:eastAsia="Trebuchet MS" w:hAnsi="Trebuchet MS"/>
      <w:sz w:val="22"/>
      <w:szCs w:val="22"/>
      <w:lang w:eastAsia="en-US"/>
    </w:rPr>
  </w:style>
  <w:style w:type="character" w:styleId="Heading8Char" w:customStyle="1">
    <w:name w:val="Heading 8 Char"/>
    <w:aliases w:val="4AP Char,Legal Level 1.1.1. Char,Lev 8 Char,h8 DO NOT USE Char,PA Appendix Minor Char,Blank 4 Char,h8 Char,Heading 8 (Do Not Use) Char,Appendix Minor Char"/>
    <w:link w:val="Heading8"/>
    <w:rPr>
      <w:rFonts w:ascii="Trebuchet MS" w:cs="Arial" w:eastAsia="Trebuchet MS" w:hAnsi="Trebuchet MS"/>
      <w:sz w:val="22"/>
      <w:szCs w:val="22"/>
      <w:lang w:eastAsia="en-US"/>
    </w:rPr>
  </w:style>
  <w:style w:type="character" w:styleId="Heading9Char" w:customStyle="1">
    <w:name w:val="Heading 9 Char"/>
    <w:aliases w:val="5AP Char,Heading 9 (defunct) Char,Legal Level 1.1.1.1. Char,Lev 9 Char,h9 DO NOT USE Char,App Heading Char,Titre 10 Char,App1 Char,Blank 5 Char,appendix Char,h9 Char,Heading 9 (Do Not Use) Char"/>
    <w:link w:val="Heading9"/>
    <w:rPr>
      <w:rFonts w:ascii="Trebuchet MS" w:cs="Arial" w:eastAsia="Trebuchet MS" w:hAnsi="Trebuchet MS"/>
      <w:sz w:val="22"/>
      <w:szCs w:val="22"/>
      <w:lang w:eastAsia="en-US"/>
    </w:rPr>
  </w:style>
  <w:style w:type="paragraph" w:styleId="MarginText" w:customStyle="1">
    <w:name w:val="Margin Text"/>
    <w:basedOn w:val="BodyText"/>
    <w:link w:val="MarginTextChar"/>
    <w:pPr>
      <w:spacing w:after="240"/>
      <w:ind w:left="709"/>
    </w:pPr>
    <w:rPr>
      <w:rFonts w:ascii="Trebuchet MS" w:eastAsia="Trebuchet MS" w:hAnsi="Trebuchet MS"/>
    </w:rPr>
  </w:style>
  <w:style w:type="character" w:styleId="MarginTextChar" w:customStyle="1">
    <w:name w:val="Margin Text Char"/>
    <w:link w:val="MarginText"/>
    <w:rPr>
      <w:rFonts w:ascii="Trebuchet MS" w:eastAsia="Trebuchet MS" w:hAnsi="Trebuchet MS"/>
      <w:sz w:val="22"/>
      <w:szCs w:val="22"/>
      <w:lang w:eastAsia="en-US"/>
    </w:rPr>
  </w:style>
  <w:style w:type="paragraph" w:styleId="Footer">
    <w:name w:val="footer"/>
    <w:basedOn w:val="Normal"/>
    <w:link w:val="FooterChar"/>
    <w:uiPriority w:val="99"/>
    <w:unhideWhenUsed w:val="1"/>
    <w:pPr>
      <w:tabs>
        <w:tab w:val="center" w:pos="4513"/>
        <w:tab w:val="right" w:pos="9026"/>
      </w:tabs>
      <w:spacing w:after="0"/>
    </w:pPr>
  </w:style>
  <w:style w:type="character" w:styleId="FooterChar" w:customStyle="1">
    <w:name w:val="Footer Char"/>
    <w:link w:val="Footer"/>
    <w:uiPriority w:val="99"/>
    <w:rPr>
      <w:rFonts w:cs="Arial" w:eastAsia="Times New Roman"/>
      <w:sz w:val="22"/>
      <w:szCs w:val="22"/>
      <w:lang w:eastAsia="en-US"/>
    </w:rPr>
  </w:style>
  <w:style w:type="paragraph" w:styleId="BodyTextIndent">
    <w:name w:val="Body Text Indent"/>
    <w:basedOn w:val="Normal"/>
    <w:link w:val="BodyTextIndentChar"/>
    <w:pPr>
      <w:ind w:left="720"/>
    </w:pPr>
    <w:rPr>
      <w:rFonts w:ascii="Trebuchet MS" w:eastAsia="Trebuchet MS" w:hAnsi="Trebuchet MS"/>
    </w:rPr>
  </w:style>
  <w:style w:type="character" w:styleId="BodyTextIndentChar" w:customStyle="1">
    <w:name w:val="Body Text Indent Char"/>
    <w:link w:val="BodyTextIndent"/>
    <w:rPr>
      <w:rFonts w:ascii="Trebuchet MS" w:eastAsia="Trebuchet MS" w:hAnsi="Trebuchet MS"/>
      <w:sz w:val="22"/>
      <w:szCs w:val="22"/>
      <w:lang w:eastAsia="en-US"/>
    </w:rPr>
  </w:style>
  <w:style w:type="paragraph" w:styleId="BodyTextIndent2">
    <w:name w:val="Body Text Indent 2"/>
    <w:basedOn w:val="Normal"/>
    <w:link w:val="BodyTextIndent2Char"/>
    <w:pPr>
      <w:ind w:left="1440"/>
    </w:pPr>
    <w:rPr>
      <w:rFonts w:ascii="Trebuchet MS" w:eastAsia="Trebuchet MS" w:hAnsi="Trebuchet MS"/>
    </w:rPr>
  </w:style>
  <w:style w:type="character" w:styleId="BodyTextIndent2Char" w:customStyle="1">
    <w:name w:val="Body Text Indent 2 Char"/>
    <w:link w:val="BodyTextIndent2"/>
    <w:rPr>
      <w:rFonts w:ascii="Trebuchet MS" w:eastAsia="Trebuchet MS" w:hAnsi="Trebuchet MS"/>
      <w:sz w:val="22"/>
      <w:szCs w:val="22"/>
      <w:lang w:eastAsia="en-US"/>
    </w:rPr>
  </w:style>
  <w:style w:type="character" w:styleId="PageNumber">
    <w:name w:val="page number"/>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link w:val="Header"/>
    <w:uiPriority w:val="99"/>
    <w:rPr>
      <w:rFonts w:cs="Arial" w:eastAsia="Times New Roman"/>
      <w:sz w:val="22"/>
      <w:szCs w:val="22"/>
      <w:lang w:eastAsia="en-US"/>
    </w:rPr>
  </w:style>
  <w:style w:type="paragraph" w:styleId="SchHeadDes" w:customStyle="1">
    <w:name w:val="SchHeadDes"/>
    <w:basedOn w:val="Normal"/>
    <w:next w:val="Normal"/>
    <w:pPr>
      <w:keepNext w:val="1"/>
      <w:spacing w:after="120" w:before="120"/>
      <w:jc w:val="center"/>
    </w:pPr>
    <w:rPr>
      <w:rFonts w:ascii="Trebuchet MS" w:hAnsi="Trebuchet MS"/>
      <w:b w:val="1"/>
    </w:rPr>
  </w:style>
  <w:style w:type="paragraph" w:styleId="Guidancenoteparagraphtext" w:customStyle="1">
    <w:name w:val="Guidance note paragraph text"/>
    <w:basedOn w:val="MarginText"/>
    <w:link w:val="GuidancenoteparagraphtextChar"/>
    <w:qFormat w:val="1"/>
    <w:rPr>
      <w:rFonts w:ascii="Arial" w:eastAsia="STZhongsong" w:hAnsi="Arial"/>
      <w:b w:val="1"/>
      <w:i w:val="1"/>
      <w:color w:val="000000"/>
      <w:sz w:val="20"/>
      <w:lang w:eastAsia="zh-CN"/>
    </w:rPr>
  </w:style>
  <w:style w:type="character" w:styleId="GuidancenoteparagraphtextChar" w:customStyle="1">
    <w:name w:val="Guidance note paragraph text Char"/>
    <w:link w:val="Guidancenoteparagraphtext"/>
    <w:rPr>
      <w:rFonts w:ascii="Arial" w:eastAsia="STZhongsong" w:hAnsi="Arial"/>
      <w:b w:val="1"/>
      <w:i w:val="1"/>
      <w:color w:val="000000"/>
      <w:szCs w:val="24"/>
      <w:lang w:eastAsia="zh-CN"/>
    </w:rPr>
  </w:style>
  <w:style w:type="paragraph" w:styleId="PartDes" w:customStyle="1">
    <w:name w:val="PartDes"/>
    <w:basedOn w:val="Normal"/>
    <w:qFormat w:val="1"/>
    <w:pPr>
      <w:spacing w:after="120" w:before="120"/>
      <w:jc w:val="center"/>
    </w:pPr>
    <w:rPr>
      <w:rFonts w:ascii="Trebuchet MS" w:cs="Times New Roman" w:eastAsia="Trebuchet MS" w:hAnsi="Trebuchet MS"/>
      <w:b w:val="1"/>
      <w:bCs w:val="0"/>
    </w:rPr>
  </w:style>
  <w:style w:type="paragraph" w:styleId="TableNormal1" w:customStyle="1">
    <w:name w:val="Table Normal1"/>
    <w:basedOn w:val="Normal"/>
    <w:pPr>
      <w:spacing w:after="120" w:before="120"/>
      <w:ind w:left="34"/>
    </w:pPr>
    <w:rPr>
      <w:rFonts w:ascii="Trebuchet MS" w:cs="Times New Roman" w:eastAsia="Trebuchet MS" w:hAnsi="Trebuchet MS"/>
    </w:rPr>
  </w:style>
  <w:style w:type="paragraph" w:styleId="BodyText">
    <w:name w:val="Body Text"/>
    <w:basedOn w:val="Normal"/>
    <w:link w:val="BodyTextChar"/>
    <w:uiPriority w:val="99"/>
    <w:unhideWhenUsed w:val="1"/>
    <w:pPr>
      <w:spacing w:after="120"/>
    </w:pPr>
  </w:style>
  <w:style w:type="character" w:styleId="BodyTextChar" w:customStyle="1">
    <w:name w:val="Body Text Char"/>
    <w:link w:val="BodyText"/>
    <w:uiPriority w:val="99"/>
    <w:rPr>
      <w:sz w:val="22"/>
      <w:szCs w:val="22"/>
      <w:lang w:eastAsia="en-US"/>
    </w:rPr>
  </w:style>
  <w:style w:type="paragraph" w:styleId="FootnoteText">
    <w:name w:val="footnote text"/>
    <w:basedOn w:val="Normal"/>
    <w:link w:val="FootnoteTextChar"/>
    <w:uiPriority w:val="99"/>
    <w:unhideWhenUsed w:val="1"/>
    <w:rPr>
      <w:sz w:val="20"/>
      <w:szCs w:val="20"/>
    </w:rPr>
  </w:style>
  <w:style w:type="character" w:styleId="FootnoteTextChar" w:customStyle="1">
    <w:name w:val="Footnote Text Char"/>
    <w:link w:val="FootnoteText"/>
    <w:uiPriority w:val="99"/>
    <w:rPr>
      <w:lang w:eastAsia="en-US"/>
    </w:rPr>
  </w:style>
  <w:style w:type="character" w:styleId="FootnoteReference">
    <w:name w:val="footnote reference"/>
    <w:uiPriority w:val="99"/>
    <w:unhideWhenUsed w:val="1"/>
    <w:rPr>
      <w:vertAlign w:val="superscript"/>
    </w:r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character" w:styleId="BalloonTextChar" w:customStyle="1">
    <w:name w:val="Balloon Text Char"/>
    <w:link w:val="BalloonText"/>
    <w:uiPriority w:val="99"/>
    <w:semiHidden w:val="1"/>
    <w:rPr>
      <w:rFonts w:ascii="Tahoma" w:cs="Tahoma" w:eastAsia="Times New Roman" w:hAnsi="Tahoma"/>
      <w:sz w:val="16"/>
      <w:szCs w:val="16"/>
      <w:lang w:eastAsia="en-US"/>
    </w:rPr>
  </w:style>
  <w:style w:type="character" w:styleId="CommentReference">
    <w:name w:val="annotation reference"/>
    <w:uiPriority w:val="99"/>
    <w:unhideWhenUsed w:val="1"/>
    <w:rPr>
      <w:sz w:val="16"/>
      <w:szCs w:val="16"/>
    </w:rPr>
  </w:style>
  <w:style w:type="paragraph" w:styleId="CommentText">
    <w:name w:val="annotation text"/>
    <w:basedOn w:val="Normal"/>
    <w:link w:val="CommentTextChar"/>
    <w:uiPriority w:val="99"/>
    <w:unhideWhenUsed w:val="1"/>
    <w:rPr>
      <w:sz w:val="20"/>
      <w:szCs w:val="20"/>
    </w:rPr>
  </w:style>
  <w:style w:type="character" w:styleId="CommentTextChar" w:customStyle="1">
    <w:name w:val="Comment Text Char"/>
    <w:link w:val="CommentText"/>
    <w:uiPriority w:val="99"/>
    <w:rPr>
      <w:rFonts w:cs="Arial" w:eastAsia="Times New Roman"/>
      <w:lang w:eastAsia="en-US"/>
    </w:rPr>
  </w:style>
  <w:style w:type="paragraph" w:styleId="CommentSubject">
    <w:name w:val="annotation subject"/>
    <w:basedOn w:val="CommentText"/>
    <w:next w:val="CommentText"/>
    <w:link w:val="CommentSubjectChar"/>
    <w:uiPriority w:val="99"/>
    <w:unhideWhenUsed w:val="1"/>
    <w:rPr>
      <w:b w:val="1"/>
      <w:bCs w:val="0"/>
    </w:rPr>
  </w:style>
  <w:style w:type="character" w:styleId="CommentSubjectChar" w:customStyle="1">
    <w:name w:val="Comment Subject Char"/>
    <w:link w:val="CommentSubject"/>
    <w:uiPriority w:val="99"/>
    <w:rPr>
      <w:rFonts w:cs="Arial" w:eastAsia="Times New Roman"/>
      <w:b w:val="1"/>
      <w:bCs w:val="0"/>
      <w:lang w:eastAsia="en-US"/>
    </w:rPr>
  </w:style>
  <w:style w:type="character" w:styleId="Heading6Char" w:customStyle="1">
    <w:name w:val="Heading 6 Char"/>
    <w:aliases w:val="Heading 6(unused) Char,Legal Level 1. Char,L1 PIP Char,Heading 6  Appendix Y &amp; Z Char,Lev 6 Char,H6 DO NOT USE Char,Bullet list Char,PA Appendix Char,H6 Char,H61 Char,PR14 Char,bullet2 Char,Blank 2 Char,h6 Char,H62 Char,H63 Char,H64 Char"/>
    <w:link w:val="Heading6"/>
    <w:rPr>
      <w:rFonts w:ascii="Times New Roman" w:eastAsia="Times New Roman" w:hAnsi="Times New Roman"/>
      <w:sz w:val="22"/>
      <w:lang w:eastAsia="en-US"/>
    </w:rPr>
  </w:style>
  <w:style w:type="paragraph" w:styleId="BodyTextIndent3">
    <w:name w:val="Body Text Indent 3"/>
    <w:basedOn w:val="Normal"/>
    <w:link w:val="BodyTextIndent3Char"/>
    <w:pPr>
      <w:spacing w:line="360" w:lineRule="auto"/>
      <w:ind w:left="2160"/>
    </w:pPr>
    <w:rPr>
      <w:rFonts w:ascii="Times New Roman" w:hAnsi="Times New Roman"/>
      <w:szCs w:val="20"/>
    </w:rPr>
  </w:style>
  <w:style w:type="character" w:styleId="BodyTextIndent3Char" w:customStyle="1">
    <w:name w:val="Body Text Indent 3 Char"/>
    <w:link w:val="BodyTextIndent3"/>
    <w:rPr>
      <w:rFonts w:ascii="Times New Roman" w:eastAsia="Times New Roman" w:hAnsi="Times New Roman"/>
      <w:sz w:val="22"/>
      <w:lang w:eastAsia="en-US"/>
    </w:rPr>
  </w:style>
  <w:style w:type="paragraph" w:styleId="BodyTextIndent4" w:customStyle="1">
    <w:name w:val="Body Text Indent 4"/>
    <w:basedOn w:val="Normal"/>
    <w:pPr>
      <w:spacing w:line="360" w:lineRule="auto"/>
      <w:ind w:left="2880"/>
    </w:pPr>
    <w:rPr>
      <w:rFonts w:ascii="Times New Roman" w:hAnsi="Times New Roman"/>
      <w:szCs w:val="20"/>
    </w:rPr>
  </w:style>
  <w:style w:type="paragraph" w:styleId="BodyTextIndent5" w:customStyle="1">
    <w:name w:val="Body Text Indent 5"/>
    <w:basedOn w:val="Normal"/>
    <w:pPr>
      <w:spacing w:line="360" w:lineRule="auto"/>
      <w:ind w:left="3600"/>
    </w:pPr>
    <w:rPr>
      <w:rFonts w:ascii="Times New Roman" w:hAnsi="Times New Roman"/>
      <w:szCs w:val="20"/>
    </w:rPr>
  </w:style>
  <w:style w:type="paragraph" w:styleId="BodyTextIndent6" w:customStyle="1">
    <w:name w:val="Body Text Indent 6"/>
    <w:basedOn w:val="BodyTextIndent5"/>
    <w:pPr>
      <w:ind w:left="4320"/>
    </w:pPr>
  </w:style>
  <w:style w:type="paragraph" w:styleId="BodyTextIndent7" w:customStyle="1">
    <w:name w:val="Body Text Indent 7"/>
    <w:basedOn w:val="BodyTextIndent6"/>
  </w:style>
  <w:style w:type="paragraph" w:styleId="SchHead" w:customStyle="1">
    <w:name w:val="SchHead"/>
    <w:basedOn w:val="MarginText"/>
    <w:next w:val="SchHeadDes"/>
    <w:pPr>
      <w:spacing w:line="360" w:lineRule="auto"/>
      <w:ind w:left="0"/>
      <w:jc w:val="center"/>
    </w:pPr>
    <w:rPr>
      <w:rFonts w:ascii="Times New Roman" w:eastAsia="Times New Roman" w:hAnsi="Times New Roman"/>
      <w:b w:val="1"/>
      <w:caps w:val="1"/>
      <w:szCs w:val="20"/>
    </w:rPr>
  </w:style>
  <w:style w:type="paragraph" w:styleId="ListBullet">
    <w:name w:val="List Bullet"/>
    <w:basedOn w:val="Normal"/>
    <w:pPr>
      <w:numPr>
        <w:numId w:val="3"/>
      </w:numPr>
      <w:spacing w:line="360" w:lineRule="auto"/>
    </w:pPr>
    <w:rPr>
      <w:rFonts w:ascii="Times New Roman" w:hAnsi="Times New Roman"/>
      <w:szCs w:val="20"/>
    </w:rPr>
  </w:style>
  <w:style w:type="paragraph" w:styleId="TOAHeading">
    <w:name w:val="toa heading"/>
    <w:basedOn w:val="Normal"/>
    <w:next w:val="Normal"/>
    <w:semiHidden w:val="1"/>
    <w:pPr>
      <w:spacing w:before="120" w:line="360" w:lineRule="auto"/>
    </w:pPr>
    <w:rPr>
      <w:rFonts w:ascii="Times New Roman" w:hAnsi="Times New Roman"/>
      <w:b w:val="1"/>
      <w:szCs w:val="20"/>
    </w:rPr>
  </w:style>
  <w:style w:type="character" w:styleId="TitleChar" w:customStyle="1">
    <w:name w:val="Title Char"/>
    <w:link w:val="Title"/>
    <w:rPr>
      <w:rFonts w:ascii="Arial" w:eastAsia="Times New Roman" w:hAnsi="Arial"/>
      <w:b w:val="1"/>
      <w:kern w:val="28"/>
      <w:sz w:val="32"/>
      <w:lang w:eastAsia="en-US"/>
    </w:rPr>
  </w:style>
  <w:style w:type="paragraph" w:styleId="ListBullet2">
    <w:name w:val="List Bullet 2"/>
    <w:basedOn w:val="Normal"/>
    <w:pPr>
      <w:numPr>
        <w:numId w:val="4"/>
      </w:numPr>
      <w:spacing w:line="360" w:lineRule="auto"/>
    </w:pPr>
    <w:rPr>
      <w:rFonts w:ascii="Times New Roman" w:hAnsi="Times New Roman"/>
      <w:szCs w:val="20"/>
    </w:rPr>
  </w:style>
  <w:style w:type="paragraph" w:styleId="BBLegal2" w:customStyle="1">
    <w:name w:val="B&amp;B Legal 2"/>
    <w:basedOn w:val="Normal"/>
    <w:uiPriority w:val="99"/>
    <w:pPr>
      <w:widowControl w:val="0"/>
      <w:spacing w:after="0"/>
      <w:ind w:left="1440" w:hanging="720"/>
      <w:outlineLvl w:val="1"/>
    </w:pPr>
    <w:rPr>
      <w:rFonts w:ascii="Times New Roman" w:hAnsi="Times New Roman"/>
      <w:snapToGrid w:val="0"/>
      <w:szCs w:val="20"/>
      <w:lang w:val="en-US"/>
    </w:rPr>
  </w:style>
  <w:style w:type="paragraph" w:styleId="msolistparagraph0" w:customStyle="1">
    <w:name w:val="msolistparagraph"/>
    <w:basedOn w:val="Normal"/>
    <w:pPr>
      <w:spacing w:after="0"/>
      <w:ind w:left="720"/>
    </w:pPr>
  </w:style>
  <w:style w:type="character" w:styleId="Hyperlink">
    <w:name w:val="Hyperlink"/>
    <w:rPr>
      <w:color w:val="0000ff"/>
      <w:u w:val="single"/>
    </w:rPr>
  </w:style>
  <w:style w:type="paragraph" w:styleId="TOC1">
    <w:name w:val="toc 1"/>
    <w:basedOn w:val="Normal"/>
    <w:next w:val="Normal"/>
    <w:autoRedefine w:val="1"/>
    <w:pPr>
      <w:spacing w:line="360" w:lineRule="auto"/>
    </w:pPr>
    <w:rPr>
      <w:rFonts w:ascii="Times New Roman" w:hAnsi="Times New Roman"/>
      <w:szCs w:val="20"/>
    </w:rPr>
  </w:style>
  <w:style w:type="paragraph" w:styleId="TOC2">
    <w:name w:val="toc 2"/>
    <w:basedOn w:val="Normal"/>
    <w:next w:val="Normal"/>
    <w:autoRedefine w:val="1"/>
    <w:pPr>
      <w:spacing w:line="360" w:lineRule="auto"/>
      <w:ind w:left="220"/>
    </w:pPr>
    <w:rPr>
      <w:rFonts w:ascii="Times New Roman" w:hAnsi="Times New Roman"/>
      <w:szCs w:val="20"/>
    </w:rPr>
  </w:style>
  <w:style w:type="paragraph" w:styleId="TOC3">
    <w:name w:val="toc 3"/>
    <w:basedOn w:val="Normal"/>
    <w:next w:val="Normal"/>
    <w:autoRedefine w:val="1"/>
    <w:pPr>
      <w:spacing w:line="360" w:lineRule="auto"/>
      <w:ind w:left="440"/>
    </w:pPr>
    <w:rPr>
      <w:rFonts w:ascii="Times New Roman" w:hAnsi="Times New Roman"/>
      <w:szCs w:val="20"/>
    </w:rPr>
  </w:style>
  <w:style w:type="paragraph" w:styleId="TOC4">
    <w:name w:val="toc 4"/>
    <w:basedOn w:val="Normal"/>
    <w:next w:val="Normal"/>
    <w:autoRedefine w:val="1"/>
    <w:pPr>
      <w:spacing w:line="360" w:lineRule="auto"/>
      <w:ind w:left="660"/>
    </w:pPr>
    <w:rPr>
      <w:rFonts w:ascii="Times New Roman" w:hAnsi="Times New Roman"/>
      <w:szCs w:val="20"/>
    </w:rPr>
  </w:style>
  <w:style w:type="paragraph" w:styleId="TOC5">
    <w:name w:val="toc 5"/>
    <w:basedOn w:val="Normal"/>
    <w:next w:val="Normal"/>
    <w:autoRedefine w:val="1"/>
    <w:pPr>
      <w:spacing w:line="360" w:lineRule="auto"/>
      <w:ind w:left="880"/>
    </w:pPr>
    <w:rPr>
      <w:rFonts w:ascii="Times New Roman" w:hAnsi="Times New Roman"/>
      <w:szCs w:val="20"/>
    </w:rPr>
  </w:style>
  <w:style w:type="paragraph" w:styleId="TOC6">
    <w:name w:val="toc 6"/>
    <w:basedOn w:val="Normal"/>
    <w:next w:val="Normal"/>
    <w:autoRedefine w:val="1"/>
    <w:uiPriority w:val="39"/>
    <w:pPr>
      <w:spacing w:line="360" w:lineRule="auto"/>
      <w:ind w:left="1100"/>
    </w:pPr>
    <w:rPr>
      <w:rFonts w:ascii="Times New Roman" w:hAnsi="Times New Roman"/>
      <w:szCs w:val="20"/>
    </w:rPr>
  </w:style>
  <w:style w:type="paragraph" w:styleId="TOC7">
    <w:name w:val="toc 7"/>
    <w:basedOn w:val="Normal"/>
    <w:next w:val="Normal"/>
    <w:autoRedefine w:val="1"/>
    <w:pPr>
      <w:spacing w:line="360" w:lineRule="auto"/>
      <w:ind w:left="1320"/>
    </w:pPr>
    <w:rPr>
      <w:rFonts w:ascii="Times New Roman" w:hAnsi="Times New Roman"/>
      <w:szCs w:val="20"/>
    </w:rPr>
  </w:style>
  <w:style w:type="paragraph" w:styleId="TOC8">
    <w:name w:val="toc 8"/>
    <w:basedOn w:val="Normal"/>
    <w:next w:val="Normal"/>
    <w:autoRedefine w:val="1"/>
    <w:pPr>
      <w:spacing w:line="360" w:lineRule="auto"/>
      <w:ind w:left="1540"/>
    </w:pPr>
    <w:rPr>
      <w:rFonts w:ascii="Times New Roman" w:hAnsi="Times New Roman"/>
      <w:szCs w:val="20"/>
    </w:rPr>
  </w:style>
  <w:style w:type="paragraph" w:styleId="TOC9">
    <w:name w:val="toc 9"/>
    <w:basedOn w:val="Normal"/>
    <w:next w:val="Normal"/>
    <w:autoRedefine w:val="1"/>
    <w:pPr>
      <w:spacing w:line="360" w:lineRule="auto"/>
      <w:ind w:left="1760"/>
    </w:pPr>
    <w:rPr>
      <w:rFonts w:ascii="Times New Roman" w:hAnsi="Times New Roman"/>
      <w:szCs w:val="20"/>
    </w:rPr>
  </w:style>
  <w:style w:type="character" w:styleId="FollowedHyperlink">
    <w:name w:val="FollowedHyperlink"/>
    <w:rPr>
      <w:color w:val="800080"/>
      <w:u w:val="single"/>
    </w:rPr>
  </w:style>
  <w:style w:type="paragraph" w:styleId="BlockText">
    <w:name w:val="Block Text"/>
    <w:basedOn w:val="Normal"/>
    <w:pPr>
      <w:widowControl w:val="0"/>
      <w:tabs>
        <w:tab w:val="left" w:pos="5760"/>
        <w:tab w:val="left" w:pos="6480"/>
        <w:tab w:val="center" w:pos="7200"/>
      </w:tabs>
      <w:suppressAutoHyphens w:val="1"/>
      <w:spacing w:after="0"/>
      <w:ind w:left="5040" w:right="-334"/>
    </w:pPr>
    <w:rPr>
      <w:rFonts w:ascii="Times New Roman" w:hAnsi="Times New Roman"/>
      <w:b w:val="1"/>
      <w:spacing w:val="-3"/>
      <w:szCs w:val="20"/>
    </w:rPr>
  </w:style>
  <w:style w:type="paragraph" w:styleId="BulletDash" w:customStyle="1">
    <w:name w:val="Bullet Dash"/>
    <w:basedOn w:val="Normal"/>
    <w:pPr>
      <w:spacing w:after="288"/>
      <w:ind w:left="720" w:hanging="720"/>
    </w:pPr>
    <w:rPr>
      <w:rFonts w:ascii="Times New Roman" w:hAnsi="Times New Roman"/>
    </w:rPr>
  </w:style>
  <w:style w:type="paragraph" w:styleId="DocumentMap">
    <w:name w:val="Document Map"/>
    <w:basedOn w:val="Normal"/>
    <w:link w:val="DocumentMapChar"/>
    <w:pPr>
      <w:shd w:color="auto" w:fill="000080" w:val="clear"/>
      <w:spacing w:line="360" w:lineRule="auto"/>
    </w:pPr>
    <w:rPr>
      <w:rFonts w:ascii="Tahoma" w:cs="Tahoma" w:hAnsi="Tahoma"/>
      <w:sz w:val="20"/>
      <w:szCs w:val="20"/>
    </w:rPr>
  </w:style>
  <w:style w:type="character" w:styleId="DocumentMapChar" w:customStyle="1">
    <w:name w:val="Document Map Char"/>
    <w:link w:val="DocumentMap"/>
    <w:rPr>
      <w:rFonts w:ascii="Tahoma" w:cs="Tahoma" w:eastAsia="Times New Roman" w:hAnsi="Tahoma"/>
      <w:shd w:color="auto" w:fill="000080" w:val="clear"/>
      <w:lang w:eastAsia="en-US"/>
    </w:rPr>
  </w:style>
  <w:style w:type="paragraph" w:styleId="blueheading" w:customStyle="1">
    <w:name w:val="blueheading"/>
    <w:basedOn w:val="Normal"/>
    <w:pPr>
      <w:spacing w:after="100" w:afterAutospacing="1" w:before="100" w:beforeAutospacing="1"/>
    </w:pPr>
    <w:rPr>
      <w:rFonts w:ascii="Times New Roman" w:hAnsi="Times New Roman"/>
    </w:rPr>
  </w:style>
  <w:style w:type="paragraph" w:styleId="Default" w:customStyle="1">
    <w:name w:val="Default"/>
    <w:uiPriority w:val="99"/>
    <w:pPr>
      <w:autoSpaceDE w:val="0"/>
      <w:autoSpaceDN w:val="0"/>
      <w:adjustRightInd w:val="0"/>
    </w:pPr>
    <w:rPr>
      <w:rFonts w:ascii="Times New Roman" w:eastAsia="Times New Roman" w:hAnsi="Times New Roman"/>
      <w:color w:val="000000"/>
      <w:lang w:eastAsia="en-US" w:val="en-US"/>
    </w:rPr>
  </w:style>
  <w:style w:type="paragraph" w:styleId="EndnoteText">
    <w:name w:val="endnote text"/>
    <w:basedOn w:val="Normal"/>
    <w:link w:val="EndnoteTextChar"/>
    <w:pPr>
      <w:widowControl w:val="0"/>
      <w:spacing w:after="0"/>
    </w:pPr>
    <w:rPr>
      <w:rFonts w:ascii="Courier" w:hAnsi="Courier"/>
      <w:szCs w:val="20"/>
    </w:rPr>
  </w:style>
  <w:style w:type="character" w:styleId="EndnoteTextChar" w:customStyle="1">
    <w:name w:val="Endnote Text Char"/>
    <w:link w:val="EndnoteText"/>
    <w:rPr>
      <w:rFonts w:ascii="Courier" w:eastAsia="Times New Roman" w:hAnsi="Courier"/>
      <w:sz w:val="24"/>
      <w:lang w:eastAsia="en-US"/>
    </w:rPr>
  </w:style>
  <w:style w:type="character" w:styleId="EndnoteReference">
    <w:name w:val="endnote reference"/>
    <w:rPr>
      <w:vertAlign w:val="superscript"/>
    </w:rPr>
  </w:style>
  <w:style w:type="table" w:styleId="TableGrid">
    <w:name w:val="Table Grid"/>
    <w:basedOn w:val="TableNormal"/>
    <w:uiPriority w:val="59"/>
    <w:rPr>
      <w:color w:val="000000"/>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ullet" w:customStyle="1">
    <w:name w:val="bullet"/>
    <w:basedOn w:val="Normal"/>
    <w:pPr>
      <w:tabs>
        <w:tab w:val="num" w:pos="360"/>
      </w:tabs>
      <w:spacing w:after="0" w:before="120"/>
      <w:ind w:left="360" w:hanging="360"/>
    </w:pPr>
    <w:rPr>
      <w:rFonts w:ascii="Times New Roman" w:hAnsi="Times New Roman"/>
      <w:snapToGrid w:val="0"/>
      <w:szCs w:val="20"/>
    </w:rPr>
  </w:style>
  <w:style w:type="paragraph" w:styleId="text1" w:customStyle="1">
    <w:name w:val="text 1"/>
    <w:basedOn w:val="Normal"/>
    <w:pPr>
      <w:spacing w:after="0" w:before="320" w:line="320" w:lineRule="atLeast"/>
      <w:ind w:left="720"/>
    </w:pPr>
    <w:rPr>
      <w:szCs w:val="20"/>
    </w:rPr>
  </w:style>
  <w:style w:type="paragraph" w:styleId="text0" w:customStyle="1">
    <w:name w:val="text 0"/>
    <w:basedOn w:val="Normal"/>
    <w:link w:val="text0Char"/>
    <w:uiPriority w:val="99"/>
    <w:pPr>
      <w:spacing w:after="0" w:before="320" w:line="320" w:lineRule="atLeast"/>
    </w:pPr>
    <w:rPr>
      <w:szCs w:val="20"/>
    </w:rPr>
  </w:style>
  <w:style w:type="character" w:styleId="text0Char" w:customStyle="1">
    <w:name w:val="text 0 Char"/>
    <w:link w:val="text0"/>
    <w:uiPriority w:val="99"/>
    <w:locked w:val="1"/>
    <w:rPr>
      <w:rFonts w:ascii="Arial" w:eastAsia="Times New Roman" w:hAnsi="Arial"/>
      <w:sz w:val="22"/>
      <w:lang w:eastAsia="en-US"/>
    </w:rPr>
  </w:style>
  <w:style w:type="paragraph" w:styleId="NtocHeading1" w:customStyle="1">
    <w:name w:val="NtocHeading 1"/>
    <w:basedOn w:val="Normal"/>
    <w:next w:val="text0"/>
    <w:pPr>
      <w:widowControl w:val="0"/>
      <w:spacing w:after="0" w:before="320" w:line="320" w:lineRule="atLeast"/>
    </w:pPr>
    <w:rPr>
      <w:b w:val="1"/>
      <w:szCs w:val="20"/>
    </w:rPr>
  </w:style>
  <w:style w:type="paragraph" w:styleId="ScheduleHeading1" w:customStyle="1">
    <w:name w:val="Schedule Heading 1"/>
    <w:next w:val="ScheduleNumber1"/>
    <w:pPr>
      <w:widowControl w:val="0"/>
      <w:spacing w:before="320" w:line="320" w:lineRule="atLeast"/>
    </w:pPr>
    <w:rPr>
      <w:rFonts w:eastAsia="Times New Roman"/>
      <w:color w:val="ff0000"/>
      <w:lang w:eastAsia="en-US"/>
    </w:rPr>
  </w:style>
  <w:style w:type="paragraph" w:styleId="ScheduleNumber1" w:customStyle="1">
    <w:name w:val="Schedule Number 1"/>
    <w:pPr>
      <w:keepNext w:val="1"/>
      <w:keepLines w:val="1"/>
      <w:tabs>
        <w:tab w:val="num" w:pos="360"/>
      </w:tabs>
      <w:spacing w:before="320" w:line="320" w:lineRule="atLeast"/>
    </w:pPr>
    <w:rPr>
      <w:rFonts w:eastAsia="Times New Roman"/>
      <w:lang w:eastAsia="en-US"/>
    </w:rPr>
  </w:style>
  <w:style w:type="paragraph" w:styleId="ScheduleNumber2" w:customStyle="1">
    <w:name w:val="Schedule Number 2"/>
    <w:basedOn w:val="ScheduleNumber1"/>
    <w:pPr>
      <w:tabs>
        <w:tab w:val="clear" w:pos="360"/>
      </w:tabs>
      <w:ind w:left="1440" w:hanging="720"/>
    </w:pPr>
  </w:style>
  <w:style w:type="paragraph" w:styleId="ScheduleNumber3" w:customStyle="1">
    <w:name w:val="Schedule Number 3"/>
    <w:basedOn w:val="ScheduleNumber2"/>
    <w:pPr>
      <w:ind w:left="2160"/>
    </w:pPr>
  </w:style>
  <w:style w:type="paragraph" w:styleId="ScheduleNumber4" w:customStyle="1">
    <w:name w:val="Schedule Number 4"/>
    <w:basedOn w:val="ScheduleNumber3"/>
    <w:pPr>
      <w:ind w:left="2880"/>
    </w:pPr>
  </w:style>
  <w:style w:type="paragraph" w:styleId="TableStyle" w:customStyle="1">
    <w:name w:val="Table Style"/>
    <w:basedOn w:val="Normal"/>
    <w:pPr>
      <w:widowControl w:val="0"/>
      <w:spacing w:after="60" w:before="60"/>
    </w:pPr>
    <w:rPr>
      <w:szCs w:val="20"/>
    </w:rPr>
  </w:style>
  <w:style w:type="paragraph" w:styleId="ScheduleNumber5" w:customStyle="1">
    <w:name w:val="Schedule Number 5"/>
    <w:basedOn w:val="ScheduleNumber4"/>
    <w:pPr>
      <w:ind w:left="3600"/>
    </w:pPr>
  </w:style>
  <w:style w:type="paragraph" w:styleId="ScheduleNumber6" w:customStyle="1">
    <w:name w:val="Schedule Number 6"/>
    <w:basedOn w:val="ScheduleNumber5"/>
    <w:pPr>
      <w:ind w:left="4320"/>
    </w:pPr>
  </w:style>
  <w:style w:type="paragraph" w:styleId="ColorfulList-Accent11" w:customStyle="1">
    <w:name w:val="Colorful List - Accent 11"/>
    <w:basedOn w:val="Normal"/>
    <w:uiPriority w:val="99"/>
    <w:qFormat w:val="1"/>
    <w:pPr>
      <w:spacing w:line="360" w:lineRule="auto"/>
      <w:ind w:left="720"/>
    </w:pPr>
    <w:rPr>
      <w:rFonts w:ascii="Times New Roman" w:hAnsi="Times New Roman"/>
      <w:szCs w:val="20"/>
    </w:rPr>
  </w:style>
  <w:style w:type="character" w:styleId="st1" w:customStyle="1">
    <w:name w:val="st1"/>
  </w:style>
  <w:style w:type="paragraph" w:styleId="NumText" w:customStyle="1">
    <w:name w:val="NumText"/>
    <w:basedOn w:val="Normal"/>
    <w:uiPriority w:val="99"/>
    <w:pPr>
      <w:spacing w:after="284"/>
    </w:pPr>
    <w:rPr>
      <w:rFonts w:eastAsia="MS Mincho"/>
      <w:lang w:eastAsia="ja-JP"/>
    </w:rPr>
  </w:style>
  <w:style w:type="paragraph" w:styleId="DLFrontPage" w:customStyle="1">
    <w:name w:val="DLFrontPage"/>
    <w:basedOn w:val="Normal"/>
    <w:pPr>
      <w:tabs>
        <w:tab w:val="left" w:pos="5940"/>
        <w:tab w:val="left" w:pos="6480"/>
      </w:tabs>
      <w:spacing w:after="220"/>
    </w:pPr>
    <w:rPr>
      <w:rFonts w:ascii="Trebuchet MS" w:hAnsi="Trebuchet MS"/>
    </w:rPr>
  </w:style>
  <w:style w:type="paragraph" w:styleId="NormalWeb">
    <w:name w:val="Normal (Web)"/>
    <w:basedOn w:val="Normal"/>
    <w:uiPriority w:val="99"/>
    <w:unhideWhenUsed w:val="1"/>
    <w:pPr>
      <w:spacing w:after="0"/>
    </w:pPr>
    <w:rPr>
      <w:rFonts w:ascii="Times New Roman" w:hAnsi="Times New Roman"/>
    </w:rPr>
  </w:style>
  <w:style w:type="character" w:styleId="Emphasis">
    <w:name w:val="Emphasis"/>
    <w:qFormat w:val="1"/>
    <w:rPr>
      <w:i w:val="1"/>
      <w:iCs w:val="0"/>
    </w:rPr>
  </w:style>
  <w:style w:type="character" w:styleId="Strong">
    <w:name w:val="Strong"/>
    <w:uiPriority w:val="22"/>
    <w:qFormat w:val="1"/>
    <w:rPr>
      <w:b w:val="1"/>
      <w:bCs w:val="0"/>
    </w:rPr>
  </w:style>
  <w:style w:type="paragraph" w:styleId="Level2" w:customStyle="1">
    <w:name w:val="Level 2"/>
    <w:basedOn w:val="Normal"/>
    <w:uiPriority w:val="99"/>
    <w:pPr>
      <w:tabs>
        <w:tab w:val="num" w:pos="851"/>
      </w:tabs>
      <w:ind w:left="851" w:hanging="851"/>
      <w:outlineLvl w:val="1"/>
    </w:pPr>
    <w:rPr>
      <w:sz w:val="20"/>
      <w:szCs w:val="20"/>
    </w:rPr>
  </w:style>
  <w:style w:type="paragraph" w:styleId="Level3" w:customStyle="1">
    <w:name w:val="Level 3"/>
    <w:basedOn w:val="Normal"/>
    <w:uiPriority w:val="99"/>
    <w:pPr>
      <w:tabs>
        <w:tab w:val="num" w:pos="1702"/>
      </w:tabs>
      <w:ind w:left="1702" w:hanging="851"/>
      <w:outlineLvl w:val="2"/>
    </w:pPr>
    <w:rPr>
      <w:sz w:val="20"/>
      <w:szCs w:val="20"/>
    </w:rPr>
  </w:style>
  <w:style w:type="paragraph" w:styleId="Level4" w:customStyle="1">
    <w:name w:val="Level 4"/>
    <w:basedOn w:val="Normal"/>
    <w:uiPriority w:val="99"/>
    <w:pPr>
      <w:tabs>
        <w:tab w:val="num" w:pos="2553"/>
      </w:tabs>
      <w:ind w:left="2553" w:hanging="851"/>
      <w:outlineLvl w:val="3"/>
    </w:pPr>
    <w:rPr>
      <w:sz w:val="20"/>
      <w:szCs w:val="20"/>
    </w:rPr>
  </w:style>
  <w:style w:type="paragraph" w:styleId="Level5" w:customStyle="1">
    <w:name w:val="Level 5"/>
    <w:basedOn w:val="Normal"/>
    <w:uiPriority w:val="99"/>
    <w:pPr>
      <w:tabs>
        <w:tab w:val="num" w:pos="3404"/>
      </w:tabs>
      <w:ind w:left="3404" w:hanging="851"/>
      <w:outlineLvl w:val="4"/>
    </w:pPr>
    <w:rPr>
      <w:sz w:val="20"/>
      <w:szCs w:val="20"/>
    </w:rPr>
  </w:style>
  <w:style w:type="paragraph" w:styleId="Level6" w:customStyle="1">
    <w:name w:val="Level 6"/>
    <w:basedOn w:val="Normal"/>
    <w:uiPriority w:val="99"/>
    <w:pPr>
      <w:tabs>
        <w:tab w:val="num" w:pos="4255"/>
      </w:tabs>
      <w:ind w:left="4255" w:hanging="851"/>
      <w:outlineLvl w:val="5"/>
    </w:pPr>
    <w:rPr>
      <w:sz w:val="20"/>
      <w:szCs w:val="20"/>
    </w:rPr>
  </w:style>
  <w:style w:type="paragraph" w:styleId="MOJStyle0" w:customStyle="1">
    <w:name w:val="MOJ Style0"/>
    <w:basedOn w:val="Normal"/>
    <w:autoRedefine w:val="1"/>
    <w:uiPriority w:val="99"/>
    <w:pPr>
      <w:numPr>
        <w:numId w:val="5"/>
      </w:numPr>
      <w:suppressAutoHyphens w:val="1"/>
      <w:spacing w:after="0" w:line="360" w:lineRule="auto"/>
    </w:pPr>
    <w:rPr>
      <w:rFonts w:eastAsia="MS Mincho"/>
      <w:b w:val="1"/>
      <w:lang w:eastAsia="ja-JP"/>
    </w:rPr>
  </w:style>
  <w:style w:type="paragraph" w:styleId="MOJLevel1" w:customStyle="1">
    <w:name w:val="MOJ Level 1"/>
    <w:basedOn w:val="Normal"/>
    <w:next w:val="MOJLevel2"/>
    <w:autoRedefine w:val="1"/>
    <w:uiPriority w:val="99"/>
    <w:pPr>
      <w:numPr>
        <w:ilvl w:val="1"/>
        <w:numId w:val="5"/>
      </w:numPr>
      <w:suppressAutoHyphens w:val="1"/>
      <w:spacing w:after="0" w:before="240" w:line="360" w:lineRule="auto"/>
    </w:pPr>
    <w:rPr>
      <w:rFonts w:eastAsia="MS Mincho"/>
      <w:b w:val="1"/>
      <w:lang w:eastAsia="ja-JP"/>
    </w:rPr>
  </w:style>
  <w:style w:type="paragraph" w:styleId="MOJLevel2" w:customStyle="1">
    <w:name w:val="MOJ Level 2"/>
    <w:basedOn w:val="Normal"/>
    <w:autoRedefine w:val="1"/>
    <w:uiPriority w:val="99"/>
    <w:pPr>
      <w:numPr>
        <w:ilvl w:val="2"/>
        <w:numId w:val="5"/>
      </w:numPr>
      <w:spacing w:after="0" w:line="360" w:lineRule="auto"/>
    </w:pPr>
    <w:rPr>
      <w:rFonts w:eastAsia="MS Mincho"/>
      <w:bCs w:val="0"/>
      <w:lang w:eastAsia="ja-JP"/>
    </w:rPr>
  </w:style>
  <w:style w:type="paragraph" w:styleId="MOJLevel3" w:customStyle="1">
    <w:name w:val="MOJ Level 3"/>
    <w:basedOn w:val="Normal"/>
    <w:autoRedefine w:val="1"/>
    <w:uiPriority w:val="99"/>
    <w:pPr>
      <w:numPr>
        <w:ilvl w:val="3"/>
        <w:numId w:val="5"/>
      </w:numPr>
      <w:tabs>
        <w:tab w:val="num" w:pos="1620"/>
      </w:tabs>
      <w:spacing w:after="0" w:line="360" w:lineRule="auto"/>
    </w:pPr>
    <w:rPr>
      <w:rFonts w:eastAsia="MS Mincho"/>
      <w:bCs w:val="0"/>
      <w:lang w:eastAsia="ja-JP"/>
    </w:rPr>
  </w:style>
  <w:style w:type="paragraph" w:styleId="MOJLevel4" w:customStyle="1">
    <w:name w:val="MOJ Level 4"/>
    <w:basedOn w:val="Normal"/>
    <w:autoRedefine w:val="1"/>
    <w:uiPriority w:val="99"/>
    <w:pPr>
      <w:numPr>
        <w:ilvl w:val="4"/>
        <w:numId w:val="5"/>
      </w:numPr>
      <w:spacing w:after="0" w:line="360" w:lineRule="auto"/>
    </w:pPr>
    <w:rPr>
      <w:rFonts w:eastAsia="MS Mincho"/>
      <w:lang w:eastAsia="ja-JP"/>
    </w:rPr>
  </w:style>
  <w:style w:type="paragraph" w:styleId="DefinitionNumbering1" w:customStyle="1">
    <w:name w:val="Definition Numbering 1"/>
    <w:basedOn w:val="Normal"/>
    <w:pPr>
      <w:tabs>
        <w:tab w:val="num" w:pos="1800"/>
      </w:tabs>
      <w:ind w:left="1800" w:hanging="1080"/>
      <w:outlineLvl w:val="0"/>
    </w:pPr>
    <w:rPr>
      <w:rFonts w:ascii="Times New Roman" w:eastAsia="STZhongsong" w:hAnsi="Times New Roman"/>
      <w:szCs w:val="20"/>
      <w:lang w:eastAsia="zh-CN"/>
    </w:rPr>
  </w:style>
  <w:style w:type="paragraph" w:styleId="DefinitionNumbering2" w:customStyle="1">
    <w:name w:val="Definition Numbering 2"/>
    <w:basedOn w:val="Normal"/>
    <w:pPr>
      <w:tabs>
        <w:tab w:val="num" w:pos="2880"/>
      </w:tabs>
      <w:ind w:left="2880" w:hanging="1080"/>
      <w:outlineLvl w:val="1"/>
    </w:pPr>
    <w:rPr>
      <w:rFonts w:ascii="Times New Roman" w:eastAsia="STZhongsong" w:hAnsi="Times New Roman"/>
      <w:szCs w:val="20"/>
      <w:lang w:eastAsia="zh-CN"/>
    </w:rPr>
  </w:style>
  <w:style w:type="paragraph" w:styleId="DefinitionNumbering3" w:customStyle="1">
    <w:name w:val="Definition Numbering 3"/>
    <w:basedOn w:val="Normal"/>
    <w:pPr>
      <w:tabs>
        <w:tab w:val="num" w:pos="3600"/>
      </w:tabs>
      <w:ind w:left="3600" w:hanging="720"/>
      <w:outlineLvl w:val="2"/>
    </w:pPr>
    <w:rPr>
      <w:rFonts w:ascii="Times New Roman" w:eastAsia="STZhongsong" w:hAnsi="Times New Roman"/>
      <w:szCs w:val="20"/>
      <w:lang w:eastAsia="zh-CN"/>
    </w:rPr>
  </w:style>
  <w:style w:type="paragraph" w:styleId="DefinitionNumbering4" w:customStyle="1">
    <w:name w:val="Definition Numbering 4"/>
    <w:basedOn w:val="Normal"/>
    <w:pPr>
      <w:tabs>
        <w:tab w:val="num" w:pos="2880"/>
      </w:tabs>
      <w:ind w:left="2880" w:hanging="1080"/>
      <w:outlineLvl w:val="3"/>
    </w:pPr>
    <w:rPr>
      <w:rFonts w:ascii="Times New Roman" w:eastAsia="STZhongsong" w:hAnsi="Times New Roman"/>
      <w:szCs w:val="20"/>
      <w:lang w:eastAsia="zh-CN"/>
    </w:rPr>
  </w:style>
  <w:style w:type="paragraph" w:styleId="DefinitionNumbering5" w:customStyle="1">
    <w:name w:val="Definition Numbering 5"/>
    <w:basedOn w:val="Normal"/>
    <w:pPr>
      <w:tabs>
        <w:tab w:val="num" w:pos="2880"/>
      </w:tabs>
      <w:ind w:left="2880" w:hanging="1080"/>
      <w:outlineLvl w:val="4"/>
    </w:pPr>
    <w:rPr>
      <w:rFonts w:ascii="Times New Roman" w:eastAsia="STZhongsong" w:hAnsi="Times New Roman"/>
      <w:szCs w:val="20"/>
      <w:lang w:eastAsia="zh-CN"/>
    </w:rPr>
  </w:style>
  <w:style w:type="paragraph" w:styleId="DefinitionNumbering6" w:customStyle="1">
    <w:name w:val="Definition Numbering 6"/>
    <w:basedOn w:val="Normal"/>
    <w:pPr>
      <w:tabs>
        <w:tab w:val="num" w:pos="2880"/>
      </w:tabs>
      <w:ind w:left="2880" w:hanging="1080"/>
      <w:outlineLvl w:val="5"/>
    </w:pPr>
    <w:rPr>
      <w:rFonts w:ascii="Times New Roman" w:eastAsia="STZhongsong" w:hAnsi="Times New Roman"/>
      <w:szCs w:val="20"/>
      <w:lang w:eastAsia="zh-CN"/>
    </w:rPr>
  </w:style>
  <w:style w:type="paragraph" w:styleId="DefinitionNumbering7" w:customStyle="1">
    <w:name w:val="Definition Numbering 7"/>
    <w:basedOn w:val="Normal"/>
    <w:pPr>
      <w:tabs>
        <w:tab w:val="num" w:pos="2880"/>
      </w:tabs>
      <w:ind w:left="2880" w:hanging="1080"/>
      <w:outlineLvl w:val="6"/>
    </w:pPr>
    <w:rPr>
      <w:rFonts w:ascii="Times New Roman" w:eastAsia="STZhongsong" w:hAnsi="Times New Roman"/>
      <w:szCs w:val="20"/>
      <w:lang w:eastAsia="zh-CN"/>
    </w:rPr>
  </w:style>
  <w:style w:type="paragraph" w:styleId="DefinitionNumbering8" w:customStyle="1">
    <w:name w:val="Definition Numbering 8"/>
    <w:basedOn w:val="Normal"/>
    <w:pPr>
      <w:numPr>
        <w:ilvl w:val="7"/>
        <w:numId w:val="6"/>
      </w:numPr>
      <w:outlineLvl w:val="7"/>
    </w:pPr>
    <w:rPr>
      <w:rFonts w:ascii="Times New Roman" w:eastAsia="STZhongsong" w:hAnsi="Times New Roman"/>
      <w:szCs w:val="20"/>
      <w:lang w:eastAsia="zh-CN"/>
    </w:rPr>
  </w:style>
  <w:style w:type="paragraph" w:styleId="DefinitionNumbering9" w:customStyle="1">
    <w:name w:val="Definition Numbering 9"/>
    <w:basedOn w:val="Normal"/>
    <w:pPr>
      <w:numPr>
        <w:ilvl w:val="8"/>
        <w:numId w:val="6"/>
      </w:numPr>
      <w:outlineLvl w:val="8"/>
    </w:pPr>
    <w:rPr>
      <w:rFonts w:ascii="Times New Roman" w:eastAsia="STZhongsong" w:hAnsi="Times New Roman"/>
      <w:szCs w:val="20"/>
      <w:lang w:eastAsia="zh-CN"/>
    </w:rPr>
  </w:style>
  <w:style w:type="paragraph" w:styleId="SchPart" w:customStyle="1">
    <w:name w:val="SchPart"/>
    <w:basedOn w:val="Normal"/>
    <w:next w:val="MarginText"/>
    <w:pPr>
      <w:keepNext w:val="1"/>
      <w:ind w:left="3118"/>
      <w:jc w:val="center"/>
      <w:outlineLvl w:val="1"/>
    </w:pPr>
    <w:rPr>
      <w:rFonts w:ascii="Times New Roman" w:eastAsia="STZhongsong" w:hAnsi="Times New Roman"/>
      <w:b w:val="1"/>
      <w:szCs w:val="20"/>
      <w:lang w:eastAsia="zh-CN"/>
    </w:rPr>
  </w:style>
  <w:style w:type="paragraph" w:styleId="SchSection" w:customStyle="1">
    <w:name w:val="SchSection"/>
    <w:basedOn w:val="Normal"/>
    <w:next w:val="MarginText"/>
    <w:pPr>
      <w:keepNext w:val="1"/>
      <w:ind w:left="3118"/>
      <w:jc w:val="center"/>
      <w:outlineLvl w:val="2"/>
    </w:pPr>
    <w:rPr>
      <w:rFonts w:ascii="Times New Roman" w:eastAsia="STZhongsong" w:hAnsi="Times New Roman"/>
      <w:b w:val="1"/>
      <w:szCs w:val="20"/>
      <w:lang w:eastAsia="zh-CN"/>
    </w:rPr>
  </w:style>
  <w:style w:type="paragraph" w:styleId="Body" w:customStyle="1">
    <w:name w:val="Body"/>
    <w:basedOn w:val="Normal"/>
    <w:qFormat w:val="1"/>
    <w:rPr>
      <w:szCs w:val="20"/>
    </w:rPr>
  </w:style>
  <w:style w:type="paragraph" w:styleId="heading2numberedbutnotbold" w:customStyle="1">
    <w:name w:val="heading 2 numbered but not bold"/>
    <w:basedOn w:val="Heading2"/>
    <w:link w:val="heading2numberedbutnotboldChar"/>
    <w:qFormat w:val="1"/>
    <w:pPr>
      <w:keepNext w:val="0"/>
      <w:keepLines w:val="0"/>
      <w:tabs>
        <w:tab w:val="num" w:pos="1713"/>
      </w:tabs>
      <w:ind w:left="1713"/>
    </w:pPr>
    <w:rPr>
      <w:rFonts w:ascii="Arial" w:eastAsia="STZhongsong" w:hAnsi="Arial"/>
      <w:b w:val="0"/>
      <w:bCs w:val="1"/>
      <w:sz w:val="20"/>
      <w:szCs w:val="20"/>
      <w:lang w:eastAsia="zh-CN"/>
    </w:rPr>
  </w:style>
  <w:style w:type="character" w:styleId="heading2numberedbutnotboldChar" w:customStyle="1">
    <w:name w:val="heading 2 numbered but not bold Char"/>
    <w:link w:val="heading2numberedbutnotbold"/>
    <w:rPr>
      <w:rFonts w:ascii="Arial" w:cs="Arial" w:eastAsia="STZhongsong" w:hAnsi="Arial"/>
      <w:lang w:eastAsia="zh-CN"/>
    </w:rPr>
  </w:style>
  <w:style w:type="paragraph" w:styleId="PartHeadingboldcentered" w:customStyle="1">
    <w:name w:val="Part Heading bold centered"/>
    <w:basedOn w:val="MarginText"/>
    <w:link w:val="PartHeadingboldcenteredChar"/>
    <w:qFormat w:val="1"/>
    <w:pPr>
      <w:keepNext w:val="1"/>
      <w:ind w:left="0"/>
      <w:jc w:val="center"/>
    </w:pPr>
    <w:rPr>
      <w:rFonts w:ascii="Arial" w:eastAsia="STZhongsong" w:hAnsi="Arial"/>
      <w:b w:val="1"/>
      <w:sz w:val="20"/>
      <w:szCs w:val="20"/>
      <w:lang w:eastAsia="zh-CN"/>
    </w:rPr>
  </w:style>
  <w:style w:type="character" w:styleId="PartHeadingboldcenteredChar" w:customStyle="1">
    <w:name w:val="Part Heading bold centered Char"/>
    <w:link w:val="PartHeadingboldcentered"/>
    <w:rPr>
      <w:rFonts w:ascii="Arial" w:eastAsia="STZhongsong" w:hAnsi="Arial"/>
      <w:b w:val="1"/>
      <w:lang w:eastAsia="zh-CN"/>
    </w:rPr>
  </w:style>
  <w:style w:type="paragraph" w:styleId="ScheduleL1" w:customStyle="1">
    <w:name w:val="Schedule L1"/>
    <w:basedOn w:val="Normal"/>
    <w:pPr>
      <w:keepNext w:val="1"/>
      <w:numPr>
        <w:numId w:val="16"/>
      </w:numPr>
      <w:overflowPunct w:val="1"/>
      <w:autoSpaceDE w:val="1"/>
      <w:autoSpaceDN w:val="1"/>
      <w:spacing w:before="120"/>
      <w:textAlignment w:val="auto"/>
      <w:outlineLvl w:val="0"/>
    </w:pPr>
    <w:rPr>
      <w:rFonts w:cs="Times New Roman" w:eastAsia="STZhongsong"/>
      <w:b w:val="1"/>
      <w:caps w:val="1"/>
      <w:szCs w:val="20"/>
      <w:lang w:eastAsia="zh-CN"/>
    </w:rPr>
  </w:style>
  <w:style w:type="paragraph" w:styleId="ScheduleL2" w:customStyle="1">
    <w:name w:val="Schedule L2"/>
    <w:basedOn w:val="Normal"/>
    <w:link w:val="ScheduleL2Char"/>
    <w:pPr>
      <w:numPr>
        <w:ilvl w:val="1"/>
        <w:numId w:val="16"/>
      </w:numPr>
      <w:tabs>
        <w:tab w:val="left" w:pos="993"/>
      </w:tabs>
      <w:overflowPunct w:val="1"/>
      <w:autoSpaceDE w:val="1"/>
      <w:autoSpaceDN w:val="1"/>
      <w:spacing w:after="120" w:before="120"/>
      <w:textAlignment w:val="auto"/>
      <w:outlineLvl w:val="1"/>
    </w:pPr>
    <w:rPr>
      <w:rFonts w:cs="Times New Roman" w:eastAsia="STZhongsong"/>
      <w:szCs w:val="20"/>
      <w:lang w:eastAsia="zh-CN" w:val="en-US"/>
    </w:rPr>
  </w:style>
  <w:style w:type="character" w:styleId="ScheduleL2Char" w:customStyle="1">
    <w:name w:val="Schedule L2 Char"/>
    <w:link w:val="ScheduleL2"/>
    <w:rPr>
      <w:rFonts w:eastAsia="STZhongsong"/>
      <w:sz w:val="22"/>
      <w:lang w:eastAsia="zh-CN" w:val="en-US"/>
    </w:rPr>
  </w:style>
  <w:style w:type="paragraph" w:styleId="ScheduleL3" w:customStyle="1">
    <w:name w:val="Schedule L3"/>
    <w:basedOn w:val="Normal"/>
    <w:pPr>
      <w:numPr>
        <w:ilvl w:val="2"/>
        <w:numId w:val="16"/>
      </w:numPr>
      <w:overflowPunct w:val="1"/>
      <w:autoSpaceDE w:val="1"/>
      <w:autoSpaceDN w:val="1"/>
      <w:spacing w:after="120" w:before="120"/>
      <w:textAlignment w:val="auto"/>
      <w:outlineLvl w:val="2"/>
    </w:pPr>
    <w:rPr>
      <w:rFonts w:cs="Times New Roman" w:eastAsia="STZhongsong"/>
      <w:szCs w:val="20"/>
      <w:lang w:eastAsia="zh-CN"/>
    </w:rPr>
  </w:style>
  <w:style w:type="paragraph" w:styleId="ScheduleL4" w:customStyle="1">
    <w:name w:val="Schedule L4"/>
    <w:basedOn w:val="Normal"/>
    <w:pPr>
      <w:numPr>
        <w:ilvl w:val="3"/>
        <w:numId w:val="16"/>
      </w:numPr>
      <w:overflowPunct w:val="1"/>
      <w:autoSpaceDE w:val="1"/>
      <w:autoSpaceDN w:val="1"/>
      <w:spacing w:after="120" w:before="120"/>
      <w:textAlignment w:val="auto"/>
      <w:outlineLvl w:val="3"/>
    </w:pPr>
    <w:rPr>
      <w:rFonts w:cs="Times New Roman" w:eastAsia="STZhongsong"/>
      <w:szCs w:val="20"/>
      <w:lang w:eastAsia="zh-CN"/>
    </w:rPr>
  </w:style>
  <w:style w:type="paragraph" w:styleId="ScheduleL5" w:customStyle="1">
    <w:name w:val="Schedule L5"/>
    <w:basedOn w:val="Normal"/>
    <w:pPr>
      <w:numPr>
        <w:ilvl w:val="4"/>
        <w:numId w:val="16"/>
      </w:numPr>
      <w:overflowPunct w:val="1"/>
      <w:autoSpaceDE w:val="1"/>
      <w:autoSpaceDN w:val="1"/>
      <w:textAlignment w:val="auto"/>
      <w:outlineLvl w:val="4"/>
    </w:pPr>
    <w:rPr>
      <w:rFonts w:ascii="Times New Roman" w:cs="Times New Roman" w:eastAsia="STZhongsong" w:hAnsi="Times New Roman"/>
      <w:szCs w:val="20"/>
      <w:lang w:eastAsia="zh-CN"/>
    </w:rPr>
  </w:style>
  <w:style w:type="paragraph" w:styleId="ScheduleL6" w:customStyle="1">
    <w:name w:val="Schedule L6"/>
    <w:basedOn w:val="Normal"/>
    <w:pPr>
      <w:numPr>
        <w:ilvl w:val="5"/>
        <w:numId w:val="16"/>
      </w:numPr>
      <w:outlineLvl w:val="5"/>
    </w:pPr>
    <w:rPr>
      <w:rFonts w:ascii="Times New Roman" w:eastAsia="STZhongsong" w:hAnsi="Times New Roman"/>
      <w:szCs w:val="20"/>
      <w:lang w:eastAsia="zh-CN"/>
    </w:rPr>
  </w:style>
  <w:style w:type="paragraph" w:styleId="ScheduleL7" w:customStyle="1">
    <w:name w:val="Schedule L7"/>
    <w:basedOn w:val="Normal"/>
    <w:pPr>
      <w:numPr>
        <w:ilvl w:val="6"/>
        <w:numId w:val="16"/>
      </w:numPr>
      <w:outlineLvl w:val="6"/>
    </w:pPr>
    <w:rPr>
      <w:rFonts w:ascii="Times New Roman" w:eastAsia="STZhongsong" w:hAnsi="Times New Roman"/>
      <w:szCs w:val="20"/>
      <w:lang w:eastAsia="zh-CN"/>
    </w:rPr>
  </w:style>
  <w:style w:type="paragraph" w:styleId="ScheduleL8" w:customStyle="1">
    <w:name w:val="Schedule L8"/>
    <w:basedOn w:val="Normal"/>
    <w:pPr>
      <w:numPr>
        <w:ilvl w:val="7"/>
        <w:numId w:val="16"/>
      </w:numPr>
      <w:outlineLvl w:val="7"/>
    </w:pPr>
    <w:rPr>
      <w:rFonts w:ascii="Times New Roman" w:eastAsia="STZhongsong" w:hAnsi="Times New Roman"/>
      <w:szCs w:val="20"/>
      <w:lang w:eastAsia="zh-CN"/>
    </w:rPr>
  </w:style>
  <w:style w:type="paragraph" w:styleId="ScheduleL9" w:customStyle="1">
    <w:name w:val="Schedule L9"/>
    <w:basedOn w:val="Normal"/>
    <w:pPr>
      <w:numPr>
        <w:ilvl w:val="8"/>
        <w:numId w:val="16"/>
      </w:numPr>
      <w:outlineLvl w:val="8"/>
    </w:pPr>
    <w:rPr>
      <w:rFonts w:ascii="Times New Roman" w:eastAsia="STZhongsong" w:hAnsi="Times New Roman"/>
      <w:szCs w:val="20"/>
      <w:lang w:eastAsia="zh-CN"/>
    </w:rPr>
  </w:style>
  <w:style w:type="paragraph" w:styleId="bodystrong" w:customStyle="1">
    <w:name w:val="body strong"/>
    <w:basedOn w:val="Body"/>
    <w:link w:val="bodystrongChar"/>
    <w:pPr>
      <w:spacing w:after="0"/>
      <w:jc w:val="left"/>
    </w:pPr>
    <w:rPr>
      <w:rFonts w:cs="Times New Roman" w:eastAsia="SimSun"/>
      <w:b w:val="1"/>
      <w:sz w:val="20"/>
      <w:szCs w:val="24"/>
    </w:rPr>
  </w:style>
  <w:style w:type="character" w:styleId="bodystrongChar" w:customStyle="1">
    <w:name w:val="body strong Char"/>
    <w:link w:val="bodystrong"/>
    <w:rPr>
      <w:rFonts w:ascii="Arial" w:eastAsia="SimSun" w:hAnsi="Arial"/>
      <w:b w:val="1"/>
      <w:szCs w:val="24"/>
      <w:lang w:eastAsia="en-US"/>
    </w:rPr>
  </w:style>
  <w:style w:type="character" w:styleId="searchword1" w:customStyle="1">
    <w:name w:val="searchword1"/>
    <w:rPr>
      <w:shd w:color="auto" w:fill="ffff00" w:val="clear"/>
    </w:rPr>
  </w:style>
  <w:style w:type="character" w:styleId="searchword2" w:customStyle="1">
    <w:name w:val="searchword2"/>
    <w:rPr>
      <w:shd w:color="auto" w:fill="ffff00" w:val="clear"/>
    </w:rPr>
  </w:style>
  <w:style w:type="character" w:styleId="searchword3" w:customStyle="1">
    <w:name w:val="searchword3"/>
    <w:rPr>
      <w:shd w:color="auto" w:fill="ffff00" w:val="clear"/>
    </w:rPr>
  </w:style>
  <w:style w:type="character" w:styleId="searchword4" w:customStyle="1">
    <w:name w:val="searchword4"/>
    <w:rPr>
      <w:shd w:color="auto" w:fill="ffff00" w:val="clear"/>
    </w:rPr>
  </w:style>
  <w:style w:type="character" w:styleId="Defterm" w:customStyle="1">
    <w:name w:val="Defterm"/>
    <w:rPr>
      <w:b w:val="1"/>
      <w:color w:val="000000"/>
      <w:sz w:val="22"/>
    </w:rPr>
  </w:style>
  <w:style w:type="paragraph" w:styleId="Sch1styleclause" w:customStyle="1">
    <w:name w:val="Sch  (1style) clause"/>
    <w:basedOn w:val="Normal"/>
    <w:pPr>
      <w:numPr>
        <w:ilvl w:val="2"/>
        <w:numId w:val="7"/>
      </w:numPr>
      <w:spacing w:after="0" w:before="320" w:line="300" w:lineRule="atLeast"/>
      <w:outlineLvl w:val="0"/>
    </w:pPr>
    <w:rPr>
      <w:rFonts w:ascii="Times New Roman" w:hAnsi="Times New Roman"/>
      <w:b w:val="1"/>
      <w:smallCaps w:val="1"/>
      <w:szCs w:val="20"/>
    </w:rPr>
  </w:style>
  <w:style w:type="paragraph" w:styleId="Sch1stylesubclause" w:customStyle="1">
    <w:name w:val="Sch  (1style) sub clause"/>
    <w:basedOn w:val="Normal"/>
    <w:pPr>
      <w:numPr>
        <w:ilvl w:val="3"/>
        <w:numId w:val="7"/>
      </w:numPr>
      <w:spacing w:after="120" w:before="280" w:line="300" w:lineRule="atLeast"/>
      <w:outlineLvl w:val="1"/>
    </w:pPr>
    <w:rPr>
      <w:rFonts w:ascii="Times New Roman" w:hAnsi="Times New Roman"/>
      <w:color w:val="000000"/>
      <w:szCs w:val="20"/>
    </w:rPr>
  </w:style>
  <w:style w:type="paragraph" w:styleId="Sch1stylepara" w:customStyle="1">
    <w:name w:val="Sch (1style) para"/>
    <w:basedOn w:val="Normal"/>
    <w:pPr>
      <w:tabs>
        <w:tab w:val="num" w:pos="1559"/>
      </w:tabs>
      <w:spacing w:after="120" w:line="300" w:lineRule="atLeast"/>
      <w:ind w:left="1559" w:hanging="567"/>
    </w:pPr>
    <w:rPr>
      <w:rFonts w:ascii="Times New Roman" w:hAnsi="Times New Roman"/>
      <w:szCs w:val="20"/>
    </w:rPr>
  </w:style>
  <w:style w:type="paragraph" w:styleId="Sch1stylesubpara" w:customStyle="1">
    <w:name w:val="Sch (1style) sub para"/>
    <w:basedOn w:val="Heading4"/>
    <w:pPr>
      <w:keepLines w:val="0"/>
      <w:tabs>
        <w:tab w:val="left" w:pos="2261"/>
        <w:tab w:val="num" w:pos="2421"/>
      </w:tabs>
      <w:spacing w:after="120" w:line="300" w:lineRule="atLeast"/>
      <w:ind w:left="2268" w:hanging="567"/>
    </w:pPr>
    <w:rPr>
      <w:rFonts w:ascii="Times New Roman" w:eastAsia="Times New Roman" w:hAnsi="Times New Roman"/>
      <w:bCs w:val="1"/>
      <w:szCs w:val="20"/>
    </w:rPr>
  </w:style>
  <w:style w:type="paragraph" w:styleId="StyleHeading3ServiceConformance3Arial" w:customStyle="1">
    <w:name w:val="Style Heading 3Service Conformance 3 + Arial"/>
    <w:basedOn w:val="Heading3"/>
    <w:link w:val="StyleHeading3ServiceConformance3ArialCharChar"/>
    <w:pPr>
      <w:keepLines w:val="0"/>
      <w:tabs>
        <w:tab w:val="num" w:pos="0"/>
      </w:tabs>
      <w:spacing w:line="360" w:lineRule="auto"/>
      <w:ind w:left="2194" w:hanging="737"/>
    </w:pPr>
    <w:rPr>
      <w:rFonts w:ascii="Times New Roman" w:eastAsia="Times New Roman" w:hAnsi="Times New Roman"/>
      <w:bCs w:val="1"/>
      <w:szCs w:val="20"/>
    </w:rPr>
  </w:style>
  <w:style w:type="character" w:styleId="StyleHeading3ServiceConformance3ArialCharChar" w:customStyle="1">
    <w:name w:val="Style Heading 3Service Conformance 3 + Arial Char Char"/>
    <w:link w:val="StyleHeading3ServiceConformance3Arial"/>
    <w:locked w:val="1"/>
    <w:rPr>
      <w:rFonts w:ascii="Times New Roman" w:eastAsia="Times New Roman" w:hAnsi="Times New Roman"/>
      <w:sz w:val="22"/>
      <w:lang w:eastAsia="en-US"/>
    </w:rPr>
  </w:style>
  <w:style w:type="paragraph" w:styleId="StyleHeading5ServiceConformance4HeadingHeading5unusedLev" w:customStyle="1">
    <w:name w:val="Style Heading 5Service Conformance 4HeadingHeading 5(unused)Lev..."/>
    <w:basedOn w:val="Heading5"/>
    <w:link w:val="StyleHeading5ServiceConformance4HeadingHeading5unusedLevChar"/>
    <w:pPr>
      <w:keepLines w:val="0"/>
      <w:numPr>
        <w:numId w:val="2"/>
      </w:numPr>
      <w:spacing w:line="360" w:lineRule="auto"/>
      <w:jc w:val="left"/>
    </w:pPr>
    <w:rPr>
      <w:rFonts w:ascii="Times New Roman" w:eastAsia="Times New Roman" w:hAnsi="Times New Roman"/>
      <w:bCs w:val="1"/>
      <w:szCs w:val="20"/>
    </w:rPr>
  </w:style>
  <w:style w:type="character" w:styleId="StyleHeading5ServiceConformance4HeadingHeading5unusedLevChar" w:customStyle="1">
    <w:name w:val="Style Heading 5Service Conformance 4HeadingHeading 5(unused)Lev... Char"/>
    <w:link w:val="StyleHeading5ServiceConformance4HeadingHeading5unusedLev"/>
    <w:locked w:val="1"/>
    <w:rPr>
      <w:rFonts w:ascii="Times New Roman" w:cs="Arial" w:eastAsia="Times New Roman" w:hAnsi="Times New Roman"/>
      <w:sz w:val="22"/>
      <w:lang w:eastAsia="en-US"/>
    </w:rPr>
  </w:style>
  <w:style w:type="character" w:styleId="MediumGrid11" w:customStyle="1">
    <w:name w:val="Medium Grid 11"/>
    <w:uiPriority w:val="99"/>
    <w:semiHidden w:val="1"/>
    <w:rPr>
      <w:color w:val="808080"/>
    </w:rPr>
  </w:style>
  <w:style w:type="paragraph" w:styleId="FFWLevel1" w:customStyle="1">
    <w:name w:val="FFW Level 1"/>
    <w:basedOn w:val="Normal"/>
    <w:next w:val="FFWLevel2"/>
    <w:locked w:val="1"/>
    <w:pPr>
      <w:keepNext w:val="1"/>
      <w:numPr>
        <w:numId w:val="8"/>
      </w:numPr>
      <w:spacing w:after="0" w:before="240" w:line="260" w:lineRule="atLeast"/>
    </w:pPr>
    <w:rPr>
      <w:b w:val="1"/>
      <w:sz w:val="20"/>
      <w:lang w:eastAsia="fr-FR"/>
    </w:rPr>
  </w:style>
  <w:style w:type="paragraph" w:styleId="FFWLevel2" w:customStyle="1">
    <w:name w:val="FFW Level 2"/>
    <w:basedOn w:val="Normal"/>
    <w:link w:val="FFWLevel2Char"/>
    <w:locked w:val="1"/>
    <w:pPr>
      <w:numPr>
        <w:ilvl w:val="1"/>
        <w:numId w:val="8"/>
      </w:numPr>
      <w:spacing w:after="0" w:before="240" w:line="260" w:lineRule="atLeast"/>
    </w:pPr>
    <w:rPr>
      <w:sz w:val="20"/>
      <w:lang w:eastAsia="fr-FR"/>
    </w:rPr>
  </w:style>
  <w:style w:type="character" w:styleId="FFWLevel2Char" w:customStyle="1">
    <w:name w:val="FFW Level 2 Char"/>
    <w:link w:val="FFWLevel2"/>
    <w:rPr>
      <w:rFonts w:ascii="Arial" w:cs="Arial" w:eastAsia="Times New Roman" w:hAnsi="Arial"/>
      <w:szCs w:val="24"/>
      <w:lang w:eastAsia="fr-FR"/>
    </w:rPr>
  </w:style>
  <w:style w:type="paragraph" w:styleId="FFWLevel3" w:customStyle="1">
    <w:name w:val="FFW Level 3"/>
    <w:basedOn w:val="Normal"/>
    <w:locked w:val="1"/>
    <w:pPr>
      <w:numPr>
        <w:ilvl w:val="3"/>
        <w:numId w:val="8"/>
      </w:numPr>
      <w:spacing w:after="0" w:before="240" w:line="260" w:lineRule="atLeast"/>
    </w:pPr>
    <w:rPr>
      <w:sz w:val="20"/>
      <w:lang w:eastAsia="fr-FR"/>
    </w:rPr>
  </w:style>
  <w:style w:type="paragraph" w:styleId="FFWLevel4" w:customStyle="1">
    <w:name w:val="FFW Level 4"/>
    <w:basedOn w:val="Normal"/>
    <w:link w:val="FFWLevel4Char"/>
    <w:locked w:val="1"/>
    <w:pPr>
      <w:tabs>
        <w:tab w:val="num" w:pos="1587"/>
      </w:tabs>
      <w:spacing w:after="0" w:before="240" w:line="260" w:lineRule="atLeast"/>
      <w:ind w:left="1587" w:hanging="793"/>
    </w:pPr>
    <w:rPr>
      <w:sz w:val="20"/>
      <w:lang w:eastAsia="fr-FR"/>
    </w:rPr>
  </w:style>
  <w:style w:type="character" w:styleId="FFWLevel4Char" w:customStyle="1">
    <w:name w:val="FFW Level 4 Char"/>
    <w:link w:val="FFWLevel4"/>
    <w:rPr>
      <w:rFonts w:ascii="Arial" w:cs="Arial" w:eastAsia="Times New Roman" w:hAnsi="Arial"/>
      <w:szCs w:val="24"/>
      <w:lang w:eastAsia="fr-FR"/>
    </w:rPr>
  </w:style>
  <w:style w:type="paragraph" w:styleId="FFWLevel5" w:customStyle="1">
    <w:name w:val="FFW Level 5"/>
    <w:basedOn w:val="Normal"/>
    <w:locked w:val="1"/>
    <w:pPr>
      <w:tabs>
        <w:tab w:val="num" w:pos="2381"/>
      </w:tabs>
      <w:spacing w:after="0" w:before="240" w:line="260" w:lineRule="atLeast"/>
      <w:ind w:left="2381" w:hanging="794"/>
    </w:pPr>
    <w:rPr>
      <w:sz w:val="20"/>
      <w:lang w:eastAsia="fr-FR"/>
    </w:rPr>
  </w:style>
  <w:style w:type="paragraph" w:styleId="FFWLevel6" w:customStyle="1">
    <w:name w:val="FFW Level 6"/>
    <w:basedOn w:val="Normal"/>
    <w:locked w:val="1"/>
    <w:pPr>
      <w:numPr>
        <w:ilvl w:val="5"/>
        <w:numId w:val="8"/>
      </w:numPr>
      <w:spacing w:after="0" w:before="240" w:line="260" w:lineRule="atLeast"/>
    </w:pPr>
    <w:rPr>
      <w:sz w:val="20"/>
      <w:lang w:eastAsia="fr-FR"/>
    </w:rPr>
  </w:style>
  <w:style w:type="paragraph" w:styleId="FFWBody1" w:customStyle="1">
    <w:name w:val="FFW Body 1"/>
    <w:basedOn w:val="Normal"/>
    <w:locked w:val="1"/>
    <w:pPr>
      <w:spacing w:after="0" w:before="240" w:line="260" w:lineRule="atLeast"/>
      <w:ind w:left="794"/>
    </w:pPr>
    <w:rPr>
      <w:sz w:val="20"/>
      <w:lang w:eastAsia="fr-FR"/>
    </w:rPr>
  </w:style>
  <w:style w:type="paragraph" w:styleId="FFWDefinitionColumnLevel1" w:customStyle="1">
    <w:name w:val="FFW Definition Column Level 1"/>
    <w:basedOn w:val="Normal"/>
    <w:locked w:val="1"/>
    <w:pPr>
      <w:numPr>
        <w:numId w:val="9"/>
      </w:numPr>
      <w:spacing w:after="0" w:before="240" w:line="260" w:lineRule="atLeast"/>
    </w:pPr>
    <w:rPr>
      <w:sz w:val="20"/>
      <w:lang w:eastAsia="fr-FR"/>
    </w:rPr>
  </w:style>
  <w:style w:type="paragraph" w:styleId="FFWDefinitionColumnLevel2" w:customStyle="1">
    <w:name w:val="FFW Definition Column Level 2"/>
    <w:basedOn w:val="Normal"/>
    <w:locked w:val="1"/>
    <w:pPr>
      <w:numPr>
        <w:ilvl w:val="1"/>
        <w:numId w:val="9"/>
      </w:numPr>
      <w:spacing w:after="0" w:before="240" w:line="260" w:lineRule="atLeast"/>
    </w:pPr>
    <w:rPr>
      <w:sz w:val="20"/>
      <w:lang w:eastAsia="fr-FR"/>
    </w:rPr>
  </w:style>
  <w:style w:type="paragraph" w:styleId="FFWBody3" w:customStyle="1">
    <w:name w:val="FFW Body 3"/>
    <w:basedOn w:val="Normal"/>
    <w:locked w:val="1"/>
    <w:pPr>
      <w:spacing w:after="0" w:before="240" w:line="260" w:lineRule="atLeast"/>
      <w:ind w:left="794"/>
    </w:pPr>
    <w:rPr>
      <w:sz w:val="20"/>
      <w:szCs w:val="20"/>
    </w:rPr>
  </w:style>
  <w:style w:type="paragraph" w:styleId="FFWDefinitionLevel1" w:customStyle="1">
    <w:name w:val="FFW Definition Level 1"/>
    <w:basedOn w:val="Normal"/>
    <w:locked w:val="1"/>
    <w:pPr>
      <w:numPr>
        <w:numId w:val="10"/>
      </w:numPr>
      <w:spacing w:after="0" w:before="240" w:line="260" w:lineRule="atLeast"/>
    </w:pPr>
    <w:rPr>
      <w:sz w:val="20"/>
    </w:rPr>
  </w:style>
  <w:style w:type="paragraph" w:styleId="MediumGrid21" w:customStyle="1">
    <w:name w:val="Medium Grid 21"/>
    <w:uiPriority w:val="1"/>
    <w:qFormat w:val="1"/>
    <w:rPr>
      <w:rFonts w:eastAsia="Times New Roman"/>
    </w:rPr>
  </w:style>
  <w:style w:type="paragraph" w:styleId="GPSSchTitleandNumber" w:customStyle="1">
    <w:name w:val="GPS Sch Title and Number"/>
    <w:basedOn w:val="Normal"/>
    <w:link w:val="GPSSchTitleandNumberChar"/>
    <w:qFormat w:val="1"/>
    <w:pPr>
      <w:keepNext w:val="1"/>
      <w:overflowPunct w:val="1"/>
      <w:autoSpaceDE w:val="1"/>
      <w:autoSpaceDN w:val="1"/>
      <w:ind w:firstLine="426"/>
      <w:jc w:val="center"/>
      <w:textAlignment w:val="auto"/>
      <w:outlineLvl w:val="0"/>
    </w:pPr>
    <w:rPr>
      <w:rFonts w:ascii="Arial Bold" w:cs="Times New Roman" w:eastAsia="STZhongsong" w:hAnsi="Arial Bold"/>
      <w:b w:val="1"/>
      <w:caps w:val="1"/>
      <w:lang w:eastAsia="zh-CN"/>
    </w:rPr>
  </w:style>
  <w:style w:type="character" w:styleId="GPSSchTitleandNumberChar" w:customStyle="1">
    <w:name w:val="GPS Sch Title and Number Char"/>
    <w:link w:val="GPSSchTitleandNumber"/>
    <w:locked w:val="1"/>
    <w:rPr>
      <w:rFonts w:ascii="Arial Bold" w:eastAsia="STZhongsong" w:hAnsi="Arial Bold"/>
      <w:b w:val="1"/>
      <w:caps w:val="1"/>
      <w:sz w:val="22"/>
      <w:szCs w:val="22"/>
      <w:lang w:eastAsia="zh-CN"/>
    </w:rPr>
  </w:style>
  <w:style w:type="paragraph" w:styleId="FFWDefinitionLevel2" w:customStyle="1">
    <w:name w:val="FFW Definition Level 2"/>
    <w:basedOn w:val="Normal"/>
    <w:locked w:val="1"/>
    <w:pPr>
      <w:tabs>
        <w:tab w:val="num" w:pos="1587"/>
      </w:tabs>
      <w:spacing w:after="0" w:before="240" w:line="260" w:lineRule="atLeast"/>
      <w:ind w:left="1587" w:hanging="794"/>
    </w:pPr>
    <w:rPr>
      <w:sz w:val="20"/>
      <w:lang w:eastAsia="fr-FR"/>
    </w:rPr>
  </w:style>
  <w:style w:type="table" w:styleId="TableGrid1" w:customStyle="1">
    <w:name w:val="Table Grid1"/>
    <w:basedOn w:val="TableNormal"/>
    <w:next w:val="TableGrid"/>
    <w:uiPriority w:val="59"/>
    <w:pPr>
      <w:ind w:left="360" w:hanging="36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GPSDefinitionTerm" w:customStyle="1">
    <w:name w:val="GPS Definition Term"/>
    <w:basedOn w:val="Normal"/>
    <w:uiPriority w:val="99"/>
    <w:qFormat w:val="1"/>
    <w:pPr>
      <w:spacing w:after="120"/>
      <w:ind w:left="-108"/>
      <w:jc w:val="left"/>
    </w:pPr>
    <w:rPr>
      <w:b w:val="1"/>
    </w:rPr>
  </w:style>
  <w:style w:type="paragraph" w:styleId="BodyText2">
    <w:name w:val="Body Text 2"/>
    <w:basedOn w:val="Normal"/>
    <w:link w:val="BodyText2Char"/>
    <w:uiPriority w:val="99"/>
    <w:unhideWhenUsed w:val="1"/>
    <w:pPr>
      <w:spacing w:after="120" w:line="480" w:lineRule="auto"/>
    </w:pPr>
  </w:style>
  <w:style w:type="character" w:styleId="BodyText2Char" w:customStyle="1">
    <w:name w:val="Body Text 2 Char"/>
    <w:link w:val="BodyText2"/>
    <w:uiPriority w:val="99"/>
    <w:rPr>
      <w:sz w:val="22"/>
      <w:szCs w:val="22"/>
      <w:lang w:eastAsia="en-US"/>
    </w:rPr>
  </w:style>
  <w:style w:type="paragraph" w:styleId="GPSL1CLAUSEHEADING" w:customStyle="1">
    <w:name w:val="GPS L1 CLAUSE HEADING"/>
    <w:basedOn w:val="Normal"/>
    <w:next w:val="Normal"/>
    <w:link w:val="GPSL1CLAUSEHEADINGChar"/>
    <w:uiPriority w:val="99"/>
    <w:qFormat w:val="1"/>
    <w:pPr>
      <w:numPr>
        <w:numId w:val="15"/>
      </w:numPr>
      <w:tabs>
        <w:tab w:val="left" w:pos="142"/>
      </w:tabs>
      <w:overflowPunct w:val="1"/>
      <w:autoSpaceDE w:val="1"/>
      <w:autoSpaceDN w:val="1"/>
      <w:spacing w:before="120"/>
      <w:textAlignment w:val="auto"/>
      <w:outlineLvl w:val="1"/>
    </w:pPr>
    <w:rPr>
      <w:rFonts w:eastAsia="STZhongsong"/>
      <w:b w:val="1"/>
      <w:caps w:val="1"/>
      <w:lang w:eastAsia="zh-CN"/>
    </w:rPr>
  </w:style>
  <w:style w:type="paragraph" w:styleId="GPSL2numberedclause" w:customStyle="1">
    <w:name w:val="GPS L2 numbered clause"/>
    <w:basedOn w:val="Normal"/>
    <w:link w:val="GPSL2numberedclauseChar1"/>
    <w:qFormat w:val="1"/>
    <w:pPr>
      <w:tabs>
        <w:tab w:val="left" w:pos="1134"/>
      </w:tabs>
      <w:overflowPunct w:val="1"/>
      <w:autoSpaceDE w:val="1"/>
      <w:autoSpaceDN w:val="1"/>
      <w:spacing w:after="120" w:before="120"/>
      <w:ind w:left="1134" w:hanging="567"/>
      <w:textAlignment w:val="auto"/>
    </w:pPr>
    <w:rPr>
      <w:lang w:eastAsia="zh-CN"/>
    </w:rPr>
  </w:style>
  <w:style w:type="paragraph" w:styleId="GPSL3numberedclause" w:customStyle="1">
    <w:name w:val="GPS L3 numbered clause"/>
    <w:basedOn w:val="Normal"/>
    <w:link w:val="GPSL3numberedclauseChar"/>
    <w:qFormat w:val="1"/>
    <w:pPr>
      <w:numPr>
        <w:ilvl w:val="2"/>
        <w:numId w:val="15"/>
      </w:numPr>
      <w:tabs>
        <w:tab w:val="left" w:pos="1985"/>
      </w:tabs>
      <w:overflowPunct w:val="1"/>
      <w:autoSpaceDE w:val="1"/>
      <w:autoSpaceDN w:val="1"/>
      <w:spacing w:after="120" w:before="120"/>
      <w:textAlignment w:val="auto"/>
    </w:pPr>
    <w:rPr>
      <w:lang w:eastAsia="zh-CN"/>
    </w:rPr>
  </w:style>
  <w:style w:type="paragraph" w:styleId="GPSL4numberedclause" w:customStyle="1">
    <w:name w:val="GPS L4 numbered clause"/>
    <w:basedOn w:val="GPSL3numberedclause"/>
    <w:link w:val="GPSL4numberedclauseChar"/>
    <w:qFormat w:val="1"/>
    <w:pPr>
      <w:numPr>
        <w:ilvl w:val="3"/>
      </w:numPr>
      <w:tabs>
        <w:tab w:val="clear" w:pos="1985"/>
      </w:tabs>
    </w:pPr>
  </w:style>
  <w:style w:type="character" w:styleId="GPSL2numberedclauseChar1" w:customStyle="1">
    <w:name w:val="GPS L2 numbered clause Char1"/>
    <w:link w:val="GPSL2numberedclause"/>
    <w:rPr>
      <w:rFonts w:cs="Arial" w:eastAsia="Times New Roman"/>
      <w:sz w:val="22"/>
      <w:szCs w:val="22"/>
      <w:lang w:eastAsia="zh-CN"/>
    </w:rPr>
  </w:style>
  <w:style w:type="paragraph" w:styleId="GPSL5numberedclause" w:customStyle="1">
    <w:name w:val="GPS L5 numbered clause"/>
    <w:basedOn w:val="GPSL4numberedclause"/>
    <w:link w:val="GPSL5numberedclauseChar"/>
    <w:qFormat w:val="1"/>
    <w:pPr>
      <w:numPr>
        <w:ilvl w:val="4"/>
      </w:numPr>
      <w:tabs>
        <w:tab w:val="left" w:pos="3119"/>
      </w:tabs>
    </w:pPr>
  </w:style>
  <w:style w:type="paragraph" w:styleId="GPSL6numbered" w:customStyle="1">
    <w:name w:val="GPS L6 numbered"/>
    <w:basedOn w:val="GPSL5numberedclause"/>
    <w:uiPriority w:val="99"/>
    <w:qFormat w:val="1"/>
    <w:pPr>
      <w:numPr>
        <w:ilvl w:val="5"/>
      </w:numPr>
      <w:tabs>
        <w:tab w:val="left" w:pos="3686"/>
      </w:tabs>
    </w:pPr>
  </w:style>
  <w:style w:type="character" w:styleId="GPSL3numberedclauseChar" w:customStyle="1">
    <w:name w:val="GPS L3 numbered clause Char"/>
    <w:link w:val="GPSL3numberedclause"/>
    <w:rPr>
      <w:rFonts w:cs="Arial" w:eastAsia="Times New Roman"/>
      <w:sz w:val="22"/>
      <w:szCs w:val="22"/>
      <w:lang w:eastAsia="zh-CN"/>
    </w:rPr>
  </w:style>
  <w:style w:type="paragraph" w:styleId="ColorfulShading-Accent11" w:customStyle="1">
    <w:name w:val="Colorful Shading - Accent 11"/>
    <w:hidden w:val="1"/>
    <w:uiPriority w:val="99"/>
    <w:semiHidden w:val="1"/>
    <w:rPr>
      <w:lang w:eastAsia="en-US"/>
    </w:rPr>
  </w:style>
  <w:style w:type="paragraph" w:styleId="GPSL2Numbered" w:customStyle="1">
    <w:name w:val="GPS L2 Numbered"/>
    <w:basedOn w:val="GPSL2NumberedBoldHeading"/>
    <w:link w:val="GPSL2NumberedChar"/>
    <w:qFormat w:val="1"/>
    <w:pPr>
      <w:numPr>
        <w:ilvl w:val="0"/>
        <w:numId w:val="0"/>
      </w:numPr>
      <w:tabs>
        <w:tab w:val="clear" w:pos="1134"/>
      </w:tabs>
    </w:pPr>
    <w:rPr>
      <w:b w:val="0"/>
    </w:rPr>
  </w:style>
  <w:style w:type="character" w:styleId="GPSL2NumberedChar" w:customStyle="1">
    <w:name w:val="GPS L2 Numbered Char"/>
    <w:link w:val="GPSL2Numbered"/>
    <w:locked w:val="1"/>
    <w:rPr>
      <w:rFonts w:cs="Arial" w:eastAsia="Times New Roman"/>
      <w:sz w:val="22"/>
      <w:szCs w:val="22"/>
      <w:lang w:eastAsia="zh-CN"/>
    </w:rPr>
  </w:style>
  <w:style w:type="paragraph" w:styleId="GPSL1SCHEDULEHeading" w:customStyle="1">
    <w:name w:val="GPS L1 SCHEDULE Heading"/>
    <w:basedOn w:val="GPSL1CLAUSEHEADING"/>
    <w:link w:val="GPSL1SCHEDULEHeadingChar"/>
    <w:qFormat w:val="1"/>
    <w:pPr>
      <w:numPr>
        <w:numId w:val="0"/>
      </w:numPr>
      <w:outlineLvl w:val="9"/>
    </w:pPr>
  </w:style>
  <w:style w:type="character" w:styleId="GPSL1SCHEDULEHeadingChar" w:customStyle="1">
    <w:name w:val="GPS L1 SCHEDULE Heading Char"/>
    <w:link w:val="GPSL1SCHEDULEHeading"/>
    <w:locked w:val="1"/>
    <w:rPr>
      <w:rFonts w:cs="Arial" w:eastAsia="STZhongsong"/>
      <w:b w:val="1"/>
      <w:caps w:val="1"/>
      <w:sz w:val="22"/>
      <w:szCs w:val="22"/>
      <w:lang w:eastAsia="zh-CN"/>
    </w:rPr>
  </w:style>
  <w:style w:type="paragraph" w:styleId="GPSL2NumberedBoldHeading" w:customStyle="1">
    <w:name w:val="GPS L2 Numbered Bold Heading"/>
    <w:basedOn w:val="Normal"/>
    <w:link w:val="GPSL2NumberedBoldHeadingChar"/>
    <w:qFormat w:val="1"/>
    <w:pPr>
      <w:numPr>
        <w:ilvl w:val="1"/>
        <w:numId w:val="15"/>
      </w:numPr>
      <w:tabs>
        <w:tab w:val="left" w:pos="1134"/>
      </w:tabs>
      <w:overflowPunct w:val="1"/>
      <w:autoSpaceDE w:val="1"/>
      <w:autoSpaceDN w:val="1"/>
      <w:spacing w:after="120" w:before="120"/>
      <w:textAlignment w:val="auto"/>
    </w:pPr>
    <w:rPr>
      <w:b w:val="1"/>
      <w:lang w:eastAsia="zh-CN"/>
    </w:rPr>
  </w:style>
  <w:style w:type="paragraph" w:styleId="GPsDefinition" w:customStyle="1">
    <w:name w:val="GPs Definition"/>
    <w:basedOn w:val="Normal"/>
    <w:uiPriority w:val="99"/>
    <w:qFormat w:val="1"/>
    <w:pPr>
      <w:numPr>
        <w:numId w:val="14"/>
      </w:numPr>
      <w:tabs>
        <w:tab w:val="left" w:pos="175"/>
      </w:tabs>
      <w:spacing w:after="120"/>
    </w:pPr>
  </w:style>
  <w:style w:type="paragraph" w:styleId="GPSDefinitionL2" w:customStyle="1">
    <w:name w:val="GPS Definition L2"/>
    <w:basedOn w:val="GPsDefinition"/>
    <w:uiPriority w:val="99"/>
    <w:qFormat w:val="1"/>
    <w:pPr>
      <w:numPr>
        <w:ilvl w:val="1"/>
      </w:numPr>
    </w:pPr>
  </w:style>
  <w:style w:type="paragraph" w:styleId="GPSDefinitionL3" w:customStyle="1">
    <w:name w:val="GPS Definition L3"/>
    <w:basedOn w:val="GPSDefinitionL2"/>
    <w:uiPriority w:val="99"/>
    <w:qFormat w:val="1"/>
    <w:pPr>
      <w:numPr>
        <w:ilvl w:val="2"/>
      </w:numPr>
    </w:pPr>
  </w:style>
  <w:style w:type="paragraph" w:styleId="GPSDefinitionL4" w:customStyle="1">
    <w:name w:val="GPS Definition L4"/>
    <w:basedOn w:val="GPSDefinitionL3"/>
    <w:uiPriority w:val="99"/>
    <w:qFormat w:val="1"/>
    <w:pPr>
      <w:numPr>
        <w:ilvl w:val="3"/>
      </w:numPr>
    </w:pPr>
  </w:style>
  <w:style w:type="character" w:styleId="GPSL1CLAUSEHEADINGChar" w:customStyle="1">
    <w:name w:val="GPS L1 CLAUSE HEADING Char"/>
    <w:link w:val="GPSL1CLAUSEHEADING"/>
    <w:uiPriority w:val="99"/>
    <w:rPr>
      <w:rFonts w:cs="Arial" w:eastAsia="STZhongsong"/>
      <w:b w:val="1"/>
      <w:caps w:val="1"/>
      <w:sz w:val="22"/>
      <w:szCs w:val="22"/>
      <w:lang w:eastAsia="zh-CN"/>
    </w:rPr>
  </w:style>
  <w:style w:type="character" w:styleId="GPSL2NumberedBoldHeadingChar" w:customStyle="1">
    <w:name w:val="GPS L2 Numbered Bold Heading Char"/>
    <w:link w:val="GPSL2NumberedBoldHeading"/>
    <w:locked w:val="1"/>
    <w:rPr>
      <w:rFonts w:cs="Arial" w:eastAsia="Times New Roman"/>
      <w:b w:val="1"/>
      <w:sz w:val="22"/>
      <w:szCs w:val="22"/>
      <w:lang w:eastAsia="zh-CN"/>
    </w:rPr>
  </w:style>
  <w:style w:type="character" w:styleId="GPSL4numberedclauseChar" w:customStyle="1">
    <w:name w:val="GPS L4 numbered clause Char"/>
    <w:link w:val="GPSL4numberedclause"/>
    <w:locked w:val="1"/>
    <w:rPr>
      <w:rFonts w:cs="Arial" w:eastAsia="Times New Roman"/>
      <w:sz w:val="22"/>
      <w:szCs w:val="22"/>
      <w:lang w:eastAsia="zh-CN"/>
    </w:rPr>
  </w:style>
  <w:style w:type="character" w:styleId="GPSL5numberedclauseChar" w:customStyle="1">
    <w:name w:val="GPS L5 numbered clause Char"/>
    <w:link w:val="GPSL5numberedclause"/>
    <w:locked w:val="1"/>
    <w:rPr>
      <w:rFonts w:cs="Arial" w:eastAsia="Times New Roman"/>
      <w:sz w:val="22"/>
      <w:szCs w:val="22"/>
      <w:lang w:eastAsia="zh-CN"/>
    </w:rPr>
  </w:style>
  <w:style w:type="paragraph" w:styleId="GPSmacrorestart" w:customStyle="1">
    <w:name w:val="GPS macro restart"/>
    <w:basedOn w:val="Normal"/>
    <w:qFormat w:val="1"/>
    <w:pPr>
      <w:spacing w:after="0"/>
    </w:pPr>
    <w:rPr>
      <w:color w:val="ffffff"/>
      <w:sz w:val="16"/>
      <w:szCs w:val="16"/>
    </w:rPr>
  </w:style>
  <w:style w:type="paragraph" w:styleId="Normal1" w:customStyle="1">
    <w:name w:val="Normal1"/>
    <w:pPr>
      <w:widowControl w:val="0"/>
      <w:spacing w:after="80"/>
    </w:pPr>
    <w:rPr>
      <w:color w:val="000000"/>
      <w:lang w:eastAsia="en-US"/>
    </w:rPr>
  </w:style>
  <w:style w:type="paragraph" w:styleId="ListParagraph">
    <w:name w:val="List Paragraph"/>
    <w:basedOn w:val="Normal"/>
    <w:uiPriority w:val="34"/>
    <w:qFormat w:val="1"/>
    <w:rsid w:val="006630B3"/>
    <w:pPr>
      <w:overflowPunct w:val="1"/>
      <w:autoSpaceDE w:val="1"/>
      <w:autoSpaceDN w:val="1"/>
      <w:adjustRightInd w:val="1"/>
      <w:ind w:left="720"/>
      <w:textAlignment w:val="auto"/>
    </w:pPr>
    <w:rPr>
      <w:rFonts w:asciiTheme="minorHAnsi" w:cstheme="minorBidi" w:eastAsiaTheme="minorHAnsi" w:hAnsiTheme="minorHAnsi"/>
    </w:rPr>
  </w:style>
  <w:style w:type="paragraph" w:styleId="aDefinition" w:customStyle="1">
    <w:name w:val="(a) Definition"/>
    <w:basedOn w:val="Body"/>
    <w:qFormat w:val="1"/>
    <w:rsid w:val="008C76D4"/>
    <w:pPr>
      <w:tabs>
        <w:tab w:val="num" w:pos="851"/>
      </w:tabs>
      <w:overflowPunct w:val="1"/>
      <w:autoSpaceDE w:val="1"/>
      <w:autoSpaceDN w:val="1"/>
      <w:adjustRightInd w:val="1"/>
      <w:ind w:left="851" w:hanging="851"/>
      <w:textAlignment w:val="auto"/>
    </w:pPr>
    <w:rPr>
      <w:rFonts w:ascii="Verdana" w:cs="Times New Roman" w:hAnsi="Verdana"/>
      <w:sz w:val="18"/>
      <w:szCs w:val="18"/>
      <w:lang w:eastAsia="zh-CN"/>
    </w:rPr>
  </w:style>
  <w:style w:type="paragraph" w:styleId="iDefinition" w:customStyle="1">
    <w:name w:val="(i) Definition"/>
    <w:basedOn w:val="Body"/>
    <w:qFormat w:val="1"/>
    <w:rsid w:val="008C76D4"/>
    <w:pPr>
      <w:tabs>
        <w:tab w:val="num" w:pos="1843"/>
      </w:tabs>
      <w:overflowPunct w:val="1"/>
      <w:autoSpaceDE w:val="1"/>
      <w:autoSpaceDN w:val="1"/>
      <w:adjustRightInd w:val="1"/>
      <w:ind w:left="1843" w:hanging="992"/>
      <w:textAlignment w:val="auto"/>
    </w:pPr>
    <w:rPr>
      <w:rFonts w:ascii="Verdana" w:cs="Times New Roman" w:hAnsi="Verdana"/>
      <w:sz w:val="18"/>
      <w:szCs w:val="18"/>
      <w:lang w:eastAsia="zh-CN"/>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paragraph" w:styleId="Revision">
    <w:name w:val="Revision"/>
    <w:hidden w:val="1"/>
    <w:uiPriority w:val="99"/>
    <w:semiHidden w:val="1"/>
    <w:rsid w:val="00396549"/>
    <w:pPr>
      <w:spacing w:after="0"/>
      <w:jc w:val="left"/>
    </w:pPr>
    <w:rPr>
      <w:rFonts w:eastAsia="Times New Roman"/>
      <w:lang w:eastAsia="en-US"/>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15" Type="http://schemas.openxmlformats.org/officeDocument/2006/relationships/header" Target="header5.xml"/><Relationship Id="rId14" Type="http://schemas.openxmlformats.org/officeDocument/2006/relationships/header" Target="header4.xml"/><Relationship Id="rId17" Type="http://schemas.openxmlformats.org/officeDocument/2006/relationships/footer" Target="footer5.xml"/><Relationship Id="rId16" Type="http://schemas.openxmlformats.org/officeDocument/2006/relationships/footer" Target="footer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VM1pgApocifienqf0Q+OcjYiOQ==">CgMxLjAyCGguZ2pkZ3hzMgloLjMwajB6bGwyCWguM3pueXNoNzIJa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MmdycXJ1ZTIIaC52eDEyMjcyCWguM2Z3b2txMDIJaC4xdjF5dXh0MgloLjRmMW1kbG0yCWguMnU2d250ZjIJaC4xOWM2eTE4MgloLjN0YnVncDEyCWguMjhoNHF3dTIIaC5ubWYxNG4yCWguMzdtMmpzZzIJaC4xbXJjdTA5MgloLjQ2cjBjbzIyCWguMmx3YW12djIJaC4xMTFreDNvMgloLjNsMThmcmgyCWguMjA2aXB6YTIJaC40azY2OG4zMgloLjJ6YmdpdXcyCWguMWVncXQycDIJaC4zeWdlYnFpMgloLjJkbG9seWIyCGguc3F5dzY0MgloLjNjcW1ldHgyCWguMXJ2d3AxcTIJaC40YnZrN3BqMgloLjJyMHVoeGMyCWguMTY2NHM1NTIJaC4zcTVzYXN5MgloLjI1YjJsMHIyCGgua2djdjhrMgloLjM0ZzBkd2QyCWguMWpsYW80NjIJaC40M2t5NnJ6MgloLjJpcThnenMyCGgueHZpcjdsMgloLjNodjY5dmUyCWguMXgwZ2szNzIJaC40aDA0MnIwMgloLjJ3NWVjeXQyCWguMXNtdHhnZjIJaC40Y21oZzQ4OAByITFqblVVVUFzMjZGYllWNVNGSFY3MlJPMjZrLTN0U2lh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2025-08-14T19:37:00Z</dcterms:created>
  <dc:creator>Pauline Hanratty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ID">
    <vt:i4>2122615613</vt:i4>
  </property>
  <property fmtid="{D5CDD505-2E9C-101B-9397-08002B2CF9AE}" pid="3" name="SERIALNO">
    <vt:i4>11311</vt:i4>
  </property>
  <property fmtid="{D5CDD505-2E9C-101B-9397-08002B2CF9AE}" pid="4" name="CLIENTID">
    <vt:i4>4275</vt:i4>
  </property>
  <property fmtid="{D5CDD505-2E9C-101B-9397-08002B2CF9AE}" pid="5" name="FILEID">
    <vt:i4>268975</vt:i4>
  </property>
  <property fmtid="{D5CDD505-2E9C-101B-9397-08002B2CF9AE}" pid="6" name="ASSOCID">
    <vt:i4>1176589</vt:i4>
  </property>
  <property fmtid="{D5CDD505-2E9C-101B-9397-08002B2CF9AE}" pid="7" name="DWFFooter">
    <vt:lpwstr>90851903-1</vt:lpwstr>
  </property>
</Properties>
</file>