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Joint Schedule 1 (Definitions)</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rtl w:val="0"/>
        </w:rPr>
      </w:r>
    </w:p>
    <w:p w:rsidR="00000000" w:rsidDel="00000000" w:rsidP="00000000" w:rsidRDefault="00000000" w:rsidRPr="00000000" w14:paraId="00000003">
      <w:pPr>
        <w:numPr>
          <w:ilvl w:val="0"/>
          <w:numId w:val="25"/>
        </w:numPr>
        <w:pBdr>
          <w:top w:space="0" w:sz="0" w:val="nil"/>
          <w:left w:space="0" w:sz="0" w:val="nil"/>
          <w:bottom w:space="0" w:sz="0" w:val="nil"/>
          <w:right w:space="0" w:sz="0" w:val="nil"/>
          <w:between w:space="0" w:sz="0" w:val="nil"/>
        </w:pBdr>
        <w:spacing w:after="120" w:before="120" w:line="240" w:lineRule="auto"/>
        <w:ind w:left="426" w:hanging="426"/>
        <w:rPr>
          <w:b w:val="1"/>
          <w:bCs w:val="1"/>
        </w:rPr>
      </w:pPr>
      <w:r w:rsidDel="00000000" w:rsidR="00000000" w:rsidRPr="00000000">
        <w:rPr>
          <w:b w:val="1"/>
          <w:bCs w:val="1"/>
          <w:rtl w:val="0"/>
        </w:rPr>
        <w:t xml:space="preserve">Definitions</w:t>
      </w:r>
    </w:p>
    <w:p w:rsidR="00000000" w:rsidDel="00000000" w:rsidP="00000000" w:rsidRDefault="00000000" w:rsidRPr="00000000" w14:paraId="00000004">
      <w:pPr>
        <w:numPr>
          <w:ilvl w:val="1"/>
          <w:numId w:val="25"/>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In each Contract, unless the context otherwise requires, capitalised expressions shall have the meanings set out in this Joint Schedule 1 (Definitions) or the relevant Schedule in which that capitalised expression appears.</w:t>
      </w:r>
    </w:p>
    <w:p w:rsidR="00000000" w:rsidDel="00000000" w:rsidP="00000000" w:rsidRDefault="00000000" w:rsidRPr="00000000" w14:paraId="00000005">
      <w:pPr>
        <w:numPr>
          <w:ilvl w:val="1"/>
          <w:numId w:val="25"/>
        </w:num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30j0zll" w:id="0"/>
      <w:bookmarkEnd w:id="0"/>
      <w:r w:rsidDel="00000000" w:rsidR="00000000" w:rsidRPr="00000000">
        <w:rPr>
          <w:rtl w:val="0"/>
        </w:rPr>
        <w:t xml:space="preserve">If a capitalised expression does not have an interpretation in this Schedule or any other Schedule, it shall, in the first instance, be interpreted in accordance with the common interpretation within the relevant market sector/industry where appropriate. Otherwise, it shall be interpreted in accordance with the dictionary meaning.</w:t>
      </w:r>
    </w:p>
    <w:p w:rsidR="00000000" w:rsidDel="00000000" w:rsidP="00000000" w:rsidRDefault="00000000" w:rsidRPr="00000000" w14:paraId="00000006">
      <w:pPr>
        <w:numPr>
          <w:ilvl w:val="1"/>
          <w:numId w:val="25"/>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In each Contract, unless the context otherwise requires:</w:t>
      </w:r>
    </w:p>
    <w:p w:rsidR="00000000" w:rsidDel="00000000" w:rsidP="00000000" w:rsidRDefault="00000000" w:rsidRPr="00000000" w14:paraId="00000007">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 to a gender includes the other gender and the neuter;</w:t>
      </w:r>
    </w:p>
    <w:p w:rsidR="00000000" w:rsidDel="00000000" w:rsidP="00000000" w:rsidRDefault="00000000" w:rsidRPr="00000000" w14:paraId="00000008">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a person include an individual, company, body corporate, corporation, unincorporated association, firm, partnership or other legal entity or Crown Body;</w:t>
      </w:r>
    </w:p>
    <w:p w:rsidR="00000000" w:rsidDel="00000000" w:rsidP="00000000" w:rsidRDefault="00000000" w:rsidRPr="00000000" w14:paraId="00000009">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 reference to any Law includes a reference to that Law as modified, amended, extended, consolidated, replaced or re-enacted from time to time (including as a consequence of the Retained EU Law (Revocation and Reform) Act 2023) before or after the date of the Contract and any prior or subsequent legislation under it;</w:t>
      </w:r>
    </w:p>
    <w:p w:rsidR="00000000" w:rsidDel="00000000" w:rsidP="00000000" w:rsidRDefault="00000000" w:rsidRPr="00000000" w14:paraId="0000000A">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words "</w:t>
      </w:r>
      <w:r w:rsidDel="00000000" w:rsidR="00000000" w:rsidRPr="00000000">
        <w:rPr>
          <w:b w:val="1"/>
          <w:bCs w:val="1"/>
          <w:rtl w:val="0"/>
        </w:rPr>
        <w:t xml:space="preserve">including</w:t>
      </w:r>
      <w:r w:rsidDel="00000000" w:rsidR="00000000" w:rsidRPr="00000000">
        <w:rPr>
          <w:rtl w:val="0"/>
        </w:rPr>
        <w:t xml:space="preserve">", "</w:t>
      </w:r>
      <w:r w:rsidDel="00000000" w:rsidR="00000000" w:rsidRPr="00000000">
        <w:rPr>
          <w:b w:val="1"/>
          <w:bCs w:val="1"/>
          <w:rtl w:val="0"/>
        </w:rPr>
        <w:t xml:space="preserve">other</w:t>
      </w:r>
      <w:r w:rsidDel="00000000" w:rsidR="00000000" w:rsidRPr="00000000">
        <w:rPr>
          <w:rtl w:val="0"/>
        </w:rPr>
        <w:t xml:space="preserve">", "</w:t>
      </w:r>
      <w:r w:rsidDel="00000000" w:rsidR="00000000" w:rsidRPr="00000000">
        <w:rPr>
          <w:b w:val="1"/>
          <w:bCs w:val="1"/>
          <w:rtl w:val="0"/>
        </w:rPr>
        <w:t xml:space="preserve">in particular</w:t>
      </w:r>
      <w:r w:rsidDel="00000000" w:rsidR="00000000" w:rsidRPr="00000000">
        <w:rPr>
          <w:rtl w:val="0"/>
        </w:rPr>
        <w:t xml:space="preserve">", "</w:t>
      </w:r>
      <w:r w:rsidDel="00000000" w:rsidR="00000000" w:rsidRPr="00000000">
        <w:rPr>
          <w:b w:val="1"/>
          <w:bCs w:val="1"/>
          <w:rtl w:val="0"/>
        </w:rPr>
        <w:t xml:space="preserve">for example</w:t>
      </w:r>
      <w:r w:rsidDel="00000000" w:rsidR="00000000" w:rsidRPr="00000000">
        <w:rPr>
          <w:rtl w:val="0"/>
        </w:rPr>
        <w:t xml:space="preserve">" and similar words shall not limit the generality of the preceding words and shall be construed as if they were immediately followed by the words "</w:t>
      </w:r>
      <w:r w:rsidDel="00000000" w:rsidR="00000000" w:rsidRPr="00000000">
        <w:rPr>
          <w:b w:val="1"/>
          <w:bCs w:val="1"/>
          <w:rtl w:val="0"/>
        </w:rPr>
        <w:t xml:space="preserve">without limitation</w:t>
      </w:r>
      <w:r w:rsidDel="00000000" w:rsidR="00000000" w:rsidRPr="00000000">
        <w:rPr>
          <w:rtl w:val="0"/>
        </w:rPr>
        <w:t xml:space="preserve">";</w:t>
      </w:r>
    </w:p>
    <w:p w:rsidR="00000000" w:rsidDel="00000000" w:rsidP="00000000" w:rsidRDefault="00000000" w:rsidRPr="00000000" w14:paraId="0000000B">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w:t>
      </w:r>
      <w:r w:rsidDel="00000000" w:rsidR="00000000" w:rsidRPr="00000000">
        <w:rPr>
          <w:b w:val="1"/>
          <w:bCs w:val="1"/>
          <w:rtl w:val="0"/>
        </w:rPr>
        <w:t xml:space="preserve">writing</w:t>
      </w:r>
      <w:r w:rsidDel="00000000" w:rsidR="00000000" w:rsidRPr="00000000">
        <w:rPr>
          <w:rtl w:val="0"/>
        </w:rPr>
        <w:t xml:space="preserve">" include typing, printing, lithography, photography, display on a screen, electronic and facsimile transmission and other modes of representing or reproducing words in a visible form, and expressions referring to writing shall be construed accordingly;</w:t>
      </w:r>
    </w:p>
    <w:p w:rsidR="00000000" w:rsidDel="00000000" w:rsidP="00000000" w:rsidRDefault="00000000" w:rsidRPr="00000000" w14:paraId="0000000C">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w:t>
      </w:r>
      <w:r w:rsidDel="00000000" w:rsidR="00000000" w:rsidRPr="00000000">
        <w:rPr>
          <w:b w:val="1"/>
          <w:bCs w:val="1"/>
          <w:rtl w:val="0"/>
        </w:rPr>
        <w:t xml:space="preserve">representations</w:t>
      </w:r>
      <w:r w:rsidDel="00000000" w:rsidR="00000000" w:rsidRPr="00000000">
        <w:rPr>
          <w:rtl w:val="0"/>
        </w:rPr>
        <w:t xml:space="preserve">" shall be construed as references to present facts, to "</w:t>
      </w:r>
      <w:r w:rsidDel="00000000" w:rsidR="00000000" w:rsidRPr="00000000">
        <w:rPr>
          <w:b w:val="1"/>
          <w:bCs w:val="1"/>
          <w:rtl w:val="0"/>
        </w:rPr>
        <w:t xml:space="preserve">warranties</w:t>
      </w:r>
      <w:r w:rsidDel="00000000" w:rsidR="00000000" w:rsidRPr="00000000">
        <w:rPr>
          <w:rtl w:val="0"/>
        </w:rPr>
        <w:t xml:space="preserve">" as references to present and future facts and to "</w:t>
      </w:r>
      <w:r w:rsidDel="00000000" w:rsidR="00000000" w:rsidRPr="00000000">
        <w:rPr>
          <w:b w:val="1"/>
          <w:bCs w:val="1"/>
          <w:rtl w:val="0"/>
        </w:rPr>
        <w:t xml:space="preserve">undertakings"</w:t>
      </w:r>
      <w:r w:rsidDel="00000000" w:rsidR="00000000" w:rsidRPr="00000000">
        <w:rPr>
          <w:rtl w:val="0"/>
        </w:rPr>
        <w:t xml:space="preserve"> as references to obligations under the Contract; </w:t>
      </w:r>
    </w:p>
    <w:p w:rsidR="00000000" w:rsidDel="00000000" w:rsidP="00000000" w:rsidRDefault="00000000" w:rsidRPr="00000000" w14:paraId="0000000D">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w:t>
      </w:r>
      <w:r w:rsidDel="00000000" w:rsidR="00000000" w:rsidRPr="00000000">
        <w:rPr>
          <w:b w:val="1"/>
          <w:bCs w:val="1"/>
          <w:rtl w:val="0"/>
        </w:rPr>
        <w:t xml:space="preserve">"Clauses" </w:t>
      </w:r>
      <w:r w:rsidDel="00000000" w:rsidR="00000000" w:rsidRPr="00000000">
        <w:rPr>
          <w:rtl w:val="0"/>
        </w:rPr>
        <w:t xml:space="preserve">and </w:t>
      </w:r>
      <w:r w:rsidDel="00000000" w:rsidR="00000000" w:rsidRPr="00000000">
        <w:rPr>
          <w:b w:val="1"/>
          <w:bCs w:val="1"/>
          <w:rtl w:val="0"/>
        </w:rPr>
        <w:t xml:space="preserve">"Schedules"</w:t>
      </w:r>
      <w:r w:rsidDel="00000000" w:rsidR="00000000" w:rsidRPr="00000000">
        <w:rPr>
          <w:rtl w:val="0"/>
        </w:rPr>
        <w:t xml:space="preserve"> are, unless otherwise provided, references to the clauses and schedules of the General Terms and references in any Schedule to parts, paragraphs, annexes and tables are, unless otherwise provided, references to the parts, paragraphs, annexes and tables of the Schedule in which these references appear; </w:t>
      </w:r>
    </w:p>
    <w:p w:rsidR="00000000" w:rsidDel="00000000" w:rsidP="00000000" w:rsidRDefault="00000000" w:rsidRPr="00000000" w14:paraId="0000000E">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w:t>
      </w:r>
      <w:r w:rsidDel="00000000" w:rsidR="00000000" w:rsidRPr="00000000">
        <w:rPr>
          <w:b w:val="1"/>
          <w:bCs w:val="1"/>
          <w:rtl w:val="0"/>
        </w:rPr>
        <w:t xml:space="preserve">"Paragraphs"</w:t>
      </w:r>
      <w:r w:rsidDel="00000000" w:rsidR="00000000" w:rsidRPr="00000000">
        <w:rPr>
          <w:rtl w:val="0"/>
        </w:rPr>
        <w:t xml:space="preserve"> are, unless otherwise provided, references to the paragraph of the appropriate Schedules unless otherwise provided; </w:t>
      </w:r>
    </w:p>
    <w:p w:rsidR="00000000" w:rsidDel="00000000" w:rsidP="00000000" w:rsidRDefault="00000000" w:rsidRPr="00000000" w14:paraId="0000000F">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references to a series of Clauses or Paragraphs shall be inclusive of the clause numbers specified;</w:t>
      </w:r>
    </w:p>
    <w:p w:rsidR="00000000" w:rsidDel="00000000" w:rsidP="00000000" w:rsidRDefault="00000000" w:rsidRPr="00000000" w14:paraId="00000010">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bookmarkStart w:colFirst="0" w:colLast="0" w:name="_heading=h.1fob9te" w:id="1"/>
      <w:bookmarkEnd w:id="1"/>
      <w:r w:rsidDel="00000000" w:rsidR="00000000" w:rsidRPr="00000000">
        <w:rPr>
          <w:rtl w:val="0"/>
        </w:rPr>
        <w:t xml:space="preserve">where the Buyer is a Crown Body the Supplier shall be treated as contracting with the Crown as a whole;</w:t>
      </w:r>
    </w:p>
    <w:p w:rsidR="00000000" w:rsidDel="00000000" w:rsidP="00000000" w:rsidRDefault="00000000" w:rsidRPr="00000000" w14:paraId="00000011">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any reference in a Contract which immediately before IP Completion Day (or such later date when relevant EU law ceases to have effect pursuant to Section 1A of the European Union (Withdrawal) Act 2018) is  a reference to (as it has effect from time to time) any EU regulation, EU decision, EU tertiary legislation or provision of the EEA agreement (“</w:t>
      </w:r>
      <w:r w:rsidDel="00000000" w:rsidR="00000000" w:rsidRPr="00000000">
        <w:rPr>
          <w:b w:val="1"/>
          <w:bCs w:val="1"/>
          <w:rtl w:val="0"/>
        </w:rPr>
        <w:t xml:space="preserve">EU References</w:t>
      </w:r>
      <w:r w:rsidDel="00000000" w:rsidR="00000000" w:rsidRPr="00000000">
        <w:rPr>
          <w:rtl w:val="0"/>
        </w:rPr>
        <w:t xml:space="preserve">”) which is to form part of domestic law by application of Section 3 of the European Union (Withdrawal) Act 2018 and which shall be read on and after IP Completion Day as a reference to the EU References as they form part of domestic law by virtue of Section 3 of the European Union (Withdrawal) Act 2018 as modified by domestic law from time to time; </w:t>
      </w:r>
    </w:p>
    <w:p w:rsidR="00000000" w:rsidDel="00000000" w:rsidP="00000000" w:rsidRDefault="00000000" w:rsidRPr="00000000" w14:paraId="00000012">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 reference to a document (including the Contract) is to that document as varied, amended, novated, ratified or replaced from time to time;</w:t>
      </w:r>
    </w:p>
    <w:p w:rsidR="00000000" w:rsidDel="00000000" w:rsidP="00000000" w:rsidRDefault="00000000" w:rsidRPr="00000000" w14:paraId="00000013">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unless otherwise provided, references to “</w:t>
      </w:r>
      <w:r w:rsidDel="00000000" w:rsidR="00000000" w:rsidRPr="00000000">
        <w:rPr>
          <w:b w:val="1"/>
          <w:bCs w:val="1"/>
          <w:rtl w:val="0"/>
        </w:rPr>
        <w:t xml:space="preserve">Buyer</w:t>
      </w:r>
      <w:r w:rsidDel="00000000" w:rsidR="00000000" w:rsidRPr="00000000">
        <w:rPr>
          <w:rtl w:val="0"/>
        </w:rPr>
        <w:t xml:space="preserve">” shall be construed as including Exempt Buyers; and</w:t>
      </w:r>
    </w:p>
    <w:p w:rsidR="00000000" w:rsidDel="00000000" w:rsidP="00000000" w:rsidRDefault="00000000" w:rsidRPr="00000000" w14:paraId="00000014">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unless otherwise provided, references to “</w:t>
      </w:r>
      <w:r w:rsidDel="00000000" w:rsidR="00000000" w:rsidRPr="00000000">
        <w:rPr>
          <w:b w:val="1"/>
          <w:bCs w:val="1"/>
          <w:rtl w:val="0"/>
        </w:rPr>
        <w:t xml:space="preserve">Call-Off Contract</w:t>
      </w:r>
      <w:r w:rsidDel="00000000" w:rsidR="00000000" w:rsidRPr="00000000">
        <w:rPr>
          <w:rtl w:val="0"/>
        </w:rPr>
        <w:t xml:space="preserve">” and “</w:t>
      </w:r>
      <w:r w:rsidDel="00000000" w:rsidR="00000000" w:rsidRPr="00000000">
        <w:rPr>
          <w:b w:val="1"/>
          <w:bCs w:val="1"/>
          <w:rtl w:val="0"/>
        </w:rPr>
        <w:t xml:space="preserve">Contract</w:t>
      </w:r>
      <w:r w:rsidDel="00000000" w:rsidR="00000000" w:rsidRPr="00000000">
        <w:rPr>
          <w:rtl w:val="0"/>
        </w:rPr>
        <w:t xml:space="preserve">” shall be construed as including Exempt Call-off Contracts.</w:t>
      </w:r>
    </w:p>
    <w:p w:rsidR="00000000" w:rsidDel="00000000" w:rsidP="00000000" w:rsidRDefault="00000000" w:rsidRPr="00000000" w14:paraId="00000015">
      <w:pPr>
        <w:numPr>
          <w:ilvl w:val="1"/>
          <w:numId w:val="25"/>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In each Contract, unless the context otherwise requires, the following words shall have the following meanings:</w:t>
      </w:r>
    </w:p>
    <w:tbl>
      <w:tblPr>
        <w:tblStyle w:val="Table1"/>
        <w:tblW w:w="7943.0" w:type="dxa"/>
        <w:jc w:val="left"/>
        <w:tblInd w:w="1129.0" w:type="dxa"/>
        <w:tblLayout w:type="fixed"/>
        <w:tblLook w:val="0400"/>
      </w:tblPr>
      <w:tblGrid>
        <w:gridCol w:w="1985"/>
        <w:gridCol w:w="5958"/>
        <w:tblGridChange w:id="0">
          <w:tblGrid>
            <w:gridCol w:w="1985"/>
            <w:gridCol w:w="5958"/>
          </w:tblGrid>
        </w:tblGridChange>
      </w:tblGrid>
      <w:tr>
        <w:trPr>
          <w:cantSplit w:val="0"/>
          <w:tblHeader w:val="0"/>
        </w:trP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"Accounting Reference Date"</w:t>
            </w:r>
          </w:p>
        </w:tc>
        <w:tc>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each year the date to which the Supplier prepares its annual audited financial statements;</w:t>
            </w:r>
          </w:p>
        </w:tc>
      </w:tr>
      <w:tr>
        <w:trPr>
          <w:cantSplit w:val="0"/>
          <w:tblHeader w:val="0"/>
        </w:trPr>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rPr>
                <w:b w:val="1"/>
                <w:bCs w:val="1"/>
                <w:sz w:val="24"/>
                <w:szCs w:val="24"/>
              </w:rPr>
            </w:pPr>
            <w:bookmarkStart w:colFirst="0" w:colLast="0" w:name="_heading=h.3znysh7" w:id="2"/>
            <w:bookmarkEnd w:id="2"/>
            <w:r w:rsidDel="00000000" w:rsidR="00000000" w:rsidRPr="00000000">
              <w:rPr>
                <w:b w:val="1"/>
                <w:bCs w:val="1"/>
                <w:sz w:val="24"/>
                <w:szCs w:val="24"/>
                <w:rtl w:val="0"/>
              </w:rPr>
              <w:t xml:space="preserve">"Achieve"</w:t>
            </w:r>
          </w:p>
        </w:tc>
        <w:tc>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respect of a Test, to successfully pass such Test without any Test Issues and in respect of a Milestone, the issue of a Satisfaction Certificate in respect of that Milestone and "</w:t>
            </w:r>
            <w:r w:rsidDel="00000000" w:rsidR="00000000" w:rsidRPr="00000000">
              <w:rPr>
                <w:b w:val="1"/>
                <w:bCs w:val="1"/>
                <w:sz w:val="24"/>
                <w:szCs w:val="24"/>
                <w:rtl w:val="0"/>
              </w:rPr>
              <w:t xml:space="preserve">Achieved</w:t>
            </w:r>
            <w:r w:rsidDel="00000000" w:rsidR="00000000" w:rsidRPr="00000000">
              <w:rPr>
                <w:sz w:val="24"/>
                <w:szCs w:val="24"/>
                <w:rtl w:val="0"/>
              </w:rPr>
              <w:t xml:space="preserve">", "</w:t>
            </w:r>
            <w:r w:rsidDel="00000000" w:rsidR="00000000" w:rsidRPr="00000000">
              <w:rPr>
                <w:b w:val="1"/>
                <w:bCs w:val="1"/>
                <w:sz w:val="24"/>
                <w:szCs w:val="24"/>
                <w:rtl w:val="0"/>
              </w:rPr>
              <w:t xml:space="preserve">Achieving</w:t>
            </w:r>
            <w:r w:rsidDel="00000000" w:rsidR="00000000" w:rsidRPr="00000000">
              <w:rPr>
                <w:sz w:val="24"/>
                <w:szCs w:val="24"/>
                <w:rtl w:val="0"/>
              </w:rPr>
              <w:t xml:space="preserve">" and "</w:t>
            </w:r>
            <w:r w:rsidDel="00000000" w:rsidR="00000000" w:rsidRPr="00000000">
              <w:rPr>
                <w:b w:val="1"/>
                <w:bCs w:val="1"/>
                <w:sz w:val="24"/>
                <w:szCs w:val="24"/>
                <w:rtl w:val="0"/>
              </w:rPr>
              <w:t xml:space="preserve">Achievement</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"Additional Insurances"</w:t>
            </w:r>
          </w:p>
        </w:tc>
        <w:tc>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insurance requirements relating to a Call-Off Contract specified in the Order Form additional to those outlined in Joint Schedule 3 </w:t>
            </w:r>
            <w:r w:rsidDel="00000000" w:rsidR="00000000" w:rsidRPr="00000000">
              <w:rPr>
                <w:i w:val="1"/>
                <w:iCs w:val="1"/>
                <w:sz w:val="24"/>
                <w:szCs w:val="24"/>
                <w:rtl w:val="0"/>
              </w:rPr>
              <w:t xml:space="preserve">(Insurance Requirements)</w:t>
            </w:r>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"Admin Fee”</w:t>
            </w:r>
          </w:p>
        </w:tc>
        <w:tc>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costs incurred by GCA in dealing with MI Failures calculated in accordance with the tariff of administration charges published by GCA on: https://www.gov.uk/guidance/current-government-commercial-agency-suppliers-what-you-need-to-know under the document titled "Management Information: admin fees and default charges;</w:t>
            </w:r>
          </w:p>
        </w:tc>
      </w:tr>
      <w:tr>
        <w:trPr>
          <w:cantSplit w:val="0"/>
          <w:tblHeader w:val="0"/>
        </w:trPr>
        <w:tc>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"Affected Party"</w:t>
            </w:r>
          </w:p>
        </w:tc>
        <w:tc>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Party seeking to claim relief in respect of a Force Majeure Event;</w:t>
            </w:r>
          </w:p>
        </w:tc>
      </w:tr>
      <w:tr>
        <w:trPr>
          <w:cantSplit w:val="0"/>
          <w:tblHeader w:val="0"/>
        </w:trPr>
        <w:tc>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"Affiliates"</w:t>
            </w:r>
          </w:p>
        </w:tc>
        <w:tc>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relation to a body corporate, any other entity which directly or indirectly Controls, is Controlled by, or is under direct or indirect common Control of that body corporate from time to time;</w:t>
            </w:r>
          </w:p>
        </w:tc>
      </w:tr>
      <w:tr>
        <w:trPr>
          <w:cantSplit w:val="0"/>
          <w:tblHeader w:val="0"/>
        </w:trPr>
        <w:tc>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“Annex”</w:t>
            </w:r>
          </w:p>
        </w:tc>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extra information which supports a Schedule;</w:t>
            </w:r>
          </w:p>
        </w:tc>
      </w:tr>
      <w:tr>
        <w:trPr>
          <w:cantSplit w:val="0"/>
          <w:tblHeader w:val="0"/>
        </w:trPr>
        <w:tc>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"Approval"</w:t>
            </w:r>
          </w:p>
        </w:tc>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prior written consent of the Buyer and "</w:t>
            </w:r>
            <w:r w:rsidDel="00000000" w:rsidR="00000000" w:rsidRPr="00000000">
              <w:rPr>
                <w:b w:val="1"/>
                <w:bCs w:val="1"/>
                <w:sz w:val="24"/>
                <w:szCs w:val="24"/>
                <w:rtl w:val="0"/>
              </w:rPr>
              <w:t xml:space="preserve">Approve</w:t>
            </w:r>
            <w:r w:rsidDel="00000000" w:rsidR="00000000" w:rsidRPr="00000000">
              <w:rPr>
                <w:sz w:val="24"/>
                <w:szCs w:val="24"/>
                <w:rtl w:val="0"/>
              </w:rPr>
              <w:t xml:space="preserve">" and "</w:t>
            </w:r>
            <w:r w:rsidDel="00000000" w:rsidR="00000000" w:rsidRPr="00000000">
              <w:rPr>
                <w:b w:val="1"/>
                <w:bCs w:val="1"/>
                <w:sz w:val="24"/>
                <w:szCs w:val="24"/>
                <w:rtl w:val="0"/>
              </w:rPr>
              <w:t xml:space="preserve">Approved</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“Associates”</w:t>
            </w:r>
          </w:p>
        </w:tc>
        <w:tc>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relation to an entity, an undertaking in which the entity owns, directly or indirectly, between 20% and 50% of the voting rights and exercises a degree of control sufficient for the undertaking to be treated as an associate under generally accepted accounting principles;</w:t>
            </w:r>
          </w:p>
        </w:tc>
      </w:tr>
      <w:tr>
        <w:trPr>
          <w:cantSplit w:val="0"/>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"Audit"</w:t>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Relevant Authority’s right to: </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verify the accuracy of the Charges and any other amounts payable by a Buyer under a Call-Off Contract (including proposed or actual variations to them in accordance with the Contract); </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verify the costs of the Supplier (including the costs of all Subcontractors and any third party suppliers) in connection with the provision of the Services;</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verify the Open Book Data;</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verify the Supplier’s and each Subcontractor’s compliance with the Contract and applicable Law;</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identify or investigate actual or suspected breach of Clauses 30 to 35 of the General Terms and/or Joint Schedule 5 </w:t>
            </w:r>
            <w:r w:rsidDel="00000000" w:rsidR="00000000" w:rsidRPr="00000000">
              <w:rPr>
                <w:i w:val="1"/>
                <w:iCs w:val="1"/>
                <w:sz w:val="24"/>
                <w:szCs w:val="24"/>
                <w:rtl w:val="0"/>
              </w:rPr>
              <w:t xml:space="preserve">(Sustainability)</w:t>
            </w:r>
            <w:r w:rsidDel="00000000" w:rsidR="00000000" w:rsidRPr="00000000">
              <w:rPr>
                <w:sz w:val="24"/>
                <w:szCs w:val="24"/>
                <w:rtl w:val="0"/>
              </w:rPr>
              <w:t xml:space="preserve">, impropriety or accounting mistakes or any breach or threatened breach of security and in these circumstances the Relevant Authority shall have no obligation to inform the Supplier of the purpose or objective of its investigations;</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identify or investigate any circumstances which may impact upon the financial stability of the Supplier, any Guarantor, and/or any Subcontractors or their ability to provide the Deliverables;</w:t>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obtain such information as is necessary to fulfil the Relevant Authority’s obligations to supply information for parliamentary, ministerial, judicial or administrative purposes including the supply of information to the Comptroller and Auditor General;</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review any books of account and the internal contract management accounts kept by the Supplier in connection with each Contract;</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carry out the Relevant Authority’s internal and statutory audits and to prepare, examine and/or certify the Relevant Authority's annual and interim reports and accounts;</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enable the National Audit Office to carry out an examination pursuant to Section 6(1) of the National Audit Act 1983 of the economy, efficiency and effectiveness with which the Relevant Authority has used its resources; or</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verify the accuracy and completeness of any Management Information delivered or required by the Framework Contract;</w:t>
            </w:r>
          </w:p>
        </w:tc>
      </w:tr>
      <w:tr>
        <w:trPr>
          <w:cantSplit w:val="0"/>
          <w:tblHeader w:val="0"/>
        </w:trPr>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"Auditor"</w:t>
            </w:r>
          </w:p>
        </w:tc>
        <w:tc>
          <w:tcPr/>
          <w:p w:rsidR="00000000" w:rsidDel="00000000" w:rsidP="00000000" w:rsidRDefault="00000000" w:rsidRPr="00000000" w14:paraId="00000036">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the Relevant Authority’s internal and external auditors;</w:t>
            </w:r>
          </w:p>
          <w:p w:rsidR="00000000" w:rsidDel="00000000" w:rsidP="00000000" w:rsidRDefault="00000000" w:rsidRPr="00000000" w14:paraId="00000037">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the Relevant Authority’s statutory or regulatory auditors;</w:t>
            </w:r>
          </w:p>
          <w:p w:rsidR="00000000" w:rsidDel="00000000" w:rsidP="00000000" w:rsidRDefault="00000000" w:rsidRPr="00000000" w14:paraId="00000038">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the Comptroller and Auditor General, their staff and/or any appointed representatives of the National Audit Office;</w:t>
            </w:r>
          </w:p>
          <w:p w:rsidR="00000000" w:rsidDel="00000000" w:rsidP="00000000" w:rsidRDefault="00000000" w:rsidRPr="00000000" w14:paraId="00000039">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HM Treasury or the Cabinet Office;</w:t>
            </w:r>
          </w:p>
          <w:p w:rsidR="00000000" w:rsidDel="00000000" w:rsidP="00000000" w:rsidRDefault="00000000" w:rsidRPr="00000000" w14:paraId="0000003A">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any party formally appointed by the Relevant Authority to carry out audit or similar review functions; and</w:t>
            </w:r>
          </w:p>
          <w:p w:rsidR="00000000" w:rsidDel="00000000" w:rsidP="00000000" w:rsidRDefault="00000000" w:rsidRPr="00000000" w14:paraId="0000003B">
            <w:pPr>
              <w:numPr>
                <w:ilvl w:val="0"/>
                <w:numId w:val="2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successors or assigns of any of the above;</w:t>
            </w:r>
          </w:p>
        </w:tc>
      </w:tr>
      <w:tr>
        <w:trPr>
          <w:cantSplit w:val="0"/>
          <w:trHeight w:val="601" w:hRule="atLeast"/>
          <w:tblHeader w:val="0"/>
        </w:trPr>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"Authority"</w:t>
            </w:r>
          </w:p>
        </w:tc>
        <w:tc>
          <w:tcPr/>
          <w:p w:rsidR="00000000" w:rsidDel="00000000" w:rsidP="00000000" w:rsidRDefault="00000000" w:rsidRPr="00000000" w14:paraId="0000003D">
            <w:pPr>
              <w:spacing w:after="120" w:before="120" w:lineRule="auto"/>
              <w:ind w:left="170" w:firstLine="0"/>
              <w:rPr>
                <w:sz w:val="24"/>
                <w:szCs w:val="24"/>
              </w:rPr>
            </w:pPr>
            <w:r w:rsidDel="00000000" w:rsidR="00000000" w:rsidRPr="00000000">
              <w:rPr>
                <w:sz w:val="24"/>
                <w:szCs w:val="24"/>
                <w:rtl w:val="0"/>
              </w:rPr>
              <w:t xml:space="preserve">GCA and each Buyer;</w:t>
            </w:r>
          </w:p>
        </w:tc>
      </w:tr>
      <w:tr>
        <w:trPr>
          <w:cantSplit w:val="0"/>
          <w:tblHeader w:val="0"/>
        </w:trPr>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"Authority Cause"</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breach of the obligations of the Relevant Authority or any other default, act, omission, negligence or statement of the Relevant Authority, of its employees, servants, agents in connection with or in relation to the subject-matter of the Contract and in respect of which the Relevant Authority is liable to the Supplier;</w:t>
            </w:r>
          </w:p>
        </w:tc>
      </w:tr>
      <w:tr>
        <w:trPr>
          <w:cantSplit w:val="0"/>
          <w:tblHeader w:val="0"/>
        </w:trPr>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"Baseline Personnel Security Standard" or "BPSS"</w:t>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120" w:lineRule="auto"/>
              <w:ind w:left="170" w:firstLine="0"/>
              <w:rPr>
                <w:b w:val="1"/>
                <w:bCs w:val="1"/>
                <w:sz w:val="24"/>
                <w:szCs w:val="24"/>
              </w:rPr>
            </w:pPr>
            <w:r w:rsidDel="00000000" w:rsidR="00000000" w:rsidRPr="00000000">
              <w:rPr>
                <w:sz w:val="24"/>
                <w:szCs w:val="24"/>
                <w:rtl w:val="0"/>
              </w:rPr>
              <w:t xml:space="preserve">the HMG Baseline Personnel Security Standard found at https://assets.publishing.service.gov.uk/media/5b169993ed915d2cbae4af03/HMG_Baseline_Personnel_Security_Standard_-_May_2018.pdf, as replaced or updated from time to time, or equivalent standard using Good Industry Practice;</w:t>
            </w:r>
            <w:r w:rsidDel="00000000" w:rsidR="00000000" w:rsidRPr="00000000">
              <w:rPr>
                <w:rtl w:val="0"/>
              </w:rPr>
            </w:r>
          </w:p>
        </w:tc>
      </w:tr>
      <w:tr>
        <w:trPr>
          <w:cantSplit w:val="0"/>
          <w:tblHeader w:val="0"/>
        </w:trPr>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"Beneficiary"</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Party having (or claiming to have) the benefit of an indemnity under the Contract;</w:t>
            </w:r>
          </w:p>
        </w:tc>
      </w:tr>
      <w:tr>
        <w:trPr>
          <w:cantSplit w:val="0"/>
          <w:tblHeader w:val="0"/>
        </w:trPr>
        <w:tc>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"Business Continuity Plan"</w:t>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Call-Off Schedule 8 </w:t>
            </w:r>
            <w:r w:rsidDel="00000000" w:rsidR="00000000" w:rsidRPr="00000000">
              <w:rPr>
                <w:i w:val="1"/>
                <w:iCs w:val="1"/>
                <w:sz w:val="24"/>
                <w:szCs w:val="24"/>
                <w:rtl w:val="0"/>
              </w:rPr>
              <w:t xml:space="preserve">(Business Continuity and Disaster Recovery)</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w:t>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relevant public sector purchaser identified as such in the Order Form;</w:t>
            </w:r>
          </w:p>
        </w:tc>
      </w:tr>
      <w:tr>
        <w:trPr>
          <w:cantSplit w:val="0"/>
          <w:tblHeader w:val="0"/>
        </w:trPr>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Equipment"</w:t>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hardware, computer or telecoms devices, and equipment that forms part of the Buyer System;</w:t>
            </w:r>
          </w:p>
        </w:tc>
      </w:tr>
      <w:tr>
        <w:trPr>
          <w:cantSplit w:val="0"/>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Existing IPR”</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and all IPR that are owned by or licensed to the Buyer, and where the Buyer is a Crown Body, any Crown IPR, and which are or have been developed independently of the Contract (whether prior to the Effective Date or otherwise), but excluding, where an IPR Option in Part B of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 applies, any Buyer Software;</w:t>
            </w:r>
          </w:p>
        </w:tc>
      </w:tr>
      <w:tr>
        <w:trPr>
          <w:cantSplit w:val="0"/>
          <w:tblHeader w:val="0"/>
        </w:trPr>
        <w:tc>
          <w:tcPr/>
          <w:p w:rsidR="00000000" w:rsidDel="00000000" w:rsidP="00000000" w:rsidRDefault="00000000" w:rsidRPr="00000000" w14:paraId="0000004C">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Assets"</w:t>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Buyer’s infrastructure, data, software, materials, assets, equipment or other property owned by and/or licensed or leased to the Buyer and which is or may be used in connection with the provision of the Deliverables which remain the property of the Buyer throughout the term of the Contract;</w:t>
            </w:r>
          </w:p>
        </w:tc>
      </w:tr>
      <w:tr>
        <w:trPr>
          <w:cantSplit w:val="0"/>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Authorised Representative"</w:t>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representative appointed by the Buyer from time to time in relation to the Call-Off Contract initially identified in the Order Form;</w:t>
            </w:r>
          </w:p>
        </w:tc>
      </w:tr>
      <w:tr>
        <w:trPr>
          <w:cantSplit w:val="0"/>
          <w:tblHeader w:val="0"/>
        </w:trPr>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Premises"</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premises owned, controlled or occupied by the Buyer which are made available for use by the Supplier or its Subcontractors for the provision of the Deliverables (or any of them);</w:t>
            </w:r>
          </w:p>
        </w:tc>
      </w:tr>
      <w:tr>
        <w:trPr>
          <w:cantSplit w:val="0"/>
          <w:tblHeader w:val="0"/>
        </w:trPr>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Software”</w:t>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software which is owned by or licensed to the Buyer and which is or will be used by the Supplier for the purposes of providing the Deliverables;</w:t>
            </w:r>
          </w:p>
        </w:tc>
      </w:tr>
      <w:tr>
        <w:trPr>
          <w:cantSplit w:val="0"/>
          <w:tblHeader w:val="0"/>
        </w:trPr>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“Buyer System”</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Buyer's information and communications technology system, including any software or Buyer Equipment, owned by the Buyer, or leased or licences to it by a third party, that: </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is used by the Buyer or the Supplier in connection with the Contract;</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interfaces with the Supplier System; and/or</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is necessary for the Buyer to receive the Services;</w:t>
            </w:r>
          </w:p>
        </w:tc>
      </w:tr>
      <w:tr>
        <w:trPr>
          <w:cantSplit w:val="0"/>
          <w:tblHeader w:val="0"/>
        </w:trPr>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Contract"</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 between the Buyer and the Supplier (entered into pursuant to the provisions of the Framework Contract), which consists of the terms set out and referred to in the Order Form;</w:t>
            </w:r>
          </w:p>
        </w:tc>
      </w:tr>
      <w:tr>
        <w:trPr>
          <w:cantSplit w:val="0"/>
          <w:tblHeader w:val="0"/>
        </w:trPr>
        <w:tc>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Contract Period"</w:t>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 Period in respect of the Call-Off Contract;</w:t>
            </w:r>
          </w:p>
        </w:tc>
      </w:tr>
      <w:tr>
        <w:trPr>
          <w:cantSplit w:val="0"/>
          <w:tblHeader w:val="0"/>
        </w:trPr>
        <w:tc>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Expiry Date"</w:t>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scheduled date of the end of a Call-Off Contract as stated in the Order Form;</w:t>
            </w:r>
          </w:p>
        </w:tc>
      </w:tr>
      <w:tr>
        <w:trPr>
          <w:cantSplit w:val="0"/>
          <w:tblHeader w:val="0"/>
        </w:trPr>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Incorporated Terms"</w:t>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contractual terms applicable to the Call-Off Contract specified under the relevant heading in the Order Form;</w:t>
            </w:r>
          </w:p>
        </w:tc>
      </w:tr>
      <w:tr>
        <w:trPr>
          <w:cantSplit w:val="0"/>
          <w:tblHeader w:val="0"/>
        </w:trPr>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Initial Period"</w:t>
            </w:r>
          </w:p>
        </w:tc>
        <w:tc>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Initial Period of a Call-Off Contract specified in the Order Form;</w:t>
            </w:r>
          </w:p>
        </w:tc>
      </w:tr>
      <w:tr>
        <w:trPr>
          <w:cantSplit w:val="0"/>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Optional Extension Period"</w:t>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such period or periods beyond which the Call-Off Initial Period may be extended as specified in the Order Form;</w:t>
            </w:r>
          </w:p>
        </w:tc>
      </w:tr>
      <w:tr>
        <w:trPr>
          <w:cantSplit w:val="0"/>
          <w:tblHeader w:val="0"/>
        </w:trPr>
        <w:tc>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Procedure"</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process for awarding a Call-Off Contract pursuant to Clause 2 </w:t>
            </w:r>
            <w:r w:rsidDel="00000000" w:rsidR="00000000" w:rsidRPr="00000000">
              <w:rPr>
                <w:i w:val="1"/>
                <w:iCs w:val="1"/>
                <w:sz w:val="24"/>
                <w:szCs w:val="24"/>
                <w:rtl w:val="0"/>
              </w:rPr>
              <w:t xml:space="preserve">(How the contract works)</w:t>
            </w:r>
            <w:r w:rsidDel="00000000" w:rsidR="00000000" w:rsidRPr="00000000">
              <w:rPr>
                <w:sz w:val="24"/>
                <w:szCs w:val="24"/>
                <w:rtl w:val="0"/>
              </w:rPr>
              <w:t xml:space="preserve"> of the General Terms and Framework Schedule 7 </w:t>
            </w:r>
            <w:r w:rsidDel="00000000" w:rsidR="00000000" w:rsidRPr="00000000">
              <w:rPr>
                <w:i w:val="1"/>
                <w:iCs w:val="1"/>
                <w:sz w:val="24"/>
                <w:szCs w:val="24"/>
                <w:rtl w:val="0"/>
              </w:rPr>
              <w:t xml:space="preserve">(Call-Off Award Procedure)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Special Terms"</w:t>
            </w:r>
          </w:p>
        </w:tc>
        <w:tc>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additional terms and conditions specified in the Order Form incorporated into the applicable Call-Off Contract; </w:t>
            </w:r>
          </w:p>
        </w:tc>
      </w:tr>
      <w:tr>
        <w:trPr>
          <w:cantSplit w:val="0"/>
          <w:tblHeader w:val="0"/>
        </w:trPr>
        <w:tc>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Start Date"</w:t>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date of start of a Call-Off Contract as stated in the Order Form;</w:t>
            </w:r>
          </w:p>
        </w:tc>
      </w:tr>
      <w:tr>
        <w:trPr>
          <w:cantSplit w:val="0"/>
          <w:tblHeader w:val="0"/>
        </w:trPr>
        <w:tc>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"Call-Off Tender"</w:t>
            </w:r>
          </w:p>
        </w:tc>
        <w:tc>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tender submitted by the Supplier in response to the Buyer’s Statement of Requirements following a Competitive Selection Process and set out at Call-Off Schedule 4 </w:t>
            </w:r>
            <w:r w:rsidDel="00000000" w:rsidR="00000000" w:rsidRPr="00000000">
              <w:rPr>
                <w:i w:val="1"/>
                <w:iCs w:val="1"/>
                <w:sz w:val="24"/>
                <w:szCs w:val="24"/>
                <w:rtl w:val="0"/>
              </w:rPr>
              <w:t xml:space="preserve">(Call-Off Tender)</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b w:val="1"/>
                <w:bCs w:val="1"/>
                <w:sz w:val="24"/>
                <w:szCs w:val="24"/>
                <w:rtl w:val="0"/>
              </w:rPr>
              <w:t xml:space="preserve">"Catalogue"</w:t>
            </w:r>
            <w:r w:rsidDel="00000000" w:rsidR="00000000" w:rsidRPr="00000000">
              <w:rPr>
                <w:rtl w:val="0"/>
              </w:rPr>
            </w:r>
          </w:p>
        </w:tc>
        <w:tc>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before="120" w:lineRule="auto"/>
              <w:ind w:left="170" w:firstLine="0"/>
              <w:rPr/>
            </w:pPr>
            <w:r w:rsidDel="00000000" w:rsidR="00000000" w:rsidRPr="00000000">
              <w:rPr>
                <w:sz w:val="24"/>
                <w:szCs w:val="24"/>
                <w:rtl w:val="0"/>
              </w:rPr>
              <w:t xml:space="preserve">the Supplier’s catalogue of Deliverables available to Buyers in relation to Lot 1 and Lot 3 via Award Without Competition;</w:t>
            </w:r>
            <w:r w:rsidDel="00000000" w:rsidR="00000000" w:rsidRPr="00000000">
              <w:rPr>
                <w:rtl w:val="0"/>
              </w:rPr>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"GCA"</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Minister for the Cabinet Office as represented by Government Commercial Agency, which is an executive agency and operates as a trading fund of the Cabinet Office, whose offices are located at 9th Floor, The Capital, Old Hall Street, Liverpool L3 9PP;</w:t>
            </w:r>
          </w:p>
        </w:tc>
      </w:tr>
      <w:tr>
        <w:trPr>
          <w:cantSplit w:val="0"/>
          <w:tblHeader w:val="0"/>
        </w:trPr>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"GCA Authorised Representative"</w:t>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representative appointed by GCA from time to time in relation to the Framework Contract initially identified in the Framework Award Form;</w:t>
            </w:r>
          </w:p>
        </w:tc>
      </w:tr>
      <w:tr>
        <w:trPr>
          <w:cantSplit w:val="0"/>
          <w:tblHeader w:val="0"/>
        </w:trPr>
        <w:tc>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"Change in Law"</w:t>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change in Law which impacts on the supply of the Deliverables and performance of the Contract which comes into force after the Effective Date;</w:t>
            </w: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"Change of Control"</w:t>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change of control within the meaning of Section 450 of the Corporation Tax Act 2010;</w:t>
            </w:r>
          </w:p>
        </w:tc>
      </w:tr>
      <w:tr>
        <w:trPr>
          <w:cantSplit w:val="0"/>
          <w:tblHeader w:val="0"/>
        </w:trPr>
        <w:tc>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"Charges"</w:t>
            </w:r>
          </w:p>
        </w:tc>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prices (exclusive of any applicable VAT), payable to the Supplier by the Buyer under the Call-Off Contract, as set out in the Order Form, for the full and proper performance by the Supplier of its obligations under the Call-Off Contract less any Deductions;</w:t>
            </w:r>
          </w:p>
        </w:tc>
      </w:tr>
      <w:tr>
        <w:trPr>
          <w:cantSplit w:val="0"/>
          <w:tblHeader w:val="0"/>
        </w:trPr>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"Claim"</w:t>
            </w:r>
          </w:p>
        </w:tc>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claim which it appears that a Beneficiary is, or may become, entitled to indemnification under the Contract;</w:t>
            </w:r>
          </w:p>
        </w:tc>
      </w:tr>
      <w:tr>
        <w:trPr>
          <w:cantSplit w:val="0"/>
          <w:tblHeader w:val="0"/>
        </w:trPr>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"Code"</w:t>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where used in the Security Requirements in respect of the Developed System (and unless the context requires otherwise) means:</w:t>
            </w:r>
          </w:p>
          <w:p w:rsidR="00000000" w:rsidDel="00000000" w:rsidP="00000000" w:rsidRDefault="00000000" w:rsidRPr="00000000" w14:paraId="0000007D">
            <w:pPr>
              <w:numPr>
                <w:ilvl w:val="0"/>
                <w:numId w:val="18"/>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the source code;</w:t>
            </w:r>
          </w:p>
          <w:p w:rsidR="00000000" w:rsidDel="00000000" w:rsidP="00000000" w:rsidRDefault="00000000" w:rsidRPr="00000000" w14:paraId="0000007E">
            <w:pPr>
              <w:numPr>
                <w:ilvl w:val="0"/>
                <w:numId w:val="18"/>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the object code;</w:t>
            </w:r>
          </w:p>
          <w:p w:rsidR="00000000" w:rsidDel="00000000" w:rsidP="00000000" w:rsidRDefault="00000000" w:rsidRPr="00000000" w14:paraId="0000007F">
            <w:pPr>
              <w:numPr>
                <w:ilvl w:val="0"/>
                <w:numId w:val="18"/>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third party components, including third party coding frameworks and libraries; and</w:t>
            </w:r>
          </w:p>
          <w:p w:rsidR="00000000" w:rsidDel="00000000" w:rsidP="00000000" w:rsidRDefault="00000000" w:rsidRPr="00000000" w14:paraId="00000080">
            <w:pPr>
              <w:numPr>
                <w:ilvl w:val="0"/>
                <w:numId w:val="18"/>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all supporting documentation;</w:t>
            </w:r>
          </w:p>
        </w:tc>
      </w:tr>
      <w:tr>
        <w:trPr>
          <w:cantSplit w:val="0"/>
          <w:tblHeader w:val="0"/>
        </w:trPr>
        <w:tc>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"Commercially Sensitive Information"</w:t>
            </w:r>
          </w:p>
        </w:tc>
        <w:tc>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Confidential Information listed in the Framework Award Form or Order Form (if any) or listed in Joint Schedule 4 </w:t>
            </w:r>
            <w:r w:rsidDel="00000000" w:rsidR="00000000" w:rsidRPr="00000000">
              <w:rPr>
                <w:i w:val="1"/>
                <w:iCs w:val="1"/>
                <w:sz w:val="24"/>
                <w:szCs w:val="24"/>
                <w:rtl w:val="0"/>
              </w:rPr>
              <w:t xml:space="preserve">(Commercially Sensitive Information)</w:t>
            </w:r>
            <w:r w:rsidDel="00000000" w:rsidR="00000000" w:rsidRPr="00000000">
              <w:rPr>
                <w:sz w:val="24"/>
                <w:szCs w:val="24"/>
                <w:rtl w:val="0"/>
              </w:rPr>
              <w:t xml:space="preserve">, comprising of commercially sensitive information relating to the Supplier, its IPR or its business or which the Supplier has indicated to the Relevant Authority that, if disclosed by the Relevant Authority, would cause the Supplier significant commercial disadvantage or material financial loss;</w:t>
            </w:r>
          </w:p>
        </w:tc>
      </w:tr>
      <w:tr>
        <w:trPr>
          <w:cantSplit w:val="0"/>
          <w:tblHeader w:val="0"/>
        </w:trPr>
        <w:tc>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"Comparable Supply"</w:t>
            </w:r>
          </w:p>
        </w:tc>
        <w:tc>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supply of Deliverables to another Buyer of the Supplier that are the same or similar to the Deliverables;</w:t>
            </w:r>
          </w:p>
        </w:tc>
      </w:tr>
      <w:tr>
        <w:trPr>
          <w:cantSplit w:val="0"/>
          <w:tblHeader w:val="0"/>
        </w:trPr>
        <w:tc>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"Competitive Selection Process"</w:t>
            </w:r>
          </w:p>
        </w:tc>
        <w:tc>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in Framework Schedule 7 </w:t>
            </w:r>
            <w:r w:rsidDel="00000000" w:rsidR="00000000" w:rsidRPr="00000000">
              <w:rPr>
                <w:i w:val="1"/>
                <w:iCs w:val="1"/>
                <w:sz w:val="24"/>
                <w:szCs w:val="24"/>
                <w:rtl w:val="0"/>
              </w:rPr>
              <w:t xml:space="preserve">(Call-Off Award Procedure)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"Compliance Officer"</w:t>
            </w:r>
          </w:p>
        </w:tc>
        <w:tc>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person(s) appointed by the Supplier who is responsible for ensuring that the Supplier complies with its legal obligations;</w:t>
            </w:r>
          </w:p>
        </w:tc>
      </w:tr>
      <w:tr>
        <w:trPr>
          <w:cantSplit w:val="0"/>
          <w:tblHeader w:val="0"/>
        </w:trPr>
        <w:tc>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"Confidential Information"</w:t>
            </w:r>
          </w:p>
        </w:tc>
        <w:tc>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information, however it is conveyed, that relates to the business, affairs, developments, trade secrets, Know-How, personnel and suppliers of GCA, the Buyer or the Supplier, including IPRs, together with information derived from the above, and any other information clearly designated as being confidential (whether or not it is marked as </w:t>
            </w:r>
            <w:r w:rsidDel="00000000" w:rsidR="00000000" w:rsidRPr="00000000">
              <w:rPr>
                <w:b w:val="1"/>
                <w:bCs w:val="1"/>
                <w:sz w:val="24"/>
                <w:szCs w:val="24"/>
                <w:rtl w:val="0"/>
              </w:rPr>
              <w:t xml:space="preserve">"confidential"</w:t>
            </w:r>
            <w:r w:rsidDel="00000000" w:rsidR="00000000" w:rsidRPr="00000000">
              <w:rPr>
                <w:sz w:val="24"/>
                <w:szCs w:val="24"/>
                <w:rtl w:val="0"/>
              </w:rPr>
              <w:t xml:space="preserve">) or which ought reasonably to be considered to be confidential;</w:t>
            </w:r>
          </w:p>
        </w:tc>
      </w:tr>
      <w:tr>
        <w:trPr>
          <w:cantSplit w:val="0"/>
          <w:tblHeader w:val="0"/>
        </w:trPr>
        <w:tc>
          <w:tcPr/>
          <w:p w:rsidR="00000000" w:rsidDel="00000000" w:rsidP="00000000" w:rsidRDefault="00000000" w:rsidRPr="00000000" w14:paraId="0000008B">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"Conflict of Interest"</w:t>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direct or indirect conflict between the financial, professional or personal interests of the Supplier or the Supplier Staff and the duties owed to GCA or any Buyer under a Contract, in the reasonable opinion of the Buyer or GCA;</w:t>
            </w:r>
          </w:p>
        </w:tc>
      </w:tr>
      <w:tr>
        <w:trPr>
          <w:cantSplit w:val="0"/>
          <w:tblHeader w:val="0"/>
        </w:trPr>
        <w:tc>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"Contract"</w:t>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either the Framework Contract or the Call-Off Contract, as the context requires;</w:t>
            </w:r>
          </w:p>
        </w:tc>
      </w:tr>
      <w:tr>
        <w:trPr>
          <w:cantSplit w:val="0"/>
          <w:tblHeader w:val="0"/>
        </w:trPr>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"Contract Period"</w:t>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term of either a Framework Contract or Call-Off Contract on and from the earlier of the: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20" w:before="120" w:lineRule="auto"/>
              <w:ind w:left="878" w:hanging="708"/>
              <w:rPr>
                <w:sz w:val="24"/>
                <w:szCs w:val="24"/>
              </w:rPr>
            </w:pPr>
            <w:r w:rsidDel="00000000" w:rsidR="00000000" w:rsidRPr="00000000">
              <w:rPr>
                <w:sz w:val="24"/>
                <w:szCs w:val="24"/>
                <w:rtl w:val="0"/>
              </w:rPr>
              <w:t xml:space="preserve">a)       Start Date; or</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20" w:before="120" w:lineRule="auto"/>
              <w:ind w:left="878" w:hanging="708"/>
              <w:rPr>
                <w:sz w:val="24"/>
                <w:szCs w:val="24"/>
              </w:rPr>
            </w:pPr>
            <w:r w:rsidDel="00000000" w:rsidR="00000000" w:rsidRPr="00000000">
              <w:rPr>
                <w:sz w:val="24"/>
                <w:szCs w:val="24"/>
                <w:rtl w:val="0"/>
              </w:rPr>
              <w:t xml:space="preserve">b)       Effective Date,</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until the End Date; </w:t>
            </w:r>
          </w:p>
        </w:tc>
      </w:tr>
      <w:tr>
        <w:trPr>
          <w:cantSplit w:val="0"/>
          <w:tblHeader w:val="0"/>
        </w:trPr>
        <w:tc>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"Contract Value"</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higher of the actual or expected total Charges paid or payable under a Contract where all obligations are met by the Supplier;</w:t>
            </w:r>
          </w:p>
        </w:tc>
      </w:tr>
      <w:tr>
        <w:trPr>
          <w:cantSplit w:val="0"/>
          <w:tblHeader w:val="0"/>
        </w:trPr>
        <w:tc>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"Contract Year"</w:t>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consecutive period of twelve (12) Months commencing on the Start Date or each anniversary thereof;</w:t>
            </w:r>
          </w:p>
        </w:tc>
      </w:tr>
      <w:tr>
        <w:trPr>
          <w:cantSplit w:val="0"/>
          <w:tblHeader w:val="0"/>
        </w:trPr>
        <w:tc>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"Control"</w:t>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control in either of the senses defined in sections 450 and 1124 of the Corporation Tax Act 2010 and "</w:t>
            </w:r>
            <w:r w:rsidDel="00000000" w:rsidR="00000000" w:rsidRPr="00000000">
              <w:rPr>
                <w:b w:val="1"/>
                <w:bCs w:val="1"/>
                <w:sz w:val="24"/>
                <w:szCs w:val="24"/>
                <w:rtl w:val="0"/>
              </w:rPr>
              <w:t xml:space="preserve">Controlled</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120" w:before="120" w:lineRule="auto"/>
              <w:ind w:left="-108" w:firstLine="0"/>
              <w:rPr>
                <w:b w:val="1"/>
                <w:bCs w:val="1"/>
                <w:sz w:val="24"/>
                <w:szCs w:val="24"/>
              </w:rPr>
            </w:pPr>
            <w:r w:rsidDel="00000000" w:rsidR="00000000" w:rsidRPr="00000000">
              <w:rPr>
                <w:b w:val="1"/>
                <w:bCs w:val="1"/>
                <w:sz w:val="24"/>
                <w:szCs w:val="24"/>
                <w:rtl w:val="0"/>
              </w:rPr>
              <w:t xml:space="preserve">“"Controller”</w:t>
            </w:r>
          </w:p>
        </w:tc>
        <w:tc>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the EU GDPR as the context requires;</w:t>
            </w:r>
          </w:p>
        </w:tc>
      </w:tr>
      <w:tr>
        <w:trPr>
          <w:cantSplit w:val="0"/>
          <w:tblHeader w:val="0"/>
        </w:trPr>
        <w:tc>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"Costs"</w:t>
            </w:r>
          </w:p>
        </w:tc>
        <w:tc>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following costs (without double recovery) to the extent that they are reasonably and properly incurred by the Supplier in providing the Deliverables:</w:t>
            </w:r>
          </w:p>
          <w:p w:rsidR="00000000" w:rsidDel="00000000" w:rsidP="00000000" w:rsidRDefault="00000000" w:rsidRPr="00000000" w14:paraId="0000009E">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cost to the Supplier or the Key Subcontractor (as the context requires), calculated per Work Day, of engaging the Supplier Staff, including:</w:t>
            </w:r>
          </w:p>
          <w:p w:rsidR="00000000" w:rsidDel="00000000" w:rsidP="00000000" w:rsidRDefault="00000000" w:rsidRPr="00000000" w14:paraId="0000009F">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base salary paid to the Supplier Staff;</w:t>
            </w:r>
          </w:p>
          <w:p w:rsidR="00000000" w:rsidDel="00000000" w:rsidP="00000000" w:rsidRDefault="00000000" w:rsidRPr="00000000" w14:paraId="000000A0">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employer’s National Insurance contributions;</w:t>
            </w:r>
          </w:p>
          <w:p w:rsidR="00000000" w:rsidDel="00000000" w:rsidP="00000000" w:rsidRDefault="00000000" w:rsidRPr="00000000" w14:paraId="000000A1">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pension contributions;</w:t>
            </w:r>
          </w:p>
          <w:p w:rsidR="00000000" w:rsidDel="00000000" w:rsidP="00000000" w:rsidRDefault="00000000" w:rsidRPr="00000000" w14:paraId="000000A2">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car allowances; </w:t>
            </w:r>
          </w:p>
          <w:p w:rsidR="00000000" w:rsidDel="00000000" w:rsidP="00000000" w:rsidRDefault="00000000" w:rsidRPr="00000000" w14:paraId="000000A3">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any other contractual employment benefits;</w:t>
            </w:r>
          </w:p>
          <w:p w:rsidR="00000000" w:rsidDel="00000000" w:rsidP="00000000" w:rsidRDefault="00000000" w:rsidRPr="00000000" w14:paraId="000000A4">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staff training;</w:t>
            </w:r>
          </w:p>
          <w:p w:rsidR="00000000" w:rsidDel="00000000" w:rsidP="00000000" w:rsidRDefault="00000000" w:rsidRPr="00000000" w14:paraId="000000A5">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work place accommodation;</w:t>
            </w:r>
          </w:p>
          <w:p w:rsidR="00000000" w:rsidDel="00000000" w:rsidP="00000000" w:rsidRDefault="00000000" w:rsidRPr="00000000" w14:paraId="000000A6">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work place IT equipment and tools reasonably necessary to provide the Deliverables (but not including items included within limb b) below); and</w:t>
            </w:r>
          </w:p>
          <w:p w:rsidR="00000000" w:rsidDel="00000000" w:rsidP="00000000" w:rsidRDefault="00000000" w:rsidRPr="00000000" w14:paraId="000000A7">
            <w:pPr>
              <w:numPr>
                <w:ilvl w:val="2"/>
                <w:numId w:val="2"/>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reasonable recruitment costs, as agreed with the Buyer; </w:t>
            </w:r>
          </w:p>
          <w:p w:rsidR="00000000" w:rsidDel="00000000" w:rsidP="00000000" w:rsidRDefault="00000000" w:rsidRPr="00000000" w14:paraId="000000A8">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costs incurred in respect of Supplier Assets which would be treated as capital costs according to generally accepted accounting principles within the UK, which shall include the cost to be charged in respect of Supplier Assets by the Supplier to the Buyer or (to the extent that risk and title in any Supplier Asset is not held by the Supplier) any cost actually incurred by the Supplier in respect of those Supplier Assets;</w:t>
            </w:r>
          </w:p>
          <w:p w:rsidR="00000000" w:rsidDel="00000000" w:rsidP="00000000" w:rsidRDefault="00000000" w:rsidRPr="00000000" w14:paraId="000000A9">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operational costs which are not included within a) or b) above, to the extent that such costs are necessary and properly incurred by the Supplier in the provision of the Deliverables; and</w:t>
            </w:r>
          </w:p>
          <w:p w:rsidR="00000000" w:rsidDel="00000000" w:rsidP="00000000" w:rsidRDefault="00000000" w:rsidRPr="00000000" w14:paraId="000000AA">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Reimbursable Expenses to the extent these have been specified as allowable in the Order Form and are incurred in delivering any Deliverables;</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but excluding:</w:t>
            </w:r>
          </w:p>
          <w:p w:rsidR="00000000" w:rsidDel="00000000" w:rsidP="00000000" w:rsidRDefault="00000000" w:rsidRPr="00000000" w14:paraId="000000AC">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Overhead;</w:t>
            </w:r>
          </w:p>
          <w:p w:rsidR="00000000" w:rsidDel="00000000" w:rsidP="00000000" w:rsidRDefault="00000000" w:rsidRPr="00000000" w14:paraId="000000AD">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financing or similar constraints;</w:t>
            </w:r>
          </w:p>
          <w:p w:rsidR="00000000" w:rsidDel="00000000" w:rsidP="00000000" w:rsidRDefault="00000000" w:rsidRPr="00000000" w14:paraId="000000AE">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maintenance and support costs to the extent that these relate to maintenance and/or support Deliverables provided beyond the Call-Off Contract Period whether in relation to Supplier Assets or otherwise;</w:t>
            </w:r>
          </w:p>
          <w:p w:rsidR="00000000" w:rsidDel="00000000" w:rsidP="00000000" w:rsidRDefault="00000000" w:rsidRPr="00000000" w14:paraId="000000AF">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taxation;</w:t>
            </w:r>
          </w:p>
          <w:p w:rsidR="00000000" w:rsidDel="00000000" w:rsidP="00000000" w:rsidRDefault="00000000" w:rsidRPr="00000000" w14:paraId="000000B0">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fines and penalties;</w:t>
            </w:r>
          </w:p>
          <w:p w:rsidR="00000000" w:rsidDel="00000000" w:rsidP="00000000" w:rsidRDefault="00000000" w:rsidRPr="00000000" w14:paraId="000000B1">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amounts payable under Call-Off Schedule 16 </w:t>
            </w:r>
            <w:r w:rsidDel="00000000" w:rsidR="00000000" w:rsidRPr="00000000">
              <w:rPr>
                <w:i w:val="1"/>
                <w:iCs w:val="1"/>
                <w:sz w:val="24"/>
                <w:szCs w:val="24"/>
                <w:rtl w:val="0"/>
              </w:rPr>
              <w:t xml:space="preserve">(Benchmarking)</w:t>
            </w:r>
            <w:r w:rsidDel="00000000" w:rsidR="00000000" w:rsidRPr="00000000">
              <w:rPr>
                <w:sz w:val="24"/>
                <w:szCs w:val="24"/>
                <w:rtl w:val="0"/>
              </w:rPr>
              <w:t xml:space="preserve"> where such Schedule is used; and</w:t>
            </w:r>
          </w:p>
          <w:p w:rsidR="00000000" w:rsidDel="00000000" w:rsidP="00000000" w:rsidRDefault="00000000" w:rsidRPr="00000000" w14:paraId="000000B2">
            <w:pPr>
              <w:numPr>
                <w:ilvl w:val="1"/>
                <w:numId w:val="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non-cash items (including depreciation, amortisation, impairments and movements in provisions);</w:t>
            </w:r>
          </w:p>
        </w:tc>
      </w:tr>
      <w:tr>
        <w:trPr>
          <w:cantSplit w:val="0"/>
          <w:tblHeader w:val="0"/>
        </w:trPr>
        <w:tc>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“COTS Software” or “Commercial off the shelf Software”</w:t>
            </w:r>
          </w:p>
        </w:tc>
        <w:tc>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non-customised software where the IPR may be owned and licensed either by the Supplier or a third party depending on the context, and which is commercially available for purchase and subject to standard licence terms;</w:t>
            </w:r>
          </w:p>
        </w:tc>
      </w:tr>
      <w:tr>
        <w:trPr>
          <w:cantSplit w:val="0"/>
          <w:tblHeader w:val="0"/>
        </w:trPr>
        <w:tc>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“Critical KPI Failure”</w:t>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Order Form;</w:t>
            </w:r>
          </w:p>
        </w:tc>
      </w:tr>
      <w:tr>
        <w:trPr>
          <w:cantSplit w:val="0"/>
          <w:tblHeader w:val="0"/>
        </w:trPr>
        <w:tc>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“Crown Body”</w:t>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government of the United Kingdom (including the Northern Ireland Assembly and Executive Committee, the Scottish Government and the Welsh Government), including government ministers and government departments and particular bodies, persons, commissions or agencies from time to time carrying out functions on its behalf;</w:t>
            </w:r>
          </w:p>
        </w:tc>
      </w:tr>
      <w:tr>
        <w:trPr>
          <w:cantSplit w:val="0"/>
          <w:tblHeader w:val="0"/>
        </w:trPr>
        <w:tc>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“Crown IPR”</w:t>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IPR which is owned by or licensed to the Crown, and which are or have been developed independently of the Contract (whether prior to the Effective Date or otherwise);</w:t>
            </w:r>
          </w:p>
        </w:tc>
      </w:tr>
      <w:tr>
        <w:trPr>
          <w:cantSplit w:val="0"/>
          <w:tblHeader w:val="0"/>
        </w:trPr>
        <w:tc>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"CRTPA"</w:t>
            </w:r>
          </w:p>
        </w:tc>
        <w:tc>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 Rights of Third Parties Act 1999;</w:t>
            </w:r>
          </w:p>
        </w:tc>
      </w:tr>
      <w:tr>
        <w:trPr>
          <w:cantSplit w:val="0"/>
          <w:tblHeader w:val="0"/>
        </w:trPr>
        <w:tc>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Loss Event”</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event that results, or may result, in unauthorised access to Personal Data held by the Controller and/or Processor under the Contract, and/or actual or potential loss and/or destruction of Personal Data in breach of the Contract, including any Personal Data Breach.</w:t>
            </w:r>
          </w:p>
        </w:tc>
      </w:tr>
      <w:tr>
        <w:trPr>
          <w:cantSplit w:val="0"/>
          <w:tblHeader w:val="0"/>
        </w:trPr>
        <w:tc>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Protection Impact Assessment”</w:t>
            </w:r>
          </w:p>
        </w:tc>
        <w:tc>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 assessment by the Controller of the impact of the envisaged Processing on the protection of Personal Data;</w:t>
            </w:r>
          </w:p>
        </w:tc>
      </w:tr>
      <w:tr>
        <w:trPr>
          <w:cantSplit w:val="0"/>
          <w:tblHeader w:val="0"/>
        </w:trPr>
        <w:tc>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Protection Legislation"</w:t>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 the UK GDPR (ii) the DPA 2018 to the extent that it relates to processing of personal data and privacy; (iii) all applicable Law about the processing of personal data and privacy and (iv) (to the extent that it applies) the EU GDPR;</w:t>
            </w:r>
          </w:p>
        </w:tc>
      </w:tr>
      <w:tr>
        <w:trPr>
          <w:cantSplit w:val="0"/>
          <w:tblHeader w:val="0"/>
        </w:trPr>
        <w:tc>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Protection Liability Cap”</w:t>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Framework Award Form;</w:t>
            </w:r>
          </w:p>
        </w:tc>
      </w:tr>
      <w:tr>
        <w:trPr>
          <w:cantSplit w:val="0"/>
          <w:tblHeader w:val="0"/>
        </w:trPr>
        <w:tc>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Protection Officer"</w:t>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EU GDPR as the context requires;</w:t>
            </w:r>
          </w:p>
        </w:tc>
      </w:tr>
      <w:tr>
        <w:trPr>
          <w:cantSplit w:val="0"/>
          <w:tblHeader w:val="0"/>
        </w:trPr>
        <w:tc>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Subject"</w:t>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EU GDPR as the context requires;</w:t>
            </w:r>
          </w:p>
        </w:tc>
      </w:tr>
      <w:tr>
        <w:trPr>
          <w:cantSplit w:val="0"/>
          <w:tblHeader w:val="0"/>
        </w:trPr>
        <w:tc>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"Data Subject Access Request"</w:t>
            </w:r>
          </w:p>
        </w:tc>
        <w:tc>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request made by, or on behalf of, a Data Subject in accordance with rights granted pursuant to the Data Protection Legislation to access their Personal Data;</w:t>
            </w:r>
          </w:p>
        </w:tc>
      </w:tr>
      <w:tr>
        <w:trPr>
          <w:cantSplit w:val="0"/>
          <w:tblHeader w:val="0"/>
        </w:trPr>
        <w:tc>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"Deductions"</w:t>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all Service Credits, Delay Payments (if applicable), or any other deduction which the Buyer is paid or is payable to the Buyer under a Call-Off Contract;</w:t>
            </w:r>
          </w:p>
        </w:tc>
      </w:tr>
      <w:tr>
        <w:trPr>
          <w:cantSplit w:val="0"/>
          <w:tblHeader w:val="0"/>
        </w:trPr>
        <w:tc>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"Default"</w:t>
            </w:r>
          </w:p>
        </w:tc>
        <w:tc>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breach of the obligations of the Supplier (including abandonment of a Contract in breach of its terms) or any other default (including Material Default), act, omission, negligence or statement of the Supplier, of its Subcontractors or any Supplier Staff howsoever arising in connection with or in relation to the subject-matter of a Contract and in respect of which the Supplier is liable to the Relevant Authority;</w:t>
            </w:r>
          </w:p>
        </w:tc>
      </w:tr>
      <w:tr>
        <w:trPr>
          <w:cantSplit w:val="0"/>
          <w:tblHeader w:val="0"/>
        </w:trPr>
        <w:tc>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"Default Management Charge"</w:t>
            </w:r>
          </w:p>
        </w:tc>
        <w:tc>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Paragraph 8.1.1 of Framework Schedule 5 </w:t>
            </w:r>
            <w:r w:rsidDel="00000000" w:rsidR="00000000" w:rsidRPr="00000000">
              <w:rPr>
                <w:i w:val="1"/>
                <w:iCs w:val="1"/>
                <w:sz w:val="24"/>
                <w:szCs w:val="24"/>
                <w:rtl w:val="0"/>
              </w:rPr>
              <w:t xml:space="preserve">(Management Charges and Information)</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"Delay Payments"</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amounts (if any) payable by the Supplier to the Buyer in respect of a delay in respect of a Milestone as specified in the Implementation Plan;</w:t>
            </w:r>
          </w:p>
        </w:tc>
      </w:tr>
      <w:tr>
        <w:trPr>
          <w:cantSplit w:val="0"/>
          <w:tblHeader w:val="0"/>
        </w:trPr>
        <w:tc>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"Deliverables"</w:t>
            </w:r>
          </w:p>
        </w:tc>
        <w:tc>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Goods, Services or software that may be ordered under the Contract including the Documentation; </w:t>
            </w:r>
          </w:p>
        </w:tc>
      </w:tr>
      <w:tr>
        <w:trPr>
          <w:cantSplit w:val="0"/>
          <w:tblHeader w:val="0"/>
        </w:trPr>
        <w:tc>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"Delivery"</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delivery of the relevant Deliverable or Milestone in accordance with the terms of a Call-Off Contract as confirmed and accepted by the Buyer by either (a) confirmation in writing to the Supplier; or (b) where Call-Off Schedule 13 (Implementation Plan and Testing) is used issue by the Buyer of a Satisfaction Certificate. "</w:t>
            </w:r>
            <w:r w:rsidDel="00000000" w:rsidR="00000000" w:rsidRPr="00000000">
              <w:rPr>
                <w:b w:val="1"/>
                <w:bCs w:val="1"/>
                <w:sz w:val="24"/>
                <w:szCs w:val="24"/>
                <w:rtl w:val="0"/>
              </w:rPr>
              <w:t xml:space="preserve">Deliver</w:t>
            </w:r>
            <w:r w:rsidDel="00000000" w:rsidR="00000000" w:rsidRPr="00000000">
              <w:rPr>
                <w:sz w:val="24"/>
                <w:szCs w:val="24"/>
                <w:rtl w:val="0"/>
              </w:rPr>
              <w:t xml:space="preserve">" and "</w:t>
            </w:r>
            <w:r w:rsidDel="00000000" w:rsidR="00000000" w:rsidRPr="00000000">
              <w:rPr>
                <w:b w:val="1"/>
                <w:bCs w:val="1"/>
                <w:sz w:val="24"/>
                <w:szCs w:val="24"/>
                <w:rtl w:val="0"/>
              </w:rPr>
              <w:t xml:space="preserve">Delivered</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“Dependent Parent Undertaking”</w:t>
            </w:r>
          </w:p>
        </w:tc>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Parent Undertaking which provides any of its Subsidiary Undertakings and/or Associates, whether directly or indirectly, with any financial, trading, managerial or other assistance of whatever nature, without which the Supplier would be unable to continue the day to day conduct and operation of its business in the same manner as carried on at the time of entering into the Contract, including for the avoidance of doubt the provision of the Deliverables in accordance with the terms of the Contract;</w:t>
            </w:r>
          </w:p>
        </w:tc>
      </w:tr>
      <w:tr>
        <w:trPr>
          <w:cantSplit w:val="0"/>
          <w:tblHeader w:val="0"/>
        </w:trPr>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"Developed System"</w:t>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for the purposes of the Security Requirements (if any), and unless the context requires otherwise, any software or system that the Supplier will develop under the Contract:</w:t>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715"/>
              </w:tabs>
              <w:spacing w:after="120" w:before="120" w:lineRule="auto"/>
              <w:ind w:left="720" w:hanging="572"/>
              <w:rPr>
                <w:sz w:val="24"/>
                <w:szCs w:val="24"/>
              </w:rPr>
            </w:pPr>
            <w:r w:rsidDel="00000000" w:rsidR="00000000" w:rsidRPr="00000000">
              <w:rPr>
                <w:sz w:val="24"/>
                <w:szCs w:val="24"/>
                <w:rtl w:val="0"/>
              </w:rPr>
              <w:t xml:space="preserve">a)     as part of the Services;</w:t>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left" w:leader="none" w:pos="715"/>
              </w:tabs>
              <w:spacing w:after="120" w:before="120" w:lineRule="auto"/>
              <w:ind w:left="720" w:hanging="572"/>
              <w:rPr>
                <w:sz w:val="24"/>
                <w:szCs w:val="24"/>
              </w:rPr>
            </w:pPr>
            <w:r w:rsidDel="00000000" w:rsidR="00000000" w:rsidRPr="00000000">
              <w:rPr>
                <w:sz w:val="24"/>
                <w:szCs w:val="24"/>
                <w:rtl w:val="0"/>
              </w:rPr>
              <w:t xml:space="preserve">b)     to provide the Services; or</w:t>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left" w:leader="none" w:pos="715"/>
              </w:tabs>
              <w:spacing w:after="120" w:before="120" w:lineRule="auto"/>
              <w:ind w:left="720" w:hanging="572"/>
              <w:rPr>
                <w:sz w:val="24"/>
                <w:szCs w:val="24"/>
              </w:rPr>
            </w:pPr>
            <w:r w:rsidDel="00000000" w:rsidR="00000000" w:rsidRPr="00000000">
              <w:rPr>
                <w:sz w:val="24"/>
                <w:szCs w:val="24"/>
                <w:rtl w:val="0"/>
              </w:rPr>
              <w:t xml:space="preserve">c)     to Handle Government Data;</w:t>
            </w:r>
          </w:p>
        </w:tc>
      </w:tr>
      <w:tr>
        <w:trPr>
          <w:cantSplit w:val="0"/>
          <w:tblHeader w:val="0"/>
        </w:trPr>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“Disaster”</w:t>
            </w:r>
          </w:p>
        </w:tc>
        <w:tc>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occurrence of one or more events which, either separately or cumulatively, mean that the Deliverables, or a material part thereof will be unavailable (or could reasonably be anticipated to be unavailable);</w:t>
            </w:r>
          </w:p>
        </w:tc>
      </w:tr>
      <w:tr>
        <w:trPr>
          <w:cantSplit w:val="0"/>
          <w:tblHeader w:val="0"/>
        </w:trPr>
        <w:tc>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"Disclosing Party"</w:t>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Party directly or indirectly providing Confidential Information to the other Party in accordance with Clause 18 </w:t>
            </w:r>
            <w:r w:rsidDel="00000000" w:rsidR="00000000" w:rsidRPr="00000000">
              <w:rPr>
                <w:i w:val="1"/>
                <w:iCs w:val="1"/>
                <w:sz w:val="24"/>
                <w:szCs w:val="24"/>
                <w:rtl w:val="0"/>
              </w:rPr>
              <w:t xml:space="preserve">(What you must keep confidential) </w:t>
            </w:r>
            <w:r w:rsidDel="00000000" w:rsidR="00000000" w:rsidRPr="00000000">
              <w:rPr>
                <w:sz w:val="24"/>
                <w:szCs w:val="24"/>
                <w:rtl w:val="0"/>
              </w:rPr>
              <w:t xml:space="preserve">of the General Terms;</w:t>
            </w:r>
          </w:p>
        </w:tc>
      </w:tr>
      <w:tr>
        <w:trPr>
          <w:cantSplit w:val="0"/>
          <w:tblHeader w:val="0"/>
        </w:trPr>
        <w:tc>
          <w:tcPr/>
          <w:p w:rsidR="00000000" w:rsidDel="00000000" w:rsidP="00000000" w:rsidRDefault="00000000" w:rsidRPr="00000000" w14:paraId="000000E2">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"Dispute"</w:t>
            </w:r>
          </w:p>
        </w:tc>
        <w:tc>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claim, dispute or difference (whether contractual or non-contractual) arising out of or in connection with the Contract or in connection with the negotiation, existence, legal validity, enforceability or termination of the Contract, whether the alleged liability shall arise under English law or under the law of some other country and regardless of whether a particular cause of action may successfully be brought in the English courts; </w:t>
            </w:r>
          </w:p>
        </w:tc>
      </w:tr>
      <w:tr>
        <w:trPr>
          <w:cantSplit w:val="0"/>
          <w:tblHeader w:val="0"/>
        </w:trPr>
        <w:tc>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"Dispute Resolution Procedure"</w:t>
            </w:r>
          </w:p>
        </w:tc>
        <w:tc>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dispute resolution procedure set out in Clause 38 </w:t>
            </w:r>
            <w:r w:rsidDel="00000000" w:rsidR="00000000" w:rsidRPr="00000000">
              <w:rPr>
                <w:i w:val="1"/>
                <w:iCs w:val="1"/>
                <w:sz w:val="24"/>
                <w:szCs w:val="24"/>
                <w:rtl w:val="0"/>
              </w:rPr>
              <w:t xml:space="preserve">(Resolving disputes) </w:t>
            </w:r>
            <w:r w:rsidDel="00000000" w:rsidR="00000000" w:rsidRPr="00000000">
              <w:rPr>
                <w:sz w:val="24"/>
                <w:szCs w:val="24"/>
                <w:rtl w:val="0"/>
              </w:rPr>
              <w:t xml:space="preserve">of the General Terms;</w:t>
            </w:r>
          </w:p>
        </w:tc>
      </w:tr>
      <w:tr>
        <w:trPr>
          <w:cantSplit w:val="0"/>
          <w:tblHeader w:val="0"/>
        </w:trPr>
        <w:tc>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"Documentation"</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descriptions of the Services and Key Performance Indicators, technical specifications, user manuals, training manuals, operating manuals, process definitions and procedures, system environment descriptions and all such other documentation (whether in hardcopy or electronic form) is required to be supplied by the Supplier to the Buyer under a Contract as:</w:t>
            </w:r>
          </w:p>
          <w:p w:rsidR="00000000" w:rsidDel="00000000" w:rsidP="00000000" w:rsidRDefault="00000000" w:rsidRPr="00000000" w14:paraId="000000E8">
            <w:pPr>
              <w:numPr>
                <w:ilvl w:val="1"/>
                <w:numId w:val="26"/>
              </w:numPr>
              <w:pBdr>
                <w:top w:space="0" w:sz="0" w:val="nil"/>
                <w:left w:space="0" w:sz="0" w:val="nil"/>
                <w:bottom w:space="0" w:sz="0" w:val="nil"/>
                <w:right w:space="0" w:sz="0" w:val="nil"/>
                <w:between w:space="0" w:sz="0" w:val="nil"/>
              </w:pBdr>
              <w:tabs>
                <w:tab w:val="left" w:leader="none" w:pos="856"/>
              </w:tabs>
              <w:spacing w:after="120" w:before="120" w:line="276" w:lineRule="auto"/>
              <w:ind w:left="856" w:hanging="708"/>
              <w:rPr>
                <w:sz w:val="24"/>
                <w:szCs w:val="24"/>
              </w:rPr>
            </w:pPr>
            <w:r w:rsidDel="00000000" w:rsidR="00000000" w:rsidRPr="00000000">
              <w:rPr>
                <w:color w:val="000000"/>
                <w:sz w:val="24"/>
                <w:szCs w:val="24"/>
                <w:rtl w:val="0"/>
              </w:rPr>
              <w:t xml:space="preserve">would reasonably be required by a competent third party capable of Good Industry Practice contracted by the Buyer to develop, configure, build, deploy, run, maintain, upgrade and test the individual systems that provide the Deliverables;</w:t>
            </w:r>
          </w:p>
          <w:p w:rsidR="00000000" w:rsidDel="00000000" w:rsidP="00000000" w:rsidRDefault="00000000" w:rsidRPr="00000000" w14:paraId="000000E9">
            <w:pPr>
              <w:numPr>
                <w:ilvl w:val="1"/>
                <w:numId w:val="26"/>
              </w:numPr>
              <w:pBdr>
                <w:top w:space="0" w:sz="0" w:val="nil"/>
                <w:left w:space="0" w:sz="0" w:val="nil"/>
                <w:bottom w:space="0" w:sz="0" w:val="nil"/>
                <w:right w:space="0" w:sz="0" w:val="nil"/>
                <w:between w:space="0" w:sz="0" w:val="nil"/>
              </w:pBdr>
              <w:tabs>
                <w:tab w:val="left" w:leader="none" w:pos="856"/>
              </w:tabs>
              <w:spacing w:after="120" w:before="120" w:line="276" w:lineRule="auto"/>
              <w:ind w:left="856" w:hanging="708"/>
              <w:rPr>
                <w:sz w:val="24"/>
                <w:szCs w:val="24"/>
              </w:rPr>
            </w:pPr>
            <w:r w:rsidDel="00000000" w:rsidR="00000000" w:rsidRPr="00000000">
              <w:rPr>
                <w:color w:val="000000"/>
                <w:sz w:val="24"/>
                <w:szCs w:val="24"/>
                <w:rtl w:val="0"/>
              </w:rPr>
              <w:t xml:space="preserve">is required by the Supplier in order to provide the Deliverables; and/or</w:t>
            </w:r>
          </w:p>
          <w:p w:rsidR="00000000" w:rsidDel="00000000" w:rsidP="00000000" w:rsidRDefault="00000000" w:rsidRPr="00000000" w14:paraId="000000EA">
            <w:pPr>
              <w:numPr>
                <w:ilvl w:val="1"/>
                <w:numId w:val="26"/>
              </w:numPr>
              <w:pBdr>
                <w:top w:space="0" w:sz="0" w:val="nil"/>
                <w:left w:space="0" w:sz="0" w:val="nil"/>
                <w:bottom w:space="0" w:sz="0" w:val="nil"/>
                <w:right w:space="0" w:sz="0" w:val="nil"/>
                <w:between w:space="0" w:sz="0" w:val="nil"/>
              </w:pBdr>
              <w:tabs>
                <w:tab w:val="left" w:leader="none" w:pos="856"/>
              </w:tabs>
              <w:spacing w:after="120" w:before="120" w:line="276" w:lineRule="auto"/>
              <w:ind w:left="856" w:hanging="708"/>
              <w:rPr>
                <w:sz w:val="24"/>
                <w:szCs w:val="24"/>
              </w:rPr>
            </w:pPr>
            <w:r w:rsidDel="00000000" w:rsidR="00000000" w:rsidRPr="00000000">
              <w:rPr>
                <w:color w:val="000000"/>
                <w:sz w:val="24"/>
                <w:szCs w:val="24"/>
                <w:rtl w:val="0"/>
              </w:rPr>
              <w:t xml:space="preserve">has been or shall be generated for the purpose of providing the Deliverables;</w:t>
            </w:r>
          </w:p>
        </w:tc>
      </w:tr>
      <w:tr>
        <w:trPr>
          <w:cantSplit w:val="0"/>
          <w:tblHeader w:val="0"/>
        </w:trPr>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“DPA 2018”</w:t>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Data Protection Act 2018;</w:t>
            </w:r>
          </w:p>
        </w:tc>
      </w:tr>
      <w:tr>
        <w:trPr>
          <w:cantSplit w:val="0"/>
          <w:tblHeader w:val="0"/>
        </w:trPr>
        <w:tc>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"Due Diligence Information"</w:t>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information supplied to the Supplier by or on behalf of the Relevant Authority prior to the Effective Date;</w:t>
            </w:r>
          </w:p>
        </w:tc>
      </w:tr>
      <w:tr>
        <w:trPr>
          <w:cantSplit w:val="0"/>
          <w:tblHeader w:val="0"/>
        </w:trPr>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“Effective Date”</w:t>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date on which the final Party has signed the Contract;</w:t>
            </w:r>
          </w:p>
        </w:tc>
      </w:tr>
      <w:tr>
        <w:trPr>
          <w:cantSplit w:val="0"/>
          <w:tblHeader w:val="0"/>
        </w:trPr>
        <w:tc>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"EIR"</w:t>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Environmental Information Regulations 2004;</w:t>
            </w:r>
          </w:p>
        </w:tc>
      </w:tr>
      <w:tr>
        <w:trPr>
          <w:cantSplit w:val="0"/>
          <w:tblHeader w:val="0"/>
        </w:trPr>
        <w:tc>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"Electronic Invoice Standard"</w:t>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relation to an electronic invoice means a form that:</w:t>
            </w:r>
          </w:p>
          <w:p w:rsidR="00000000" w:rsidDel="00000000" w:rsidP="00000000" w:rsidRDefault="00000000" w:rsidRPr="00000000" w14:paraId="000000F7">
            <w:pPr>
              <w:numPr>
                <w:ilvl w:val="0"/>
                <w:numId w:val="15"/>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complies with the standard for electronic invoicing approved and issued by the British Standards Institution in the document numbered BS EN 16931-1:2017 (Electronic invoicing - Part 1: Semantic data model of the core elements of an electronic invoice); and </w:t>
            </w:r>
          </w:p>
          <w:p w:rsidR="00000000" w:rsidDel="00000000" w:rsidP="00000000" w:rsidRDefault="00000000" w:rsidRPr="00000000" w14:paraId="000000F8">
            <w:pPr>
              <w:numPr>
                <w:ilvl w:val="0"/>
                <w:numId w:val="15"/>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uses a syntax which is listed as a syntax that complies with that standard in the document numbered PD CEN/TS 16931-2:2017 (Electronic invoicing - Part 2: List of syntaxes that comply with EN 16931-1) approved and issued by the British Standards Institution;</w:t>
            </w:r>
          </w:p>
        </w:tc>
      </w:tr>
      <w:tr>
        <w:trPr>
          <w:cantSplit w:val="0"/>
          <w:tblHeader w:val="0"/>
        </w:trPr>
        <w:tc>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"Employment Regulations"</w:t>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Transfer of Undertakings (Protection of Employment) Regulations 2006 (SI 2006/246) as amended or replaced;</w:t>
            </w:r>
          </w:p>
        </w:tc>
      </w:tr>
      <w:tr>
        <w:trPr>
          <w:cantSplit w:val="0"/>
          <w:tblHeader w:val="0"/>
        </w:trPr>
        <w:tc>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"End Date" </w:t>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earlier of: </w:t>
            </w:r>
          </w:p>
          <w:p w:rsidR="00000000" w:rsidDel="00000000" w:rsidP="00000000" w:rsidRDefault="00000000" w:rsidRPr="00000000" w14:paraId="000000FD">
            <w:pPr>
              <w:numPr>
                <w:ilvl w:val="1"/>
                <w:numId w:val="6"/>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Expiry Date (as extended by any Extension Period exercised by the Relevant Authority under Clause 13.1 of the General Terms); or</w:t>
            </w:r>
          </w:p>
          <w:p w:rsidR="00000000" w:rsidDel="00000000" w:rsidP="00000000" w:rsidRDefault="00000000" w:rsidRPr="00000000" w14:paraId="000000FE">
            <w:pPr>
              <w:numPr>
                <w:ilvl w:val="1"/>
                <w:numId w:val="6"/>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if a Contract is terminated before the date specified in a) above, the date of termination of the Contract;</w:t>
            </w:r>
          </w:p>
        </w:tc>
      </w:tr>
      <w:tr>
        <w:trPr>
          <w:cantSplit w:val="0"/>
          <w:tblHeader w:val="0"/>
        </w:trPr>
        <w:tc>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“End User”</w:t>
            </w:r>
          </w:p>
        </w:tc>
        <w:tc>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party that is accessing the Deliverables provided pursuant to the Contract (including the Buyer where it is accessing services on its own account as a user);</w:t>
            </w:r>
          </w:p>
        </w:tc>
      </w:tr>
      <w:tr>
        <w:trPr>
          <w:cantSplit w:val="0"/>
          <w:tblHeader w:val="0"/>
        </w:trPr>
        <w:tc>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"Environmental Policy"</w:t>
            </w:r>
          </w:p>
        </w:tc>
        <w:tc>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to conserve energy, water, wood, paper and other resources, reduce waste and phase out the use of ozone depleting substances and minimise the release of greenhouse gases, volatile organic compounds and other substances damaging to health and the environment, including any written environmental policy of the Buyer;</w:t>
            </w:r>
          </w:p>
        </w:tc>
      </w:tr>
      <w:tr>
        <w:trPr>
          <w:cantSplit w:val="0"/>
          <w:tblHeader w:val="0"/>
        </w:trPr>
        <w:tc>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"Equality and Human Rights Commission"</w:t>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UK Government body named as such as may be renamed or replaced by an equivalent body from time to time;</w:t>
            </w:r>
          </w:p>
        </w:tc>
      </w:tr>
      <w:tr>
        <w:trPr>
          <w:cantSplit w:val="0"/>
          <w:tblHeader w:val="0"/>
        </w:trPr>
        <w:tc>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“Escalation Meeting”</w:t>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meeting between the Supplier Authorised Representative and the Buyer Authorised Representative to address issues that have arisen during the Rectification Plan Process;  </w:t>
            </w:r>
          </w:p>
        </w:tc>
      </w:tr>
      <w:tr>
        <w:trPr>
          <w:cantSplit w:val="0"/>
          <w:tblHeader w:val="0"/>
        </w:trPr>
        <w:tc>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“Estimated Year 1 Charges”</w:t>
            </w:r>
          </w:p>
        </w:tc>
        <w:tc>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anticipated total Charges payable by the Buyer in the first Contract Year specified in the Order Form;</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"Estimated Yearly Charges"</w:t>
            </w:r>
          </w:p>
        </w:tc>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for the purposes of calculating each Party’s annual liability under Clause 14.2 of the General Terms means:</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20" w:before="120" w:lineRule="auto"/>
              <w:ind w:left="905" w:hanging="757"/>
              <w:rPr>
                <w:sz w:val="24"/>
                <w:szCs w:val="24"/>
              </w:rPr>
            </w:pPr>
            <w:r w:rsidDel="00000000" w:rsidR="00000000" w:rsidRPr="00000000">
              <w:rPr>
                <w:sz w:val="24"/>
                <w:szCs w:val="24"/>
                <w:rtl w:val="0"/>
              </w:rPr>
              <w:t xml:space="preserve">a)        in the first Contract Year, the Estimated Year 1 Charges; or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120" w:before="120" w:lineRule="auto"/>
              <w:ind w:left="905" w:hanging="757"/>
              <w:rPr>
                <w:sz w:val="24"/>
                <w:szCs w:val="24"/>
              </w:rPr>
            </w:pPr>
            <w:r w:rsidDel="00000000" w:rsidR="00000000" w:rsidRPr="00000000">
              <w:rPr>
                <w:sz w:val="24"/>
                <w:szCs w:val="24"/>
                <w:rtl w:val="0"/>
              </w:rPr>
              <w:t xml:space="preserve">b)        in any subsequent Contract Years, the Charges paid or payable in the previous Call-Off Contract Year; or</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120" w:before="120" w:lineRule="auto"/>
              <w:ind w:left="905" w:hanging="757"/>
              <w:rPr>
                <w:sz w:val="24"/>
                <w:szCs w:val="24"/>
              </w:rPr>
            </w:pPr>
            <w:r w:rsidDel="00000000" w:rsidR="00000000" w:rsidRPr="00000000">
              <w:rPr>
                <w:sz w:val="24"/>
                <w:szCs w:val="24"/>
                <w:rtl w:val="0"/>
              </w:rPr>
              <w:t xml:space="preserve">c)        after the end of the Call-Off Contract, the Charges paid or payable in the last Contract Year during the Call-Off Contract Period;  </w:t>
            </w:r>
          </w:p>
        </w:tc>
      </w:tr>
      <w:tr>
        <w:trPr>
          <w:cantSplit w:val="0"/>
          <w:tblHeader w:val="0"/>
        </w:trPr>
        <w:tc>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“EU GDPR”</w:t>
            </w:r>
          </w:p>
        </w:tc>
        <w:tc>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Regulation (EU) 2016/679 of the European Parliament and of the Council of 27 April 2016 on the protection of natural persons with regard to the processing of personal data and on the free movement of such data (General Data Protection Regulation) as it has effect in EU law;</w:t>
            </w:r>
          </w:p>
        </w:tc>
      </w:tr>
      <w:tr>
        <w:trPr>
          <w:cantSplit w:val="0"/>
          <w:tblHeader w:val="0"/>
        </w:trPr>
        <w:tc>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Exempt Buyer</w:t>
            </w: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public sector purchaser that is:</w:t>
            </w:r>
          </w:p>
          <w:p w:rsidR="00000000" w:rsidDel="00000000" w:rsidP="00000000" w:rsidRDefault="00000000" w:rsidRPr="00000000" w14:paraId="00000113">
            <w:pPr>
              <w:numPr>
                <w:ilvl w:val="0"/>
                <w:numId w:val="20"/>
              </w:num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eligible to use the Framework Contract; and</w:t>
            </w:r>
          </w:p>
          <w:p w:rsidR="00000000" w:rsidDel="00000000" w:rsidP="00000000" w:rsidRDefault="00000000" w:rsidRPr="00000000" w14:paraId="00000114">
            <w:pPr>
              <w:numPr>
                <w:ilvl w:val="0"/>
                <w:numId w:val="20"/>
              </w:num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either:</w:t>
            </w:r>
          </w:p>
          <w:p w:rsidR="00000000" w:rsidDel="00000000" w:rsidP="00000000" w:rsidRDefault="00000000" w:rsidRPr="00000000" w14:paraId="00000115">
            <w:pPr>
              <w:numPr>
                <w:ilvl w:val="1"/>
                <w:numId w:val="20"/>
              </w:numPr>
              <w:pBdr>
                <w:top w:space="0" w:sz="0" w:val="nil"/>
                <w:left w:space="0" w:sz="0" w:val="nil"/>
                <w:bottom w:space="0" w:sz="0" w:val="nil"/>
                <w:right w:space="0" w:sz="0" w:val="nil"/>
                <w:between w:space="0" w:sz="0" w:val="nil"/>
              </w:pBdr>
              <w:spacing w:after="120" w:before="120" w:lineRule="auto"/>
              <w:ind w:left="1565" w:hanging="709"/>
              <w:rPr>
                <w:sz w:val="24"/>
                <w:szCs w:val="24"/>
              </w:rPr>
            </w:pPr>
            <w:r w:rsidDel="00000000" w:rsidR="00000000" w:rsidRPr="00000000">
              <w:rPr>
                <w:sz w:val="24"/>
                <w:szCs w:val="24"/>
                <w:rtl w:val="0"/>
              </w:rPr>
              <w:t xml:space="preserve">an excluded authority within the meaning of Section 2(5) of the Procurement Act 2023, subject to the terms of Section 115A of the Procurement Act 2023; or</w:t>
            </w:r>
          </w:p>
          <w:p w:rsidR="00000000" w:rsidDel="00000000" w:rsidP="00000000" w:rsidRDefault="00000000" w:rsidRPr="00000000" w14:paraId="00000116">
            <w:pPr>
              <w:numPr>
                <w:ilvl w:val="1"/>
                <w:numId w:val="20"/>
              </w:numPr>
              <w:pBdr>
                <w:top w:space="0" w:sz="0" w:val="nil"/>
                <w:left w:space="0" w:sz="0" w:val="nil"/>
                <w:bottom w:space="0" w:sz="0" w:val="nil"/>
                <w:right w:space="0" w:sz="0" w:val="nil"/>
                <w:between w:space="0" w:sz="0" w:val="nil"/>
              </w:pBdr>
              <w:spacing w:after="120" w:before="120" w:lineRule="auto"/>
              <w:ind w:left="1565" w:hanging="709"/>
              <w:rPr>
                <w:sz w:val="24"/>
                <w:szCs w:val="24"/>
              </w:rPr>
            </w:pPr>
            <w:r w:rsidDel="00000000" w:rsidR="00000000" w:rsidRPr="00000000">
              <w:rPr>
                <w:sz w:val="24"/>
                <w:szCs w:val="24"/>
                <w:rtl w:val="0"/>
              </w:rPr>
              <w:t xml:space="preserve">established in, or controlled or mainly funded from, the Bailiwick of Jersey, the Bailiwick of Guernsey or the Isle of Man;</w:t>
            </w:r>
          </w:p>
        </w:tc>
      </w:tr>
      <w:tr>
        <w:trPr>
          <w:cantSplit w:val="0"/>
          <w:tblHeader w:val="0"/>
        </w:trPr>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“Exempt Call-Off Contract”</w:t>
            </w:r>
          </w:p>
        </w:tc>
        <w:tc>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 between the Exempt Buyer and the Supplier for Deliverables which consists of the terms set out and referred to in the Order Form incorporating and, where necessary, amending, refining or adding to the terms of the Framework Contract;</w:t>
            </w:r>
          </w:p>
        </w:tc>
      </w:tr>
      <w:tr>
        <w:trPr>
          <w:cantSplit w:val="0"/>
          <w:tblHeader w:val="0"/>
        </w:trPr>
        <w:tc>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b w:val="1"/>
                <w:bCs w:val="1"/>
                <w:sz w:val="24"/>
                <w:szCs w:val="24"/>
                <w:rtl w:val="0"/>
              </w:rPr>
              <w:t xml:space="preserve">"Expiry Date"</w:t>
            </w:r>
            <w:r w:rsidDel="00000000" w:rsidR="00000000" w:rsidRPr="00000000">
              <w:rPr>
                <w:rtl w:val="0"/>
              </w:rPr>
            </w:r>
          </w:p>
        </w:tc>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Framework Expiry Date or the Call-Off Expiry Date (as the context dictates); </w:t>
            </w:r>
          </w:p>
        </w:tc>
      </w:tr>
      <w:tr>
        <w:trPr>
          <w:cantSplit w:val="0"/>
          <w:tblHeader w:val="0"/>
        </w:trPr>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b w:val="1"/>
                <w:bCs w:val="1"/>
                <w:sz w:val="24"/>
                <w:szCs w:val="24"/>
                <w:rtl w:val="0"/>
              </w:rPr>
              <w:t xml:space="preserve">"Extension Period"</w:t>
            </w:r>
            <w:r w:rsidDel="00000000" w:rsidR="00000000" w:rsidRPr="00000000">
              <w:rPr>
                <w:rtl w:val="0"/>
              </w:rPr>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Framework Optional Extension Period or the Call-Off Optional Extension Period as the context dictates;</w:t>
            </w:r>
          </w:p>
        </w:tc>
      </w:tr>
      <w:tr>
        <w:trPr>
          <w:cantSplit w:val="0"/>
          <w:tblHeader w:val="0"/>
        </w:trPr>
        <w:tc>
          <w:tcPr/>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b w:val="1"/>
                <w:bCs w:val="1"/>
                <w:sz w:val="24"/>
                <w:szCs w:val="24"/>
                <w:rtl w:val="0"/>
              </w:rPr>
              <w:t xml:space="preserve">"FOIA"</w:t>
            </w:r>
            <w:r w:rsidDel="00000000" w:rsidR="00000000" w:rsidRPr="00000000">
              <w:rPr>
                <w:rtl w:val="0"/>
              </w:rPr>
            </w:r>
          </w:p>
        </w:tc>
        <w:tc>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Freedom of Information Act 2000 and any subordinate legislation made under that Act from time to time together with any guidance and/or codes of practice issued by the Information Commissioner or relevant Government department in relation to such legislation;</w:t>
            </w:r>
          </w:p>
        </w:tc>
      </w:tr>
      <w:tr>
        <w:trPr>
          <w:cantSplit w:val="0"/>
          <w:tblHeader w:val="0"/>
        </w:trPr>
        <w:tc>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b w:val="1"/>
                <w:bCs w:val="1"/>
                <w:sz w:val="24"/>
                <w:szCs w:val="24"/>
                <w:rtl w:val="0"/>
              </w:rPr>
              <w:t xml:space="preserve">"Force Majeure Event"</w:t>
            </w:r>
            <w:r w:rsidDel="00000000" w:rsidR="00000000" w:rsidRPr="00000000">
              <w:rPr>
                <w:rtl w:val="0"/>
              </w:rPr>
            </w:r>
          </w:p>
        </w:tc>
        <w:tc>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event, circumstance, matter or cause affecting the performance by either the Buyer or the Supplier of its obligations arising from:</w:t>
            </w:r>
          </w:p>
          <w:p w:rsidR="00000000" w:rsidDel="00000000" w:rsidP="00000000" w:rsidRDefault="00000000" w:rsidRPr="00000000" w14:paraId="00000121">
            <w:pPr>
              <w:numPr>
                <w:ilvl w:val="4"/>
                <w:numId w:val="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acts, events, omissions, happenings or non-happenings beyond the reasonable control of the Affected Party which prevent or materially delay the Affected Party from performing its obligations under a Contract: </w:t>
            </w:r>
          </w:p>
          <w:p w:rsidR="00000000" w:rsidDel="00000000" w:rsidP="00000000" w:rsidRDefault="00000000" w:rsidRPr="00000000" w14:paraId="00000122">
            <w:pPr>
              <w:numPr>
                <w:ilvl w:val="4"/>
                <w:numId w:val="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riots, civil commotion, war or armed conflict;</w:t>
            </w:r>
          </w:p>
          <w:p w:rsidR="00000000" w:rsidDel="00000000" w:rsidP="00000000" w:rsidRDefault="00000000" w:rsidRPr="00000000" w14:paraId="00000123">
            <w:pPr>
              <w:numPr>
                <w:ilvl w:val="4"/>
                <w:numId w:val="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acts of terrorism, nuclear, biological or chemical warfare;</w:t>
            </w:r>
          </w:p>
          <w:p w:rsidR="00000000" w:rsidDel="00000000" w:rsidP="00000000" w:rsidRDefault="00000000" w:rsidRPr="00000000" w14:paraId="00000124">
            <w:pPr>
              <w:numPr>
                <w:ilvl w:val="4"/>
                <w:numId w:val="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acts of a Crown Body, local government or regulatory bodies; and/or</w:t>
            </w:r>
          </w:p>
          <w:p w:rsidR="00000000" w:rsidDel="00000000" w:rsidP="00000000" w:rsidRDefault="00000000" w:rsidRPr="00000000" w14:paraId="00000125">
            <w:pPr>
              <w:numPr>
                <w:ilvl w:val="4"/>
                <w:numId w:val="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fire, flood, or earthquake or any disaster,</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but excluding </w:t>
            </w:r>
          </w:p>
          <w:p w:rsidR="00000000" w:rsidDel="00000000" w:rsidP="00000000" w:rsidRDefault="00000000" w:rsidRPr="00000000" w14:paraId="00000127">
            <w:pPr>
              <w:numPr>
                <w:ilvl w:val="5"/>
                <w:numId w:val="7"/>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industrial dispute relating to the Supplier, the Supplier Staff (including any subsets of them) or any other failure in the Supplier or the Subcontractor's supply chain;</w:t>
            </w:r>
          </w:p>
          <w:p w:rsidR="00000000" w:rsidDel="00000000" w:rsidP="00000000" w:rsidRDefault="00000000" w:rsidRPr="00000000" w14:paraId="00000128">
            <w:pPr>
              <w:numPr>
                <w:ilvl w:val="5"/>
                <w:numId w:val="7"/>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event, occurrence, circumstance, matter or cause which is attributable to the wilful act, neglect or failure to take reasonable precautions against it by the Party concerned; and</w:t>
            </w:r>
          </w:p>
          <w:p w:rsidR="00000000" w:rsidDel="00000000" w:rsidP="00000000" w:rsidRDefault="00000000" w:rsidRPr="00000000" w14:paraId="00000129">
            <w:pPr>
              <w:numPr>
                <w:ilvl w:val="5"/>
                <w:numId w:val="7"/>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failure of delay caused by a lack of funds,</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and which is not attributable to any wilful act, neglect or failure to take reasonable preventative action by that Party;</w:t>
            </w:r>
          </w:p>
        </w:tc>
      </w:tr>
      <w:tr>
        <w:trPr>
          <w:cantSplit w:val="0"/>
          <w:tblHeader w:val="0"/>
        </w:trPr>
        <w:tc>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"Force Majeure Notice"</w:t>
            </w:r>
          </w:p>
        </w:tc>
        <w:tc>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written notice served by the Affected Party on the other Party stating that the Affected Party believes that there is a Force Majeure Event;</w:t>
            </w:r>
          </w:p>
        </w:tc>
      </w:tr>
      <w:tr>
        <w:trPr>
          <w:cantSplit w:val="0"/>
          <w:tblHeader w:val="0"/>
        </w:trPr>
        <w:tc>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w:t>
            </w:r>
          </w:p>
        </w:tc>
        <w:tc>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framework (within the meaning of Section 45 of the Procurement Act 2023) referred to in the Framework Award Form that has been established by GCA with the Framework Supplier(s);</w:t>
            </w:r>
          </w:p>
        </w:tc>
      </w:tr>
      <w:tr>
        <w:trPr>
          <w:cantSplit w:val="0"/>
          <w:tblHeader w:val="0"/>
        </w:trPr>
        <w:tc>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Award Form"</w:t>
            </w:r>
          </w:p>
        </w:tc>
        <w:tc>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document outlining the Framework Incorporated Terms and crucial information required for the Framework Contract, to be executed by the Supplier and GCA;</w:t>
            </w:r>
          </w:p>
        </w:tc>
      </w:tr>
      <w:tr>
        <w:trPr>
          <w:cantSplit w:val="0"/>
          <w:tblHeader w:val="0"/>
        </w:trPr>
        <w:tc>
          <w:tcPr/>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Contract"</w:t>
            </w:r>
          </w:p>
        </w:tc>
        <w:tc>
          <w:tcPr/>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framework contract established between GCA and the Supplier by the Framework Award Form for the provision of the Deliverables to Buyers by the Supplier in respect of the Framework established by GCA in accordance with Chapter 4 of the Procurement Act 2023 pursuant to the notice published on the central digital platform as referred to in the Framework Award Form;</w:t>
            </w:r>
          </w:p>
        </w:tc>
      </w:tr>
      <w:tr>
        <w:trPr>
          <w:cantSplit w:val="0"/>
          <w:tblHeader w:val="0"/>
        </w:trPr>
        <w:tc>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Contract Period"</w:t>
            </w:r>
          </w:p>
        </w:tc>
        <w:tc>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period from the Framework Start Date until the End Date of the Framework Contract;</w:t>
            </w:r>
          </w:p>
        </w:tc>
      </w:tr>
      <w:tr>
        <w:trPr>
          <w:cantSplit w:val="0"/>
          <w:tblHeader w:val="0"/>
        </w:trPr>
        <w:tc>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Expiry Date"</w:t>
            </w:r>
          </w:p>
        </w:tc>
        <w:tc>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scheduled date of the end of the Framework Contract as stated in the Framework Award Form;</w:t>
            </w:r>
          </w:p>
        </w:tc>
      </w:tr>
      <w:tr>
        <w:trPr>
          <w:cantSplit w:val="0"/>
          <w:tblHeader w:val="0"/>
        </w:trPr>
        <w:tc>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Incorporated Terms"</w:t>
            </w:r>
          </w:p>
        </w:tc>
        <w:tc>
          <w:tcPr/>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contractual terms applicable to the Framework Contract specified in the Framework Award Form;</w:t>
            </w:r>
          </w:p>
        </w:tc>
      </w:tr>
      <w:tr>
        <w:trPr>
          <w:cantSplit w:val="0"/>
          <w:tblHeader w:val="0"/>
        </w:trPr>
        <w:tc>
          <w:tcPr/>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Optional Extension Period"</w:t>
            </w:r>
          </w:p>
        </w:tc>
        <w:tc>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such period or periods beyond which the Framework Contract Period may be extended as specified in the Framework Award Form;</w:t>
            </w:r>
          </w:p>
        </w:tc>
      </w:tr>
      <w:tr>
        <w:trPr>
          <w:cantSplit w:val="0"/>
          <w:tblHeader w:val="0"/>
        </w:trPr>
        <w:tc>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b w:val="1"/>
                <w:bCs w:val="1"/>
                <w:sz w:val="24"/>
                <w:szCs w:val="24"/>
                <w:rtl w:val="0"/>
              </w:rPr>
              <w:t xml:space="preserve">"Framework Performance Measures" or "FPMs"</w:t>
            </w:r>
            <w:r w:rsidDel="00000000" w:rsidR="00000000" w:rsidRPr="00000000">
              <w:rPr>
                <w:rtl w:val="0"/>
              </w:rPr>
            </w:r>
          </w:p>
        </w:tc>
        <w:tc>
          <w:tcPr/>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120" w:before="120" w:lineRule="auto"/>
              <w:ind w:left="170" w:firstLine="0"/>
              <w:rPr/>
            </w:pPr>
            <w:r w:rsidDel="00000000" w:rsidR="00000000" w:rsidRPr="00000000">
              <w:rPr>
                <w:sz w:val="24"/>
                <w:szCs w:val="24"/>
                <w:rtl w:val="0"/>
              </w:rPr>
              <w:t xml:space="preserve">the performance measurements and targets in respect of the Supplier’s performance of the Framework Contract set out in Framework Schedule 4 </w:t>
            </w:r>
            <w:r w:rsidDel="00000000" w:rsidR="00000000" w:rsidRPr="00000000">
              <w:rPr>
                <w:i w:val="1"/>
                <w:iCs w:val="1"/>
                <w:sz w:val="24"/>
                <w:szCs w:val="24"/>
                <w:rtl w:val="0"/>
              </w:rPr>
              <w:t xml:space="preserve">(Framework Management)</w:t>
            </w:r>
            <w:r w:rsidDel="00000000" w:rsidR="00000000" w:rsidRPr="00000000">
              <w:rPr>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Price(s)"</w:t>
            </w:r>
          </w:p>
        </w:tc>
        <w:tc>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price(s) applicable to the provision of the Deliverables set out in Framework Schedule 3 </w:t>
            </w:r>
            <w:r w:rsidDel="00000000" w:rsidR="00000000" w:rsidRPr="00000000">
              <w:rPr>
                <w:i w:val="1"/>
                <w:iCs w:val="1"/>
                <w:sz w:val="24"/>
                <w:szCs w:val="24"/>
                <w:rtl w:val="0"/>
              </w:rPr>
              <w:t xml:space="preserve">(Framework Prices)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Special Terms"</w:t>
            </w:r>
          </w:p>
        </w:tc>
        <w:tc>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additional terms and conditions specified in the Framework Award Form incorporated into the Framework Contract;</w:t>
            </w:r>
          </w:p>
        </w:tc>
      </w:tr>
      <w:tr>
        <w:trPr>
          <w:cantSplit w:val="0"/>
          <w:tblHeader w:val="0"/>
        </w:trPr>
        <w:tc>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Start Date"</w:t>
            </w:r>
          </w:p>
        </w:tc>
        <w:tc>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date of start of the Framework Contract as stated in the Framework Award Form;</w:t>
            </w:r>
          </w:p>
        </w:tc>
      </w:tr>
      <w:tr>
        <w:trPr>
          <w:cantSplit w:val="0"/>
          <w:tblHeader w:val="0"/>
        </w:trPr>
        <w:tc>
          <w:tcPr/>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Suppliers"</w:t>
            </w:r>
          </w:p>
        </w:tc>
        <w:tc>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those suppliers (including, where applicable, the Supplier) that are eligible for the award of the relevant proposed Call-Off Contract under the Framework, and </w:t>
            </w:r>
            <w:r w:rsidDel="00000000" w:rsidR="00000000" w:rsidRPr="00000000">
              <w:rPr>
                <w:b w:val="1"/>
                <w:bCs w:val="1"/>
                <w:sz w:val="24"/>
                <w:szCs w:val="24"/>
                <w:rtl w:val="0"/>
              </w:rPr>
              <w:t xml:space="preserve">"Framework Supplier"</w:t>
            </w:r>
            <w:r w:rsidDel="00000000" w:rsidR="00000000" w:rsidRPr="00000000">
              <w:rPr>
                <w:sz w:val="24"/>
                <w:szCs w:val="24"/>
                <w:rtl w:val="0"/>
              </w:rPr>
              <w:t xml:space="preserve"> will be construed accordingly;</w:t>
            </w:r>
          </w:p>
        </w:tc>
      </w:tr>
      <w:tr>
        <w:trPr>
          <w:cantSplit w:val="0"/>
          <w:tblHeader w:val="0"/>
        </w:trPr>
        <w:tc>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"Framework Tender Response"</w:t>
            </w:r>
          </w:p>
        </w:tc>
        <w:tc>
          <w:tcPr/>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tender submitted by the Supplier to GCA and annexed to or referred to in Framework Schedule 2 </w:t>
            </w:r>
            <w:r w:rsidDel="00000000" w:rsidR="00000000" w:rsidRPr="00000000">
              <w:rPr>
                <w:i w:val="1"/>
                <w:iCs w:val="1"/>
                <w:sz w:val="24"/>
                <w:szCs w:val="24"/>
                <w:rtl w:val="0"/>
              </w:rPr>
              <w:t xml:space="preserve">(Framework Tender)</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"General Anti-Abuse Rule"</w:t>
            </w:r>
          </w:p>
        </w:tc>
        <w:tc>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future legislation introduced into parliament to counteract tax advantages arising from abusive arrangements to avoid National Insurance contributions; </w:t>
            </w:r>
          </w:p>
        </w:tc>
      </w:tr>
      <w:tr>
        <w:trPr>
          <w:cantSplit w:val="0"/>
          <w:tblHeader w:val="0"/>
        </w:trPr>
        <w:tc>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"General Change in Law"</w:t>
            </w:r>
          </w:p>
        </w:tc>
        <w:tc>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Change in Law where the change is of a general legislative nature (including taxation or duties of any sort affecting the Supplier) or which affects or relates to a Comparable Supply;</w:t>
            </w:r>
          </w:p>
        </w:tc>
      </w:tr>
      <w:tr>
        <w:trPr>
          <w:cantSplit w:val="0"/>
          <w:tblHeader w:val="0"/>
        </w:trPr>
        <w:tc>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“General Terms”</w:t>
            </w:r>
          </w:p>
        </w:tc>
        <w:tc>
          <w:tcPr/>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GCA’ terms and conditions for common goods and services which govern how Suppliers must interact with GCA and Buyers under Framework Contracts and Call-Off Contracts and apply to and comprise one part of the Contract set out in the document called "</w:t>
            </w:r>
            <w:r w:rsidDel="00000000" w:rsidR="00000000" w:rsidRPr="00000000">
              <w:rPr>
                <w:b w:val="1"/>
                <w:bCs w:val="1"/>
                <w:sz w:val="24"/>
                <w:szCs w:val="24"/>
                <w:rtl w:val="0"/>
              </w:rPr>
              <w:t xml:space="preserve">GCA</w:t>
            </w:r>
            <w:r w:rsidDel="00000000" w:rsidR="00000000" w:rsidRPr="00000000">
              <w:rPr>
                <w:sz w:val="24"/>
                <w:szCs w:val="24"/>
                <w:rtl w:val="0"/>
              </w:rPr>
              <w:t xml:space="preserve"> </w:t>
            </w:r>
            <w:r w:rsidDel="00000000" w:rsidR="00000000" w:rsidRPr="00000000">
              <w:rPr>
                <w:b w:val="1"/>
                <w:bCs w:val="1"/>
                <w:sz w:val="24"/>
                <w:szCs w:val="24"/>
                <w:rtl w:val="0"/>
              </w:rPr>
              <w:t xml:space="preserve">General Terms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"GHG"</w:t>
            </w:r>
          </w:p>
        </w:tc>
        <w:tc>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greenhouse gases;</w:t>
            </w:r>
          </w:p>
        </w:tc>
      </w:tr>
      <w:tr>
        <w:trPr>
          <w:cantSplit w:val="0"/>
          <w:tblHeader w:val="0"/>
        </w:trPr>
        <w:tc>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“Good Industry Practice”</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rtl w:val="0"/>
              </w:rPr>
            </w:r>
          </w:p>
        </w:tc>
        <w:tc>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120" w:before="120" w:lineRule="auto"/>
              <w:ind w:left="170" w:firstLine="0"/>
              <w:rPr/>
            </w:pPr>
            <w:r w:rsidDel="00000000" w:rsidR="00000000" w:rsidRPr="00000000">
              <w:rPr>
                <w:sz w:val="24"/>
                <w:szCs w:val="24"/>
                <w:rtl w:val="0"/>
              </w:rPr>
              <w:t xml:space="preserve">at any time standards, practices, methods and procedures conforming to the Law and the exercise of the degree of skill and care, diligence, prudence and foresight which would reasonably and ordinarily be expected at such time from a skilled and experienced person or body engaged within the relevant industry or business sector</w:t>
            </w:r>
            <w:r w:rsidDel="00000000" w:rsidR="00000000" w:rsidRPr="00000000">
              <w:rPr>
                <w:rtl w:val="0"/>
              </w:rPr>
            </w:r>
          </w:p>
        </w:tc>
      </w:tr>
      <w:tr>
        <w:trPr>
          <w:cantSplit w:val="0"/>
          <w:tblHeader w:val="0"/>
        </w:trPr>
        <w:tc>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"Goods"</w:t>
            </w:r>
          </w:p>
        </w:tc>
        <w:tc>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goods made available by the Supplier as specified in Framework Schedule 1 </w:t>
            </w:r>
            <w:r w:rsidDel="00000000" w:rsidR="00000000" w:rsidRPr="00000000">
              <w:rPr>
                <w:i w:val="1"/>
                <w:iCs w:val="1"/>
                <w:sz w:val="24"/>
                <w:szCs w:val="24"/>
                <w:rtl w:val="0"/>
              </w:rPr>
              <w:t xml:space="preserve">(Specification)</w:t>
            </w:r>
            <w:r w:rsidDel="00000000" w:rsidR="00000000" w:rsidRPr="00000000">
              <w:rPr>
                <w:sz w:val="24"/>
                <w:szCs w:val="24"/>
                <w:rtl w:val="0"/>
              </w:rPr>
              <w:t xml:space="preserve"> and in relation to a Call-Off Contract as specified in the Order Form;</w:t>
            </w:r>
          </w:p>
        </w:tc>
      </w:tr>
      <w:tr>
        <w:trPr>
          <w:cantSplit w:val="0"/>
          <w:tblHeader w:val="0"/>
        </w:trPr>
        <w:tc>
          <w:tcPr/>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"Government"</w:t>
            </w:r>
          </w:p>
        </w:tc>
        <w:tc>
          <w:tcPr/>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government of the United Kingdom (including the Northern Ireland Assembly and Executive Committee, the Scottish Government and the Welsh Government), including government ministers and government departments and other bodies, persons, commissions or agencies from time to time carrying out functions on its behalf;</w:t>
            </w:r>
          </w:p>
        </w:tc>
      </w:tr>
      <w:tr>
        <w:trPr>
          <w:cantSplit w:val="0"/>
          <w:tblHeader w:val="0"/>
        </w:trPr>
        <w:tc>
          <w:tcPr/>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"Government Data"</w:t>
            </w:r>
          </w:p>
        </w:tc>
        <w:tc>
          <w:tcPr/>
          <w:p w:rsidR="00000000" w:rsidDel="00000000" w:rsidP="00000000" w:rsidRDefault="00000000" w:rsidRPr="00000000" w14:paraId="00000157">
            <w:pPr>
              <w:numPr>
                <w:ilvl w:val="4"/>
                <w:numId w:val="1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data, text, drawings, diagrams, images or sounds (together with any database made up of any of these) which are embodied in any electronic, magnetic, optical or tangible media; </w:t>
            </w:r>
          </w:p>
          <w:p w:rsidR="00000000" w:rsidDel="00000000" w:rsidP="00000000" w:rsidRDefault="00000000" w:rsidRPr="00000000" w14:paraId="00000158">
            <w:pPr>
              <w:numPr>
                <w:ilvl w:val="4"/>
                <w:numId w:val="1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Personal Data for which </w:t>
            </w:r>
            <w:r w:rsidDel="00000000" w:rsidR="00000000" w:rsidRPr="00000000">
              <w:rPr>
                <w:sz w:val="24"/>
                <w:szCs w:val="24"/>
                <w:rtl w:val="0"/>
              </w:rPr>
              <w:t xml:space="preserve">GCA</w:t>
            </w:r>
            <w:r w:rsidDel="00000000" w:rsidR="00000000" w:rsidRPr="00000000">
              <w:rPr>
                <w:color w:val="000000"/>
                <w:sz w:val="24"/>
                <w:szCs w:val="24"/>
                <w:rtl w:val="0"/>
              </w:rPr>
              <w:t xml:space="preserve"> or the Buyer is a, or the, Controller; or</w:t>
            </w:r>
          </w:p>
          <w:p w:rsidR="00000000" w:rsidDel="00000000" w:rsidP="00000000" w:rsidRDefault="00000000" w:rsidRPr="00000000" w14:paraId="00000159">
            <w:pPr>
              <w:numPr>
                <w:ilvl w:val="4"/>
                <w:numId w:val="17"/>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any meta-data relating to categories of data referred to in a) or b) that:</w:t>
            </w:r>
          </w:p>
          <w:p w:rsidR="00000000" w:rsidDel="00000000" w:rsidP="00000000" w:rsidRDefault="00000000" w:rsidRPr="00000000" w14:paraId="0000015A">
            <w:pPr>
              <w:numPr>
                <w:ilvl w:val="5"/>
                <w:numId w:val="17"/>
              </w:numPr>
              <w:pBdr>
                <w:top w:space="0" w:sz="0" w:val="nil"/>
                <w:left w:space="0" w:sz="0" w:val="nil"/>
                <w:bottom w:space="0" w:sz="0" w:val="nil"/>
                <w:right w:space="0" w:sz="0" w:val="nil"/>
                <w:between w:space="0" w:sz="0" w:val="nil"/>
              </w:pBdr>
              <w:spacing w:after="120" w:before="120" w:line="276" w:lineRule="auto"/>
              <w:ind w:left="1423" w:hanging="567"/>
              <w:rPr>
                <w:color w:val="000000"/>
                <w:sz w:val="24"/>
                <w:szCs w:val="24"/>
              </w:rPr>
            </w:pPr>
            <w:r w:rsidDel="00000000" w:rsidR="00000000" w:rsidRPr="00000000">
              <w:rPr>
                <w:color w:val="000000"/>
                <w:sz w:val="24"/>
                <w:szCs w:val="24"/>
                <w:rtl w:val="0"/>
              </w:rPr>
              <w:t xml:space="preserve">is supplied to the Supplier by or on behalf of the Relevant Authority; or</w:t>
            </w:r>
          </w:p>
          <w:p w:rsidR="00000000" w:rsidDel="00000000" w:rsidP="00000000" w:rsidRDefault="00000000" w:rsidRPr="00000000" w14:paraId="0000015B">
            <w:pPr>
              <w:numPr>
                <w:ilvl w:val="5"/>
                <w:numId w:val="17"/>
              </w:numPr>
              <w:pBdr>
                <w:top w:space="0" w:sz="0" w:val="nil"/>
                <w:left w:space="0" w:sz="0" w:val="nil"/>
                <w:bottom w:space="0" w:sz="0" w:val="nil"/>
                <w:right w:space="0" w:sz="0" w:val="nil"/>
                <w:between w:space="0" w:sz="0" w:val="nil"/>
              </w:pBdr>
              <w:spacing w:after="120" w:before="120" w:line="276" w:lineRule="auto"/>
              <w:ind w:left="1423" w:hanging="567"/>
              <w:rPr>
                <w:color w:val="000000"/>
                <w:sz w:val="24"/>
                <w:szCs w:val="24"/>
              </w:rPr>
            </w:pPr>
            <w:r w:rsidDel="00000000" w:rsidR="00000000" w:rsidRPr="00000000">
              <w:rPr>
                <w:color w:val="000000"/>
                <w:sz w:val="24"/>
                <w:szCs w:val="24"/>
                <w:rtl w:val="0"/>
              </w:rPr>
              <w:t xml:space="preserve">the Supplier is required to generate, Process, Handle, store or transmit under the Contract, </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and for the avoidance of doubt includes any Code and any meta data relating to any Code;</w:t>
            </w:r>
          </w:p>
        </w:tc>
      </w:tr>
      <w:tr>
        <w:trPr>
          <w:cantSplit w:val="0"/>
          <w:tblHeader w:val="0"/>
        </w:trPr>
        <w:tc>
          <w:tcPr/>
          <w:p w:rsidR="00000000" w:rsidDel="00000000" w:rsidP="00000000" w:rsidRDefault="00000000" w:rsidRPr="00000000" w14:paraId="0000015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"Guarantor"</w:t>
            </w:r>
          </w:p>
        </w:tc>
        <w:tc>
          <w:tcPr/>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person (if any) who has entered into a guarantee in the form set out in Joint Schedule 8 </w:t>
            </w:r>
            <w:r w:rsidDel="00000000" w:rsidR="00000000" w:rsidRPr="00000000">
              <w:rPr>
                <w:i w:val="1"/>
                <w:iCs w:val="1"/>
                <w:sz w:val="24"/>
                <w:szCs w:val="24"/>
                <w:rtl w:val="0"/>
              </w:rPr>
              <w:t xml:space="preserve">(Guarantee)</w:t>
            </w:r>
            <w:r w:rsidDel="00000000" w:rsidR="00000000" w:rsidRPr="00000000">
              <w:rPr>
                <w:sz w:val="24"/>
                <w:szCs w:val="24"/>
                <w:rtl w:val="0"/>
              </w:rPr>
              <w:t xml:space="preserve"> in relation to the Contract;</w:t>
            </w:r>
          </w:p>
        </w:tc>
      </w:tr>
      <w:tr>
        <w:trPr>
          <w:cantSplit w:val="0"/>
          <w:tblHeader w:val="0"/>
        </w:trPr>
        <w:tc>
          <w:tcPr/>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rtl w:val="0"/>
              </w:rPr>
            </w:r>
          </w:p>
        </w:tc>
        <w:tc>
          <w:tcPr/>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"Handle"</w:t>
            </w:r>
          </w:p>
        </w:tc>
        <w:tc>
          <w:tcPr/>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operation performed on data, whether or not by automated means, including collection, recording, organisation, structuring, storage, adaptation or alteration, retrieval, consultation, use, disclosure by transmission, dissemination or otherwise making available, alignment or combination, restriction, erasure or destruction of that data;</w:t>
            </w:r>
          </w:p>
        </w:tc>
      </w:tr>
      <w:tr>
        <w:trPr>
          <w:cantSplit w:val="0"/>
          <w:tblHeader w:val="0"/>
        </w:trPr>
        <w:tc>
          <w:tcPr/>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120" w:before="120" w:lineRule="auto"/>
              <w:rPr>
                <w:b w:val="1"/>
                <w:bCs w:val="1"/>
                <w:sz w:val="24"/>
                <w:szCs w:val="24"/>
                <w:highlight w:val="green"/>
              </w:rPr>
            </w:pPr>
            <w:r w:rsidDel="00000000" w:rsidR="00000000" w:rsidRPr="00000000">
              <w:rPr>
                <w:b w:val="1"/>
                <w:bCs w:val="1"/>
                <w:sz w:val="24"/>
                <w:szCs w:val="24"/>
                <w:rtl w:val="0"/>
              </w:rPr>
              <w:t xml:space="preserve">"HMRC"</w:t>
            </w:r>
            <w:r w:rsidDel="00000000" w:rsidR="00000000" w:rsidRPr="00000000">
              <w:rPr>
                <w:rtl w:val="0"/>
              </w:rPr>
            </w:r>
          </w:p>
        </w:tc>
        <w:tc>
          <w:tcPr/>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His Majesty’s Revenue and Customs;</w:t>
            </w:r>
          </w:p>
        </w:tc>
      </w:tr>
      <w:tr>
        <w:trPr>
          <w:cantSplit w:val="0"/>
          <w:tblHeader w:val="0"/>
        </w:trPr>
        <w:tc>
          <w:tcPr/>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"ICT Policy"</w:t>
            </w:r>
          </w:p>
        </w:tc>
        <w:tc>
          <w:tcPr/>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Buyer's policy in respect of information and communications technology, referred to in the Order Form, which is in force as at the Effective Date (a copy of which has been supplied to the Supplier), as updated from time to time in accordance with the Variation Procedure;</w:t>
            </w:r>
          </w:p>
        </w:tc>
      </w:tr>
      <w:tr>
        <w:trPr>
          <w:cantSplit w:val="0"/>
          <w:tblHeader w:val="0"/>
        </w:trPr>
        <w:tc>
          <w:tcPr/>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"Impact Assessment"</w:t>
            </w:r>
          </w:p>
        </w:tc>
        <w:tc>
          <w:tcPr/>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 assessment of the impact of a Variation request by the Relevant Authority completed in good faith, including:</w:t>
            </w:r>
          </w:p>
          <w:p w:rsidR="00000000" w:rsidDel="00000000" w:rsidP="00000000" w:rsidRDefault="00000000" w:rsidRPr="00000000" w14:paraId="00000169">
            <w:pPr>
              <w:numPr>
                <w:ilvl w:val="1"/>
                <w:numId w:val="2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details of the impact of the proposed Variation on the Deliverables and the Supplier's ability to meet its other obligations under the Contract; </w:t>
            </w:r>
          </w:p>
          <w:p w:rsidR="00000000" w:rsidDel="00000000" w:rsidP="00000000" w:rsidRDefault="00000000" w:rsidRPr="00000000" w14:paraId="0000016A">
            <w:pPr>
              <w:numPr>
                <w:ilvl w:val="1"/>
                <w:numId w:val="2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details of the cost of implementing the proposed Variation;</w:t>
            </w:r>
          </w:p>
          <w:p w:rsidR="00000000" w:rsidDel="00000000" w:rsidP="00000000" w:rsidRDefault="00000000" w:rsidRPr="00000000" w14:paraId="0000016B">
            <w:pPr>
              <w:numPr>
                <w:ilvl w:val="1"/>
                <w:numId w:val="2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details of the ongoing costs required by the proposed Variation when implemented, including any increase or decrease in the Framework Prices/Charges (as applicable), any alteration in the resources and/or expenditure required by either Party and any alteration to the working practices of either Party;</w:t>
            </w:r>
          </w:p>
          <w:p w:rsidR="00000000" w:rsidDel="00000000" w:rsidP="00000000" w:rsidRDefault="00000000" w:rsidRPr="00000000" w14:paraId="0000016C">
            <w:pPr>
              <w:numPr>
                <w:ilvl w:val="1"/>
                <w:numId w:val="2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 timetable for the implementation, together with any proposals for the testing of the Variation; and</w:t>
            </w:r>
          </w:p>
          <w:p w:rsidR="00000000" w:rsidDel="00000000" w:rsidP="00000000" w:rsidRDefault="00000000" w:rsidRPr="00000000" w14:paraId="0000016D">
            <w:pPr>
              <w:numPr>
                <w:ilvl w:val="1"/>
                <w:numId w:val="2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such other information as the Relevant Authority may reasonably request in (or in response to) the Variation request; </w:t>
            </w:r>
          </w:p>
        </w:tc>
      </w:tr>
      <w:tr>
        <w:trPr>
          <w:cantSplit w:val="0"/>
          <w:tblHeader w:val="0"/>
        </w:trPr>
        <w:tc>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"Implementation Plan"</w:t>
            </w:r>
          </w:p>
        </w:tc>
        <w:tc>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plan for provision of the Deliverables set out in Call-Off Schedule 13 </w:t>
            </w:r>
            <w:r w:rsidDel="00000000" w:rsidR="00000000" w:rsidRPr="00000000">
              <w:rPr>
                <w:i w:val="1"/>
                <w:iCs w:val="1"/>
                <w:sz w:val="24"/>
                <w:szCs w:val="24"/>
                <w:rtl w:val="0"/>
              </w:rPr>
              <w:t xml:space="preserve">(Implementation Plan and Testing)</w:t>
            </w:r>
            <w:r w:rsidDel="00000000" w:rsidR="00000000" w:rsidRPr="00000000">
              <w:rPr>
                <w:sz w:val="24"/>
                <w:szCs w:val="24"/>
                <w:rtl w:val="0"/>
              </w:rPr>
              <w:t xml:space="preserve"> where that Schedule is used or otherwise as agreed between the Supplier and the Buyer;</w:t>
            </w:r>
          </w:p>
        </w:tc>
      </w:tr>
      <w:tr>
        <w:trPr>
          <w:cantSplit w:val="0"/>
          <w:tblHeader w:val="0"/>
        </w:trPr>
        <w:tc>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“Incorporated Terms”</w:t>
            </w:r>
          </w:p>
        </w:tc>
        <w:tc>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contractual terms applicable to the Contract specified in the Order Form;</w:t>
            </w:r>
          </w:p>
        </w:tc>
      </w:tr>
      <w:tr>
        <w:trPr>
          <w:cantSplit w:val="0"/>
          <w:tblHeader w:val="0"/>
        </w:trPr>
        <w:tc>
          <w:tcPr/>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"Indemnifier"</w:t>
            </w:r>
          </w:p>
        </w:tc>
        <w:tc>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Party from whom an indemnity is sought under the Contract;</w:t>
            </w:r>
          </w:p>
        </w:tc>
      </w:tr>
      <w:tr>
        <w:trPr>
          <w:cantSplit w:val="0"/>
          <w:tblHeader w:val="0"/>
        </w:trPr>
        <w:tc>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“Independent Controller”</w:t>
            </w:r>
          </w:p>
        </w:tc>
        <w:tc>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party which is a Controller of the same Personal Data as the other Party and there is no element of joint control with regards to that Personal Data;</w:t>
            </w:r>
          </w:p>
        </w:tc>
      </w:tr>
      <w:tr>
        <w:trPr>
          <w:cantSplit w:val="0"/>
          <w:tblHeader w:val="0"/>
        </w:trPr>
        <w:tc>
          <w:tcPr/>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"Indexation"</w:t>
            </w:r>
          </w:p>
        </w:tc>
        <w:tc>
          <w:tcPr/>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adjustment of an amount or sum in accordance with Framework Schedule 3 </w:t>
            </w:r>
            <w:r w:rsidDel="00000000" w:rsidR="00000000" w:rsidRPr="00000000">
              <w:rPr>
                <w:i w:val="1"/>
                <w:iCs w:val="1"/>
                <w:sz w:val="24"/>
                <w:szCs w:val="24"/>
                <w:rtl w:val="0"/>
              </w:rPr>
              <w:t xml:space="preserve">(Framework Prices)</w:t>
            </w:r>
            <w:r w:rsidDel="00000000" w:rsidR="00000000" w:rsidRPr="00000000">
              <w:rPr>
                <w:sz w:val="24"/>
                <w:szCs w:val="24"/>
                <w:rtl w:val="0"/>
              </w:rPr>
              <w:t xml:space="preserve"> and the relevant Order Form;</w:t>
            </w:r>
          </w:p>
        </w:tc>
      </w:tr>
      <w:tr>
        <w:trPr>
          <w:cantSplit w:val="0"/>
          <w:tblHeader w:val="0"/>
        </w:trPr>
        <w:tc>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"Information Commissioner"</w:t>
            </w:r>
          </w:p>
        </w:tc>
        <w:tc>
          <w:tcPr/>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UK’s independent authority which deals with ensuring information relating to rights in the public interest and data privacy for individuals is met, whilst promoting openness by public bodies; </w:t>
            </w:r>
          </w:p>
        </w:tc>
      </w:tr>
      <w:tr>
        <w:trPr>
          <w:cantSplit w:val="0"/>
          <w:tblHeader w:val="0"/>
        </w:trPr>
        <w:tc>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"Initial Period"</w:t>
            </w:r>
          </w:p>
        </w:tc>
        <w:tc>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initial term of a Contract specified in the Framework Award Form or the Order Form, as the context requires;</w:t>
            </w:r>
          </w:p>
        </w:tc>
      </w:tr>
      <w:tr>
        <w:trPr>
          <w:cantSplit w:val="0"/>
          <w:tblHeader w:val="0"/>
        </w:trPr>
        <w:tc>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"Insolvency Event"</w:t>
            </w:r>
          </w:p>
        </w:tc>
        <w:tc>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with respect to any person, means:</w:t>
            </w:r>
          </w:p>
          <w:p w:rsidR="00000000" w:rsidDel="00000000" w:rsidP="00000000" w:rsidRDefault="00000000" w:rsidRPr="00000000" w14:paraId="0000017E">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that person suspends, or threatens to suspend, payment of its debts, or is unable to pay its debts as they fall due or admits inability to pay its debts; or</w:t>
            </w:r>
          </w:p>
          <w:p w:rsidR="00000000" w:rsidDel="00000000" w:rsidP="00000000" w:rsidRDefault="00000000" w:rsidRPr="00000000" w14:paraId="0000017F">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(being a company or a LLP) is deemed unable to pay its debts within the meaning of section 123 of the Insolvency Act 1986; or</w:t>
            </w:r>
          </w:p>
          <w:p w:rsidR="00000000" w:rsidDel="00000000" w:rsidP="00000000" w:rsidRDefault="00000000" w:rsidRPr="00000000" w14:paraId="00000180">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(being a partnership) is deemed unable to pay its debts within the meaning of section 222 of the Insolvency Act 1986; or</w:t>
            </w:r>
          </w:p>
          <w:p w:rsidR="00000000" w:rsidDel="00000000" w:rsidP="00000000" w:rsidRDefault="00000000" w:rsidRPr="00000000" w14:paraId="00000181">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that person commences negotiations with one or more of its creditors (using a voluntary arrangement, scheme of arrangement or otherwise) with a view to rescheduling any of its debts, or makes a proposal for or enters into any compromise or arrangement with one or more of its creditors or takes any step to obtain a moratorium pursuant to Section 1A and Schedule A1 of the Insolvency Act 1986 other than (in the case of a company, a LLP or a partnership) for the sole purpose of a scheme for a solvent amalgamation of that person with one or more other companies or the solvent reconstruction of that person; or</w:t>
            </w:r>
          </w:p>
          <w:p w:rsidR="00000000" w:rsidDel="00000000" w:rsidP="00000000" w:rsidRDefault="00000000" w:rsidRPr="00000000" w14:paraId="00000182">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another person becomes entitled to appoint a receiver over the assets of that person or a receiver is appointed over the assets of that person; or</w:t>
            </w:r>
          </w:p>
          <w:p w:rsidR="00000000" w:rsidDel="00000000" w:rsidP="00000000" w:rsidRDefault="00000000" w:rsidRPr="00000000" w14:paraId="00000183">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a creditor or encumbrancer of that person attaches or takes possession of, or a distress, execution or other such process is levied or enforced on or sued against, the whole or any part of that person’s assets and such attachment or process is not discharged within 14 days; or</w:t>
            </w:r>
          </w:p>
          <w:p w:rsidR="00000000" w:rsidDel="00000000" w:rsidP="00000000" w:rsidRDefault="00000000" w:rsidRPr="00000000" w14:paraId="00000184">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that person suspends or ceases, or threatens to suspend or cease, carrying on all or a substantial part of its business; or</w:t>
            </w:r>
          </w:p>
          <w:p w:rsidR="00000000" w:rsidDel="00000000" w:rsidP="00000000" w:rsidRDefault="00000000" w:rsidRPr="00000000" w14:paraId="00000185">
            <w:pPr>
              <w:numPr>
                <w:ilvl w:val="4"/>
                <w:numId w:val="21"/>
              </w:numPr>
              <w:pBdr>
                <w:top w:space="0" w:sz="0" w:val="nil"/>
                <w:left w:space="0" w:sz="0" w:val="nil"/>
                <w:bottom w:space="0" w:sz="0" w:val="nil"/>
                <w:right w:space="0" w:sz="0" w:val="nil"/>
                <w:between w:space="0" w:sz="0" w:val="nil"/>
              </w:pBdr>
              <w:spacing w:after="120" w:before="120" w:line="276" w:lineRule="auto"/>
              <w:ind w:left="856" w:hanging="708"/>
              <w:rPr>
                <w:color w:val="000000"/>
              </w:rPr>
            </w:pPr>
            <w:r w:rsidDel="00000000" w:rsidR="00000000" w:rsidRPr="00000000">
              <w:rPr>
                <w:color w:val="000000"/>
                <w:sz w:val="24"/>
                <w:szCs w:val="24"/>
                <w:rtl w:val="0"/>
              </w:rPr>
              <w:t xml:space="preserve">where that person is a company, a LLP or a partnership:</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120" w:before="120" w:lineRule="auto"/>
              <w:ind w:left="1423" w:hanging="567"/>
              <w:rPr>
                <w:sz w:val="24"/>
                <w:szCs w:val="24"/>
              </w:rPr>
            </w:pPr>
            <w:r w:rsidDel="00000000" w:rsidR="00000000" w:rsidRPr="00000000">
              <w:rPr>
                <w:sz w:val="24"/>
                <w:szCs w:val="24"/>
                <w:rtl w:val="0"/>
              </w:rPr>
              <w:t xml:space="preserve">(i)     a petition is presented (which is not dismissed within fourteen (14) days of its service), a notice is given, a resolution is passed, or an order is made, for or in connection with the winding up of that person other than for the sole purpose of a scheme for a solvent amalgamation of that person with one or more other companies or the solvent reconstruction of that person; or</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120" w:before="120" w:lineRule="auto"/>
              <w:ind w:left="1423" w:hanging="567"/>
              <w:rPr>
                <w:sz w:val="24"/>
                <w:szCs w:val="24"/>
              </w:rPr>
            </w:pPr>
            <w:r w:rsidDel="00000000" w:rsidR="00000000" w:rsidRPr="00000000">
              <w:rPr>
                <w:sz w:val="24"/>
                <w:szCs w:val="24"/>
                <w:rtl w:val="0"/>
              </w:rPr>
              <w:t xml:space="preserve">(ii)     an application is made to court, or an order is made, for the appointment of an administrator, or if a notice of intention to appoint an administrator is filed at Court or given or if an administrator is appointed, over that person; or</w:t>
            </w:r>
          </w:p>
          <w:p w:rsidR="00000000" w:rsidDel="00000000" w:rsidP="00000000" w:rsidRDefault="00000000" w:rsidRPr="00000000" w14:paraId="00000188">
            <w:pPr>
              <w:numPr>
                <w:ilvl w:val="4"/>
                <w:numId w:val="21"/>
              </w:numPr>
              <w:pBdr>
                <w:top w:space="0" w:sz="0" w:val="nil"/>
                <w:left w:space="0" w:sz="0" w:val="nil"/>
                <w:bottom w:space="0" w:sz="0" w:val="nil"/>
                <w:right w:space="0" w:sz="0" w:val="nil"/>
                <w:between w:space="0" w:sz="0" w:val="nil"/>
              </w:pBdr>
              <w:spacing w:after="120" w:before="120" w:line="276" w:lineRule="auto"/>
              <w:ind w:left="856" w:hanging="686"/>
              <w:rPr>
                <w:color w:val="000000"/>
              </w:rPr>
            </w:pPr>
            <w:r w:rsidDel="00000000" w:rsidR="00000000" w:rsidRPr="00000000">
              <w:rPr>
                <w:color w:val="000000"/>
                <w:sz w:val="24"/>
                <w:szCs w:val="24"/>
                <w:rtl w:val="0"/>
              </w:rPr>
              <w:t xml:space="preserve">(being a company or a LLP) the holder of a qualifying floating charge over the assets of that person has become entitled to appoint or has appointed an administrative receiver; or</w:t>
            </w:r>
          </w:p>
          <w:p w:rsidR="00000000" w:rsidDel="00000000" w:rsidP="00000000" w:rsidRDefault="00000000" w:rsidRPr="00000000" w14:paraId="00000189">
            <w:pPr>
              <w:numPr>
                <w:ilvl w:val="4"/>
                <w:numId w:val="21"/>
              </w:numPr>
              <w:pBdr>
                <w:top w:space="0" w:sz="0" w:val="nil"/>
                <w:left w:space="0" w:sz="0" w:val="nil"/>
                <w:bottom w:space="0" w:sz="0" w:val="nil"/>
                <w:right w:space="0" w:sz="0" w:val="nil"/>
                <w:between w:space="0" w:sz="0" w:val="nil"/>
              </w:pBdr>
              <w:spacing w:after="120" w:before="120" w:line="276" w:lineRule="auto"/>
              <w:ind w:left="856" w:hanging="686"/>
              <w:rPr>
                <w:color w:val="000000"/>
              </w:rPr>
            </w:pPr>
            <w:r w:rsidDel="00000000" w:rsidR="00000000" w:rsidRPr="00000000">
              <w:rPr>
                <w:color w:val="000000"/>
                <w:sz w:val="24"/>
                <w:szCs w:val="24"/>
                <w:rtl w:val="0"/>
              </w:rPr>
              <w:t xml:space="preserve">(being a partnership) the holder of an agricultural floating charge over the assets of that person has become entitled to appoint or has appointed an agricultural receiver; or</w:t>
            </w:r>
          </w:p>
          <w:p w:rsidR="00000000" w:rsidDel="00000000" w:rsidP="00000000" w:rsidRDefault="00000000" w:rsidRPr="00000000" w14:paraId="0000018A">
            <w:pPr>
              <w:numPr>
                <w:ilvl w:val="4"/>
                <w:numId w:val="21"/>
              </w:numPr>
              <w:pBdr>
                <w:top w:space="0" w:sz="0" w:val="nil"/>
                <w:left w:space="0" w:sz="0" w:val="nil"/>
                <w:bottom w:space="0" w:sz="0" w:val="nil"/>
                <w:right w:space="0" w:sz="0" w:val="nil"/>
                <w:between w:space="0" w:sz="0" w:val="nil"/>
              </w:pBdr>
              <w:spacing w:after="120" w:before="120" w:line="276" w:lineRule="auto"/>
              <w:ind w:left="856" w:hanging="686"/>
              <w:rPr>
                <w:color w:val="000000"/>
              </w:rPr>
            </w:pPr>
            <w:r w:rsidDel="00000000" w:rsidR="00000000" w:rsidRPr="00000000">
              <w:rPr>
                <w:color w:val="000000"/>
                <w:sz w:val="24"/>
                <w:szCs w:val="24"/>
                <w:rtl w:val="0"/>
              </w:rPr>
              <w:t xml:space="preserve">any event occurs, or proceeding is taken, with respect to that person in any jurisdiction to which it is subject that has an effect equivalent or similar to any of the events mentioned above;</w:t>
            </w:r>
          </w:p>
        </w:tc>
      </w:tr>
      <w:tr>
        <w:trPr>
          <w:cantSplit w:val="0"/>
          <w:tblHeader w:val="0"/>
        </w:trPr>
        <w:tc>
          <w:tcPr/>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"Installation Works"</w:t>
            </w:r>
          </w:p>
        </w:tc>
        <w:tc>
          <w:tcPr/>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all works which the Supplier is to carry out at the beginning of the Call-Off Contract Period to install the Goods in accordance with the Call-Off Contract;</w:t>
            </w:r>
          </w:p>
        </w:tc>
      </w:tr>
      <w:tr>
        <w:trPr>
          <w:cantSplit w:val="0"/>
          <w:tblHeader w:val="0"/>
        </w:trPr>
        <w:tc>
          <w:tcPr/>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"Intellectual Property Rights" or "IPR"</w:t>
            </w:r>
          </w:p>
        </w:tc>
        <w:tc>
          <w:tcPr/>
          <w:p w:rsidR="00000000" w:rsidDel="00000000" w:rsidP="00000000" w:rsidRDefault="00000000" w:rsidRPr="00000000" w14:paraId="0000018E">
            <w:pPr>
              <w:numPr>
                <w:ilvl w:val="1"/>
                <w:numId w:val="1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copyright, rights related to or affording protection similar to copyright, rights in databases, patents and rights in inventions, semi-conductor topography rights, trade marks, rights in internet domain names and website addresses and other rights in trade or business names, goodwill, designs, Know-How, trade secrets and other rights in Confidential Information; </w:t>
            </w:r>
          </w:p>
          <w:p w:rsidR="00000000" w:rsidDel="00000000" w:rsidP="00000000" w:rsidRDefault="00000000" w:rsidRPr="00000000" w14:paraId="0000018F">
            <w:pPr>
              <w:numPr>
                <w:ilvl w:val="1"/>
                <w:numId w:val="1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applications for registration, and the right to apply for registration, for any of the rights listed at (a) that are capable of being registered in any country or jurisdiction; and</w:t>
            </w:r>
          </w:p>
          <w:p w:rsidR="00000000" w:rsidDel="00000000" w:rsidP="00000000" w:rsidRDefault="00000000" w:rsidRPr="00000000" w14:paraId="00000190">
            <w:pPr>
              <w:numPr>
                <w:ilvl w:val="1"/>
                <w:numId w:val="1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all other rights having equivalent or similar effect in any country or jurisdiction; </w:t>
            </w:r>
          </w:p>
        </w:tc>
      </w:tr>
      <w:tr>
        <w:trPr>
          <w:cantSplit w:val="0"/>
          <w:tblHeader w:val="0"/>
        </w:trPr>
        <w:tc>
          <w:tcPr/>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"Invoicing Address"</w:t>
            </w:r>
          </w:p>
        </w:tc>
        <w:tc>
          <w:tcPr/>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address to which the Supplier shall invoice the Buyer as specified in the Order Form;</w:t>
            </w:r>
          </w:p>
        </w:tc>
      </w:tr>
      <w:tr>
        <w:trPr>
          <w:cantSplit w:val="0"/>
          <w:tblHeader w:val="0"/>
        </w:trPr>
        <w:tc>
          <w:tcPr/>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“IP Completion Day”</w:t>
            </w:r>
          </w:p>
        </w:tc>
        <w:tc>
          <w:tcPr/>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European Union (Withdrawal Agreement) Act 2020;</w:t>
            </w:r>
          </w:p>
        </w:tc>
      </w:tr>
      <w:tr>
        <w:trPr>
          <w:cantSplit w:val="0"/>
          <w:tblHeader w:val="0"/>
        </w:trPr>
        <w:tc>
          <w:tcPr/>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"IPR Claim"</w:t>
            </w:r>
          </w:p>
        </w:tc>
        <w:tc>
          <w:tcPr/>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claim of infringement or alleged infringement (including the defence of such infringement or alleged infringement) of any IPR (excluding COTS Software where Part B of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 is used), used to provide the Deliverables or otherwise provided and/or licensed by the Supplier (or to which the Supplier has provided access) to the Relevant Authority in the fulfilment of its obligations under a Contract;</w:t>
            </w:r>
          </w:p>
        </w:tc>
      </w:tr>
      <w:tr>
        <w:trPr>
          <w:cantSplit w:val="0"/>
          <w:tblHeader w:val="0"/>
        </w:trPr>
        <w:tc>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"IPR Option"</w:t>
            </w:r>
          </w:p>
        </w:tc>
        <w:tc>
          <w:tcPr/>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option(s) for the Intellectual Property Rights provisions that can apply under a Call-Off Contract as set out in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"IR35"</w:t>
            </w:r>
          </w:p>
        </w:tc>
        <w:tc>
          <w:tcPr/>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Chapter 8 and Chapter 10 of Part 2 of Income Tax (Earnings and Pensions) Act 2003 and the Social Security Contributions (Intermediaries) Regulations 2000;</w:t>
            </w:r>
          </w:p>
        </w:tc>
      </w:tr>
      <w:tr>
        <w:trPr>
          <w:cantSplit w:val="0"/>
          <w:tblHeader w:val="0"/>
        </w:trPr>
        <w:tc>
          <w:tcPr/>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“Joint Controller Agreement”</w:t>
            </w:r>
          </w:p>
        </w:tc>
        <w:tc>
          <w:tcPr/>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agreement (if any) entered into between the Relevant Authority and the Supplier substantially in the form set out in Annex 2 of Joint Schedule 10 (</w:t>
            </w:r>
            <w:r w:rsidDel="00000000" w:rsidR="00000000" w:rsidRPr="00000000">
              <w:rPr>
                <w:i w:val="1"/>
                <w:iCs w:val="1"/>
                <w:sz w:val="24"/>
                <w:szCs w:val="24"/>
                <w:rtl w:val="0"/>
              </w:rPr>
              <w:t xml:space="preserve">Processing Data</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"Key Performance Indicators" or "KPIs"</w:t>
            </w:r>
          </w:p>
        </w:tc>
        <w:tc>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key performance indicators applicable to the provision of the Deliverables under the Contract (which, where Call-Off Schedule 14 (Performance Levels) is used in the Contract, are specified in the Annex to Part A of such Schedule);</w:t>
            </w:r>
          </w:p>
        </w:tc>
      </w:tr>
      <w:tr>
        <w:trPr>
          <w:cantSplit w:val="0"/>
          <w:tblHeader w:val="0"/>
        </w:trPr>
        <w:tc>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120" w:before="120" w:lineRule="auto"/>
              <w:rPr>
                <w:b w:val="1"/>
                <w:bCs w:val="1"/>
                <w:sz w:val="24"/>
                <w:szCs w:val="24"/>
                <w:highlight w:val="cyan"/>
              </w:rPr>
            </w:pPr>
            <w:r w:rsidDel="00000000" w:rsidR="00000000" w:rsidRPr="00000000">
              <w:rPr>
                <w:b w:val="1"/>
                <w:bCs w:val="1"/>
                <w:sz w:val="24"/>
                <w:szCs w:val="24"/>
                <w:rtl w:val="0"/>
              </w:rPr>
              <w:t xml:space="preserve">"Key Staff"</w:t>
            </w:r>
            <w:r w:rsidDel="00000000" w:rsidR="00000000" w:rsidRPr="00000000">
              <w:rPr>
                <w:rtl w:val="0"/>
              </w:rPr>
            </w:r>
          </w:p>
        </w:tc>
        <w:tc>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individuals (if any) identified as such in the Order Form;</w:t>
            </w:r>
          </w:p>
        </w:tc>
      </w:tr>
      <w:tr>
        <w:trPr>
          <w:cantSplit w:val="0"/>
          <w:tblHeader w:val="0"/>
        </w:trPr>
        <w:tc>
          <w:tcPr/>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"Key Sub-Contract"</w:t>
            </w:r>
          </w:p>
        </w:tc>
        <w:tc>
          <w:tcPr/>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each Sub-Contract with a Key Subcontractor;</w:t>
            </w:r>
          </w:p>
        </w:tc>
      </w:tr>
      <w:tr>
        <w:trPr>
          <w:cantSplit w:val="0"/>
          <w:tblHeader w:val="0"/>
        </w:trPr>
        <w:tc>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"Key Subcontractor"</w:t>
            </w:r>
          </w:p>
        </w:tc>
        <w:tc>
          <w:tcPr/>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Subcontractor:</w:t>
            </w:r>
          </w:p>
          <w:p w:rsidR="00000000" w:rsidDel="00000000" w:rsidP="00000000" w:rsidRDefault="00000000" w:rsidRPr="00000000" w14:paraId="000001A5">
            <w:pPr>
              <w:numPr>
                <w:ilvl w:val="1"/>
                <w:numId w:val="2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which is relied upon to deliver any work package within the Deliverables in their entirety; and/or</w:t>
            </w:r>
          </w:p>
          <w:p w:rsidR="00000000" w:rsidDel="00000000" w:rsidP="00000000" w:rsidRDefault="00000000" w:rsidRPr="00000000" w14:paraId="000001A6">
            <w:pPr>
              <w:numPr>
                <w:ilvl w:val="1"/>
                <w:numId w:val="2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which, in the opinion of GCA or the Buyer performs (or would perform if appointed) a critical role in the provision of all or any part of the Deliverables; and/or</w:t>
            </w:r>
          </w:p>
          <w:p w:rsidR="00000000" w:rsidDel="00000000" w:rsidP="00000000" w:rsidRDefault="00000000" w:rsidRPr="00000000" w14:paraId="000001A7">
            <w:pPr>
              <w:numPr>
                <w:ilvl w:val="1"/>
                <w:numId w:val="22"/>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with a Sub-Contract with a contract value which at the time of appointment exceeds (or would exceed if appointed) 10% of the aggregate Charges forecast to be payable under the Call-Off Contract,</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and the Supplier shall list all such Key Subcontractors in section 23 of the Framework Award Form and in the Key Subcontractor section in the Order Form;</w:t>
            </w:r>
          </w:p>
        </w:tc>
      </w:tr>
      <w:tr>
        <w:trPr>
          <w:cantSplit w:val="0"/>
          <w:tblHeader w:val="0"/>
        </w:trPr>
        <w:tc>
          <w:tcPr/>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"Know-How"</w:t>
            </w:r>
          </w:p>
        </w:tc>
        <w:tc>
          <w:tcPr/>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all ideas, concepts, schemes, information, knowledge, techniques, methodology, and anything else in the nature of know-how relating to the Deliverables but excluding know-how already in the other Party’s possession before the applicable Effective Date;</w:t>
            </w:r>
          </w:p>
        </w:tc>
      </w:tr>
      <w:tr>
        <w:trPr>
          <w:cantSplit w:val="0"/>
          <w:tblHeader w:val="0"/>
        </w:trPr>
        <w:tc>
          <w:tcPr/>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"Law"</w:t>
            </w:r>
          </w:p>
        </w:tc>
        <w:tc>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law, subordinate legislation within the meaning of Section 21(1) of the Interpretation Act 1978, bye-law, right within the meaning of the European Union (Withdrawal) Act 2020, regulation, order, regulatory policy, mandatory guidance or code of practice, judgment of a relevant court of law, or directives or requirements of any regulatory body with which the Supplier is bound to comply;</w:t>
            </w:r>
          </w:p>
        </w:tc>
      </w:tr>
      <w:tr>
        <w:trPr>
          <w:cantSplit w:val="0"/>
          <w:tblHeader w:val="0"/>
        </w:trPr>
        <w:tc>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“Law Enforcement Processing”</w:t>
            </w:r>
          </w:p>
        </w:tc>
        <w:tc>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processing under Part 3 of the DPA 2018;</w:t>
            </w:r>
          </w:p>
        </w:tc>
      </w:tr>
      <w:tr>
        <w:trPr>
          <w:cantSplit w:val="0"/>
          <w:tblHeader w:val="0"/>
        </w:trPr>
        <w:tc>
          <w:tcPr/>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"Losses"</w:t>
            </w:r>
          </w:p>
        </w:tc>
        <w:tc>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all losses, liabilities, damages, costs, expenses (including legal fees), disbursements, costs of investigation, litigation, settlement, judgment, interest and penalties whether arising in contract, tort (including negligence), breach of statutory duty, misrepresentation or otherwise and "</w:t>
            </w:r>
            <w:r w:rsidDel="00000000" w:rsidR="00000000" w:rsidRPr="00000000">
              <w:rPr>
                <w:b w:val="1"/>
                <w:bCs w:val="1"/>
                <w:sz w:val="24"/>
                <w:szCs w:val="24"/>
                <w:rtl w:val="0"/>
              </w:rPr>
              <w:t xml:space="preserve">Loss</w:t>
            </w:r>
            <w:r w:rsidDel="00000000" w:rsidR="00000000" w:rsidRPr="00000000">
              <w:rPr>
                <w:sz w:val="24"/>
                <w:szCs w:val="24"/>
                <w:rtl w:val="0"/>
              </w:rPr>
              <w:t xml:space="preserve">" shall be interpreted accordingly;</w:t>
            </w:r>
          </w:p>
        </w:tc>
      </w:tr>
      <w:tr>
        <w:trPr>
          <w:cantSplit w:val="0"/>
          <w:tblHeader w:val="0"/>
        </w:trPr>
        <w:tc>
          <w:tcPr/>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"Lots"</w:t>
            </w:r>
          </w:p>
        </w:tc>
        <w:tc>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number of lots specified in Framework Schedule 1 </w:t>
            </w:r>
            <w:r w:rsidDel="00000000" w:rsidR="00000000" w:rsidRPr="00000000">
              <w:rPr>
                <w:i w:val="1"/>
                <w:iCs w:val="1"/>
                <w:sz w:val="24"/>
                <w:szCs w:val="24"/>
                <w:rtl w:val="0"/>
              </w:rPr>
              <w:t xml:space="preserve">(Specification)</w:t>
            </w:r>
            <w:r w:rsidDel="00000000" w:rsidR="00000000" w:rsidRPr="00000000">
              <w:rPr>
                <w:sz w:val="24"/>
                <w:szCs w:val="24"/>
                <w:rtl w:val="0"/>
              </w:rPr>
              <w:t xml:space="preserve">, if applicable and “Lot” shall be interpreted accordingly;</w:t>
            </w:r>
          </w:p>
        </w:tc>
      </w:tr>
      <w:tr>
        <w:trPr>
          <w:cantSplit w:val="0"/>
          <w:tblHeader w:val="0"/>
        </w:trPr>
        <w:tc>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"Management Charge"</w:t>
            </w:r>
          </w:p>
        </w:tc>
        <w:tc>
          <w:tcPr/>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sum specified in the Framework Award Form payable by the Supplier to GCA in accordance with Framework Schedule 5 </w:t>
            </w:r>
            <w:r w:rsidDel="00000000" w:rsidR="00000000" w:rsidRPr="00000000">
              <w:rPr>
                <w:i w:val="1"/>
                <w:iCs w:val="1"/>
                <w:sz w:val="24"/>
                <w:szCs w:val="24"/>
                <w:rtl w:val="0"/>
              </w:rPr>
              <w:t xml:space="preserve">(Management Charges and Information)</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"Management Information" or “MI”</w:t>
            </w:r>
          </w:p>
        </w:tc>
        <w:tc>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management information specified in Framework Schedule 5 </w:t>
            </w:r>
            <w:r w:rsidDel="00000000" w:rsidR="00000000" w:rsidRPr="00000000">
              <w:rPr>
                <w:i w:val="1"/>
                <w:iCs w:val="1"/>
                <w:sz w:val="24"/>
                <w:szCs w:val="24"/>
                <w:rtl w:val="0"/>
              </w:rPr>
              <w:t xml:space="preserve">(Management Charges and Information)</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 Default”</w:t>
            </w:r>
          </w:p>
        </w:tc>
        <w:tc>
          <w:tcPr/>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color w:val="222222"/>
                <w:sz w:val="24"/>
                <w:szCs w:val="24"/>
                <w:rtl w:val="0"/>
              </w:rPr>
              <w:t xml:space="preserve">when</w:t>
            </w:r>
            <w:r w:rsidDel="00000000" w:rsidR="00000000" w:rsidRPr="00000000">
              <w:rPr>
                <w:b w:val="1"/>
                <w:bCs w:val="1"/>
                <w:color w:val="222222"/>
                <w:sz w:val="24"/>
                <w:szCs w:val="24"/>
                <w:rtl w:val="0"/>
              </w:rPr>
              <w:t xml:space="preserve"> </w:t>
            </w:r>
            <w:r w:rsidDel="00000000" w:rsidR="00000000" w:rsidRPr="00000000">
              <w:rPr>
                <w:sz w:val="24"/>
                <w:szCs w:val="24"/>
                <w:rtl w:val="0"/>
              </w:rPr>
              <w:t xml:space="preserve">two (2) MI Reports are not provided in any rolling six (6) month period;</w:t>
            </w:r>
          </w:p>
        </w:tc>
      </w:tr>
      <w:tr>
        <w:trPr>
          <w:cantSplit w:val="0"/>
          <w:tblHeader w:val="0"/>
        </w:trPr>
        <w:tc>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 Failure"</w:t>
            </w:r>
          </w:p>
        </w:tc>
        <w:tc>
          <w:tcPr/>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when an MI report:</w:t>
            </w:r>
          </w:p>
          <w:p w:rsidR="00000000" w:rsidDel="00000000" w:rsidP="00000000" w:rsidRDefault="00000000" w:rsidRPr="00000000" w14:paraId="000001BB">
            <w:pPr>
              <w:numPr>
                <w:ilvl w:val="1"/>
                <w:numId w:val="24"/>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contains any material errors or material omissions or a missing mandatory field; or  </w:t>
            </w:r>
          </w:p>
          <w:p w:rsidR="00000000" w:rsidDel="00000000" w:rsidP="00000000" w:rsidRDefault="00000000" w:rsidRPr="00000000" w14:paraId="000001BC">
            <w:pPr>
              <w:numPr>
                <w:ilvl w:val="1"/>
                <w:numId w:val="24"/>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is submitted using an incorrect MI reporting Template; or </w:t>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120" w:before="120" w:lineRule="auto"/>
              <w:ind w:left="170" w:firstLine="0"/>
              <w:rPr>
                <w:color w:val="222222"/>
                <w:sz w:val="24"/>
                <w:szCs w:val="24"/>
              </w:rPr>
            </w:pPr>
            <w:r w:rsidDel="00000000" w:rsidR="00000000" w:rsidRPr="00000000">
              <w:rPr>
                <w:sz w:val="24"/>
                <w:szCs w:val="24"/>
                <w:rtl w:val="0"/>
              </w:rPr>
              <w:t xml:space="preserve">is not submitted by the reporting date (including where a declaration of no business should have been filed);</w:t>
            </w:r>
            <w:r w:rsidDel="00000000" w:rsidR="00000000" w:rsidRPr="00000000">
              <w:rPr>
                <w:rtl w:val="0"/>
              </w:rPr>
            </w:r>
          </w:p>
        </w:tc>
      </w:tr>
      <w:tr>
        <w:trPr>
          <w:cantSplit w:val="0"/>
          <w:tblHeader w:val="0"/>
        </w:trPr>
        <w:tc>
          <w:tcPr/>
          <w:p w:rsidR="00000000" w:rsidDel="00000000" w:rsidP="00000000" w:rsidRDefault="00000000" w:rsidRPr="00000000" w14:paraId="000001B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 Report"</w:t>
            </w:r>
          </w:p>
        </w:tc>
        <w:tc>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report containing Management Information submitted to GCA in accordance with Framework Schedule 5 (Management Charges and Information);</w:t>
            </w:r>
          </w:p>
        </w:tc>
      </w:tr>
      <w:tr>
        <w:trPr>
          <w:cantSplit w:val="0"/>
          <w:tblHeader w:val="0"/>
        </w:trPr>
        <w:tc>
          <w:tcPr/>
          <w:p w:rsidR="00000000" w:rsidDel="00000000" w:rsidP="00000000" w:rsidRDefault="00000000" w:rsidRPr="00000000" w14:paraId="000001C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 Reporting Template"</w:t>
            </w:r>
          </w:p>
        </w:tc>
        <w:tc>
          <w:tcPr/>
          <w:p w:rsidR="00000000" w:rsidDel="00000000" w:rsidP="00000000" w:rsidRDefault="00000000" w:rsidRPr="00000000" w14:paraId="000001C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form of report set out in the Annex to Framework Schedule 5 (Management Charges and Information) setting out the information the Supplier is required to supply to GCA;</w:t>
            </w:r>
          </w:p>
        </w:tc>
      </w:tr>
      <w:tr>
        <w:trPr>
          <w:cantSplit w:val="0"/>
          <w:tblHeader w:val="0"/>
        </w:trPr>
        <w:tc>
          <w:tcPr/>
          <w:p w:rsidR="00000000" w:rsidDel="00000000" w:rsidP="00000000" w:rsidRDefault="00000000" w:rsidRPr="00000000" w14:paraId="000001C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“Malicious Software”</w:t>
            </w:r>
          </w:p>
        </w:tc>
        <w:tc>
          <w:tcPr/>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software program or code intended to destroy, interfere with, corrupt, or cause undesired effects on program files, data or other information, executable code or application software macros, whether or not its operation is immediate or delayed, and whether the malicious software is introduced wilfully, negligently or without knowledge of its existence;</w:t>
            </w:r>
          </w:p>
        </w:tc>
      </w:tr>
      <w:tr>
        <w:trPr>
          <w:cantSplit w:val="0"/>
          <w:tblHeader w:val="0"/>
        </w:trPr>
        <w:tc>
          <w:tcPr/>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“Material Default”</w:t>
            </w:r>
          </w:p>
          <w:p w:rsidR="00000000" w:rsidDel="00000000" w:rsidP="00000000" w:rsidRDefault="00000000" w:rsidRPr="00000000" w14:paraId="000001C5">
            <w:pPr>
              <w:rPr>
                <w:sz w:val="24"/>
                <w:szCs w:val="24"/>
              </w:rPr>
            </w:pPr>
            <w:r w:rsidDel="00000000" w:rsidR="00000000" w:rsidRPr="00000000">
              <w:rPr>
                <w:rtl w:val="0"/>
              </w:rPr>
            </w:r>
          </w:p>
          <w:p w:rsidR="00000000" w:rsidDel="00000000" w:rsidP="00000000" w:rsidRDefault="00000000" w:rsidRPr="00000000" w14:paraId="000001C6">
            <w:pPr>
              <w:jc w:val="right"/>
              <w:rPr>
                <w:sz w:val="24"/>
                <w:szCs w:val="24"/>
              </w:rPr>
            </w:pPr>
            <w:r w:rsidDel="00000000" w:rsidR="00000000" w:rsidRPr="00000000">
              <w:rPr>
                <w:rtl w:val="0"/>
              </w:rPr>
            </w:r>
          </w:p>
        </w:tc>
        <w:tc>
          <w:tcPr/>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single serious Default or a number of Defaults or repeated Defaults (whether of the same or different obligations and regardless of whether such Defaults are remedied);</w:t>
            </w:r>
          </w:p>
        </w:tc>
      </w:tr>
      <w:tr>
        <w:trPr>
          <w:cantSplit w:val="0"/>
          <w:tblHeader w:val="0"/>
        </w:trPr>
        <w:tc>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"Milestone"</w:t>
            </w:r>
          </w:p>
        </w:tc>
        <w:tc>
          <w:tcPr/>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 event or task described in the Implementation Plan;</w:t>
            </w:r>
          </w:p>
        </w:tc>
      </w:tr>
      <w:tr>
        <w:trPr>
          <w:cantSplit w:val="0"/>
          <w:tblHeader w:val="0"/>
        </w:trPr>
        <w:tc>
          <w:tcPr/>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"Milestone Date"</w:t>
            </w:r>
          </w:p>
        </w:tc>
        <w:tc>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target date set out against the relevant Milestone in the Implementation Plan by which the Milestone must be Achieved;</w:t>
            </w:r>
          </w:p>
        </w:tc>
      </w:tr>
      <w:tr>
        <w:trPr>
          <w:cantSplit w:val="0"/>
          <w:tblHeader w:val="0"/>
        </w:trPr>
        <w:tc>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"Month"</w:t>
            </w:r>
          </w:p>
        </w:tc>
        <w:tc>
          <w:tcPr/>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calendar month and "</w:t>
            </w:r>
            <w:r w:rsidDel="00000000" w:rsidR="00000000" w:rsidRPr="00000000">
              <w:rPr>
                <w:b w:val="1"/>
                <w:bCs w:val="1"/>
                <w:sz w:val="24"/>
                <w:szCs w:val="24"/>
                <w:rtl w:val="0"/>
              </w:rPr>
              <w:t xml:space="preserve">Monthly</w:t>
            </w:r>
            <w:r w:rsidDel="00000000" w:rsidR="00000000" w:rsidRPr="00000000">
              <w:rPr>
                <w:sz w:val="24"/>
                <w:szCs w:val="24"/>
                <w:rtl w:val="0"/>
              </w:rPr>
              <w:t xml:space="preserve">" shall be interpreted accordingly;</w:t>
            </w:r>
          </w:p>
        </w:tc>
      </w:tr>
      <w:tr>
        <w:trPr>
          <w:cantSplit w:val="0"/>
          <w:tblHeader w:val="0"/>
        </w:trPr>
        <w:tc>
          <w:tcPr/>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"National Insurance"</w:t>
            </w:r>
          </w:p>
        </w:tc>
        <w:tc>
          <w:tcPr/>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contributions required by the Social Security Contributions and Benefits Act 1992 and made in accordance with the  Social Security (Contributions) Regulations 2001 (SI 2001/1004);</w:t>
            </w:r>
          </w:p>
        </w:tc>
      </w:tr>
      <w:tr>
        <w:trPr>
          <w:cantSplit w:val="0"/>
          <w:tblHeader w:val="0"/>
        </w:trPr>
        <w:tc>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"New IPR"</w:t>
            </w:r>
          </w:p>
        </w:tc>
        <w:tc>
          <w:tcPr/>
          <w:p w:rsidR="00000000" w:rsidDel="00000000" w:rsidP="00000000" w:rsidRDefault="00000000" w:rsidRPr="00000000" w14:paraId="000001D1">
            <w:pPr>
              <w:numPr>
                <w:ilvl w:val="1"/>
                <w:numId w:val="1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IPR in items created by the Supplier (or by a third party on behalf of the Supplier) specifically for the purposes of a Contract and updates and amendments of these items including  database schema; and/or</w:t>
            </w:r>
          </w:p>
          <w:p w:rsidR="00000000" w:rsidDel="00000000" w:rsidP="00000000" w:rsidRDefault="00000000" w:rsidRPr="00000000" w14:paraId="000001D2">
            <w:pPr>
              <w:numPr>
                <w:ilvl w:val="1"/>
                <w:numId w:val="11"/>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IPR in or arising as a result of the performance of the Supplier’s obligations under a Contract and all updates and amendments to the same; </w:t>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but shall not include the Supplier Existing IPR, or, where an IPR Option in Part B of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 applies to the Contract, any Specially Written Software;</w:t>
            </w:r>
          </w:p>
        </w:tc>
      </w:tr>
      <w:tr>
        <w:trPr>
          <w:cantSplit w:val="0"/>
          <w:tblHeader w:val="0"/>
        </w:trPr>
        <w:tc>
          <w:tcPr/>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“New IPR Item”</w:t>
            </w:r>
          </w:p>
        </w:tc>
        <w:tc>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deliverable, document, product or other item within which New IPR subsists;</w:t>
            </w:r>
          </w:p>
        </w:tc>
      </w:tr>
      <w:tr>
        <w:trPr>
          <w:cantSplit w:val="0"/>
          <w:tblHeader w:val="0"/>
        </w:trPr>
        <w:tc>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“Notifiable Default”</w:t>
            </w:r>
          </w:p>
        </w:tc>
        <w:tc>
          <w:tcPr/>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where:</w:t>
            </w:r>
          </w:p>
          <w:p w:rsidR="00000000" w:rsidDel="00000000" w:rsidP="00000000" w:rsidRDefault="00000000" w:rsidRPr="00000000" w14:paraId="000001D8">
            <w:pPr>
              <w:numPr>
                <w:ilvl w:val="4"/>
                <w:numId w:val="11"/>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the Supplier commits a Material Default; and/or</w:t>
            </w:r>
          </w:p>
          <w:p w:rsidR="00000000" w:rsidDel="00000000" w:rsidP="00000000" w:rsidRDefault="00000000" w:rsidRPr="00000000" w14:paraId="000001D9">
            <w:pPr>
              <w:numPr>
                <w:ilvl w:val="4"/>
                <w:numId w:val="11"/>
              </w:numPr>
              <w:pBdr>
                <w:top w:space="0" w:sz="0" w:val="nil"/>
                <w:left w:space="0" w:sz="0" w:val="nil"/>
                <w:bottom w:space="0" w:sz="0" w:val="nil"/>
                <w:right w:space="0" w:sz="0" w:val="nil"/>
                <w:between w:space="0" w:sz="0" w:val="nil"/>
              </w:pBdr>
              <w:spacing w:after="120" w:before="120" w:line="276" w:lineRule="auto"/>
              <w:ind w:left="856" w:hanging="708"/>
              <w:rPr>
                <w:color w:val="000000"/>
                <w:sz w:val="24"/>
                <w:szCs w:val="24"/>
              </w:rPr>
            </w:pPr>
            <w:r w:rsidDel="00000000" w:rsidR="00000000" w:rsidRPr="00000000">
              <w:rPr>
                <w:color w:val="000000"/>
                <w:sz w:val="24"/>
                <w:szCs w:val="24"/>
                <w:rtl w:val="0"/>
              </w:rPr>
              <w:t xml:space="preserve">the performance of the Supplier is likely to cause or causes a Critical KPI Failure;</w:t>
            </w:r>
          </w:p>
        </w:tc>
      </w:tr>
      <w:tr>
        <w:trPr>
          <w:cantSplit w:val="0"/>
          <w:tblHeader w:val="0"/>
        </w:trPr>
        <w:tc>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“Object Code”</w:t>
            </w:r>
          </w:p>
        </w:tc>
        <w:tc>
          <w:tcPr/>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software and/or data in machine-readable complied object code form;</w:t>
            </w:r>
          </w:p>
        </w:tc>
      </w:tr>
      <w:tr>
        <w:trPr>
          <w:cantSplit w:val="0"/>
          <w:tblHeader w:val="0"/>
        </w:trPr>
        <w:tc>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"Open Book Data"</w:t>
            </w:r>
          </w:p>
        </w:tc>
        <w:tc>
          <w:tcPr/>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complete and accurate financial and non-financial information which is sufficient to enable the Buyer to verify the Charges already paid or payable and Charges forecast to be paid during the remainder of the Call-Off Contract, including details and all assumptions relating to:</w:t>
            </w:r>
          </w:p>
          <w:p w:rsidR="00000000" w:rsidDel="00000000" w:rsidP="00000000" w:rsidRDefault="00000000" w:rsidRPr="00000000" w14:paraId="000001DE">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Supplier’s Costs broken down against each Good and/or Service and/or Deliverable, including actual capital expenditure (including capital replacement costs) and the unit cost and total actual costs of all Deliverables;</w:t>
            </w:r>
          </w:p>
          <w:p w:rsidR="00000000" w:rsidDel="00000000" w:rsidP="00000000" w:rsidRDefault="00000000" w:rsidRPr="00000000" w14:paraId="000001DF">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operating expenditure relating to the provision of the Deliverables including an analysis showing:</w:t>
            </w:r>
          </w:p>
          <w:p w:rsidR="00000000" w:rsidDel="00000000" w:rsidP="00000000" w:rsidRDefault="00000000" w:rsidRPr="00000000" w14:paraId="000001E0">
            <w:pPr>
              <w:numPr>
                <w:ilvl w:val="2"/>
                <w:numId w:val="1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the unit costs and quantity of Goods and any other consumables and bought-in Deliverables;</w:t>
            </w:r>
          </w:p>
          <w:p w:rsidR="00000000" w:rsidDel="00000000" w:rsidP="00000000" w:rsidRDefault="00000000" w:rsidRPr="00000000" w14:paraId="000001E1">
            <w:pPr>
              <w:numPr>
                <w:ilvl w:val="2"/>
                <w:numId w:val="1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workforce resources broken down into the number and grade/role of all Supplier Staff (free of any contingency) together with a list of agreed rates against each workforce grade;</w:t>
            </w:r>
          </w:p>
          <w:p w:rsidR="00000000" w:rsidDel="00000000" w:rsidP="00000000" w:rsidRDefault="00000000" w:rsidRPr="00000000" w14:paraId="000001E2">
            <w:pPr>
              <w:numPr>
                <w:ilvl w:val="2"/>
                <w:numId w:val="1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a list of Costs underpinning those rates for each workforce grade, being the agreed rate less the Supplier Profit Margin; and</w:t>
            </w:r>
          </w:p>
          <w:p w:rsidR="00000000" w:rsidDel="00000000" w:rsidP="00000000" w:rsidRDefault="00000000" w:rsidRPr="00000000" w14:paraId="000001E3">
            <w:pPr>
              <w:numPr>
                <w:ilvl w:val="2"/>
                <w:numId w:val="1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Reimbursable Expenses, if allowed under the Order Form; </w:t>
            </w:r>
          </w:p>
          <w:p w:rsidR="00000000" w:rsidDel="00000000" w:rsidP="00000000" w:rsidRDefault="00000000" w:rsidRPr="00000000" w14:paraId="000001E4">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Overheads; </w:t>
            </w:r>
          </w:p>
          <w:p w:rsidR="00000000" w:rsidDel="00000000" w:rsidP="00000000" w:rsidRDefault="00000000" w:rsidRPr="00000000" w14:paraId="000001E5">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all interest, expenses and any other third party financing costs incurred in relation to the provision of the Deliverables;</w:t>
            </w:r>
          </w:p>
          <w:p w:rsidR="00000000" w:rsidDel="00000000" w:rsidP="00000000" w:rsidRDefault="00000000" w:rsidRPr="00000000" w14:paraId="000001E6">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Supplier Profit achieved over the Framework Contract Period and on an annual basis;</w:t>
            </w:r>
          </w:p>
          <w:p w:rsidR="00000000" w:rsidDel="00000000" w:rsidP="00000000" w:rsidRDefault="00000000" w:rsidRPr="00000000" w14:paraId="000001E7">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confirmation that all methods of Cost apportionment and Overhead allocation are consistent with and not more onerous than such methods applied generally by the Supplier;</w:t>
            </w:r>
          </w:p>
          <w:p w:rsidR="00000000" w:rsidDel="00000000" w:rsidP="00000000" w:rsidRDefault="00000000" w:rsidRPr="00000000" w14:paraId="000001E8">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an explanation of the type and value of risk and contingencies associated with the provision of the Deliverables, including the amount of money attributed to each risk and/or contingency; and</w:t>
            </w:r>
          </w:p>
          <w:p w:rsidR="00000000" w:rsidDel="00000000" w:rsidP="00000000" w:rsidRDefault="00000000" w:rsidRPr="00000000" w14:paraId="000001E9">
            <w:pPr>
              <w:numPr>
                <w:ilvl w:val="1"/>
                <w:numId w:val="13"/>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actual Costs profile for each Service Period;</w:t>
            </w:r>
          </w:p>
        </w:tc>
      </w:tr>
      <w:tr>
        <w:trPr>
          <w:cantSplit w:val="0"/>
          <w:tblHeader w:val="0"/>
        </w:trPr>
        <w:tc>
          <w:tcPr/>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“Open Licence”</w:t>
            </w:r>
          </w:p>
        </w:tc>
        <w:tc>
          <w:tcPr/>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material that is published for use, with rights to access, copy, modify and publish, by any person for free, under a generally recognised open licence including Open Government Licence as set out at </w:t>
            </w:r>
            <w:hyperlink r:id="rId7">
              <w:r w:rsidDel="00000000" w:rsidR="00000000" w:rsidRPr="00000000">
                <w:rPr>
                  <w:color w:val="0000ff"/>
                  <w:sz w:val="24"/>
                  <w:szCs w:val="24"/>
                  <w:u w:val="single"/>
                  <w:rtl w:val="0"/>
                </w:rPr>
                <w:t xml:space="preserve">http://www.nationalarchives.gov.uk/doc/open-government-licence/version/3/</w:t>
              </w:r>
            </w:hyperlink>
            <w:r w:rsidDel="00000000" w:rsidR="00000000" w:rsidRPr="00000000">
              <w:rPr>
                <w:sz w:val="24"/>
                <w:szCs w:val="24"/>
                <w:rtl w:val="0"/>
              </w:rPr>
              <w:t xml:space="preserve"> and the Open Standards Principles documented at </w:t>
            </w:r>
            <w:hyperlink r:id="rId8">
              <w:r w:rsidDel="00000000" w:rsidR="00000000" w:rsidRPr="00000000">
                <w:rPr>
                  <w:color w:val="0000ff"/>
                  <w:sz w:val="24"/>
                  <w:szCs w:val="24"/>
                  <w:u w:val="single"/>
                  <w:rtl w:val="0"/>
                </w:rPr>
                <w:t xml:space="preserve">https://www.gov.uk/government/publications/open-standards-principles/open-standards-principles</w:t>
              </w:r>
            </w:hyperlink>
            <w:r w:rsidDel="00000000" w:rsidR="00000000" w:rsidRPr="00000000">
              <w:rPr>
                <w:color w:val="0000ff"/>
                <w:sz w:val="24"/>
                <w:szCs w:val="24"/>
                <w:u w:val="single"/>
                <w:rtl w:val="0"/>
              </w:rPr>
              <w:t xml:space="preserve">, </w:t>
            </w:r>
            <w:r w:rsidDel="00000000" w:rsidR="00000000" w:rsidRPr="00000000">
              <w:rPr>
                <w:sz w:val="24"/>
                <w:szCs w:val="24"/>
                <w:rtl w:val="0"/>
              </w:rPr>
              <w:t xml:space="preserve"> and includes the Open Source publication of Software;</w:t>
            </w:r>
          </w:p>
        </w:tc>
      </w:tr>
      <w:tr>
        <w:trPr>
          <w:cantSplit w:val="0"/>
          <w:tblHeader w:val="0"/>
        </w:trPr>
        <w:tc>
          <w:tcPr/>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“Open Source”</w:t>
            </w:r>
          </w:p>
        </w:tc>
        <w:tc>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computer Software that is released on the internet for use by any person, such release usually being made under a recognised open source licence and stating that it is released as open source;</w:t>
            </w:r>
          </w:p>
        </w:tc>
      </w:tr>
      <w:tr>
        <w:trPr>
          <w:cantSplit w:val="0"/>
          <w:tblHeader w:val="0"/>
        </w:trPr>
        <w:tc>
          <w:tcPr/>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“Open Licence Publication Material”</w:t>
            </w:r>
          </w:p>
        </w:tc>
        <w:tc>
          <w:tcPr/>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items created pursuant to the Contract which the Buyer may wish to publish as Open Licence which are supplied in a format suitable for publication under Open Licence;</w:t>
            </w:r>
          </w:p>
        </w:tc>
      </w:tr>
      <w:tr>
        <w:trPr>
          <w:cantSplit w:val="0"/>
          <w:tblHeader w:val="0"/>
        </w:trPr>
        <w:tc>
          <w:tcPr/>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"Order"</w:t>
            </w:r>
          </w:p>
        </w:tc>
        <w:tc>
          <w:tcPr/>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 order for the provision of the Deliverables placed by a Buyer with the Supplier under a Contract;</w:t>
            </w:r>
          </w:p>
        </w:tc>
      </w:tr>
      <w:tr>
        <w:trPr>
          <w:cantSplit w:val="0"/>
          <w:tblHeader w:val="0"/>
        </w:trPr>
        <w:tc>
          <w:tcPr/>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"Order Form"</w:t>
            </w:r>
          </w:p>
        </w:tc>
        <w:tc>
          <w:tcPr/>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completed Order Form Template (or equivalent information issued by the Buyer) used to create a Call-Off Contract;</w:t>
            </w:r>
          </w:p>
        </w:tc>
      </w:tr>
      <w:tr>
        <w:trPr>
          <w:cantSplit w:val="0"/>
          <w:tblHeader w:val="0"/>
        </w:trPr>
        <w:tc>
          <w:tcPr/>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"Order Form Template"</w:t>
            </w:r>
          </w:p>
        </w:tc>
        <w:tc>
          <w:tcPr/>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template in Framework Schedule 6 </w:t>
            </w:r>
            <w:r w:rsidDel="00000000" w:rsidR="00000000" w:rsidRPr="00000000">
              <w:rPr>
                <w:i w:val="1"/>
                <w:iCs w:val="1"/>
                <w:sz w:val="24"/>
                <w:szCs w:val="24"/>
                <w:rtl w:val="0"/>
              </w:rPr>
              <w:t xml:space="preserve">(Order Form Template and Call-Off Schedules)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"Other Contracting Authority"</w:t>
            </w:r>
          </w:p>
        </w:tc>
        <w:tc>
          <w:tcPr/>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actual or potential Buyer under the Framework Contract;</w:t>
            </w:r>
          </w:p>
        </w:tc>
      </w:tr>
      <w:tr>
        <w:trPr>
          <w:cantSplit w:val="0"/>
          <w:tblHeader w:val="0"/>
        </w:trPr>
        <w:tc>
          <w:tcPr/>
          <w:p w:rsidR="00000000" w:rsidDel="00000000" w:rsidP="00000000" w:rsidRDefault="00000000" w:rsidRPr="00000000" w14:paraId="000001F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"Overhead"</w:t>
            </w:r>
          </w:p>
        </w:tc>
        <w:tc>
          <w:tcPr/>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those amounts which are intended to recover a proportion of the Supplier’s or the Key Subcontractor’s (as the context requires) indirect corporate costs (including financing, marketing, advertising, research and development and insurance costs and any fines or penalties) but excluding allowable indirect costs apportioned to facilities and administration in the provision of Supplier Staff and accordingly included within limb a) of the definition of "Costs";</w:t>
            </w:r>
          </w:p>
        </w:tc>
      </w:tr>
      <w:tr>
        <w:trPr>
          <w:cantSplit w:val="0"/>
          <w:tblHeader w:val="0"/>
        </w:trPr>
        <w:tc>
          <w:tcPr/>
          <w:p w:rsidR="00000000" w:rsidDel="00000000" w:rsidP="00000000" w:rsidRDefault="00000000" w:rsidRPr="00000000" w14:paraId="000001F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“Parent Undertaking”</w:t>
            </w:r>
          </w:p>
        </w:tc>
        <w:tc>
          <w:tcPr/>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set out in section 1162 of the Companies Act 2006;</w:t>
            </w:r>
          </w:p>
        </w:tc>
      </w:tr>
      <w:tr>
        <w:trPr>
          <w:cantSplit w:val="0"/>
          <w:tblHeader w:val="0"/>
        </w:trPr>
        <w:tc>
          <w:tcPr/>
          <w:p w:rsidR="00000000" w:rsidDel="00000000" w:rsidP="00000000" w:rsidRDefault="00000000" w:rsidRPr="00000000" w14:paraId="000001F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"Parliament"</w:t>
            </w:r>
          </w:p>
        </w:tc>
        <w:tc>
          <w:tcPr/>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takes its natural meaning as interpreted by Law;</w:t>
            </w:r>
          </w:p>
        </w:tc>
      </w:tr>
      <w:tr>
        <w:trPr>
          <w:cantSplit w:val="0"/>
          <w:tblHeader w:val="0"/>
        </w:trPr>
        <w:tc>
          <w:tcPr/>
          <w:p w:rsidR="00000000" w:rsidDel="00000000" w:rsidP="00000000" w:rsidRDefault="00000000" w:rsidRPr="00000000" w14:paraId="000001F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"Party"</w:t>
            </w:r>
          </w:p>
        </w:tc>
        <w:tc>
          <w:tcPr/>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the context of the Framework Contract, GCA or the Supplier, and in the in the context of a Call-Off Contract the Buyer or the Supplier. "</w:t>
            </w:r>
            <w:r w:rsidDel="00000000" w:rsidR="00000000" w:rsidRPr="00000000">
              <w:rPr>
                <w:b w:val="1"/>
                <w:bCs w:val="1"/>
                <w:sz w:val="24"/>
                <w:szCs w:val="24"/>
                <w:rtl w:val="0"/>
              </w:rPr>
              <w:t xml:space="preserve">Parties</w:t>
            </w:r>
            <w:r w:rsidDel="00000000" w:rsidR="00000000" w:rsidRPr="00000000">
              <w:rPr>
                <w:sz w:val="24"/>
                <w:szCs w:val="24"/>
                <w:rtl w:val="0"/>
              </w:rPr>
              <w:t xml:space="preserve">" shall mean both of them where the context permits;</w:t>
            </w:r>
          </w:p>
        </w:tc>
      </w:tr>
      <w:tr>
        <w:trPr>
          <w:cantSplit w:val="0"/>
          <w:tblHeader w:val="0"/>
        </w:trPr>
        <w:tc>
          <w:tcPr/>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"Personal Data"</w:t>
            </w:r>
          </w:p>
        </w:tc>
        <w:tc>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the EU GDPR as the context requires;</w:t>
            </w:r>
          </w:p>
        </w:tc>
      </w:tr>
      <w:tr>
        <w:trPr>
          <w:cantSplit w:val="0"/>
          <w:tblHeader w:val="0"/>
        </w:trPr>
        <w:tc>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“Personal Data Breach”</w:t>
            </w:r>
          </w:p>
        </w:tc>
        <w:tc>
          <w:tcPr/>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the EU GDPR as the context requires;</w:t>
            </w:r>
          </w:p>
        </w:tc>
      </w:tr>
      <w:tr>
        <w:trPr>
          <w:cantSplit w:val="0"/>
          <w:tblHeader w:val="0"/>
        </w:trPr>
        <w:tc>
          <w:tcPr/>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“PPN”</w:t>
            </w:r>
          </w:p>
        </w:tc>
        <w:tc>
          <w:tcPr/>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Procurement Policy Note issued by the Cabinet Office together with supporting guidance used to communicate new policies to be applied to public procurement activities and to support practical implementation;</w:t>
            </w:r>
          </w:p>
        </w:tc>
      </w:tr>
      <w:tr>
        <w:trPr>
          <w:cantSplit w:val="0"/>
          <w:tblHeader w:val="0"/>
        </w:trPr>
        <w:tc>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"Prescribed Person"</w:t>
            </w:r>
          </w:p>
        </w:tc>
        <w:tc>
          <w:tcPr/>
          <w:p w:rsidR="00000000" w:rsidDel="00000000" w:rsidP="00000000" w:rsidRDefault="00000000" w:rsidRPr="00000000" w14:paraId="0000020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legal adviser, an MP or an appropriate body which a whistle-blower may make a disclosure to as detailed in ‘Whistleblowing: list of prescribed people and bodies’, 24 November 2016, available online at: </w:t>
            </w:r>
            <w:hyperlink r:id="rId9">
              <w:r w:rsidDel="00000000" w:rsidR="00000000" w:rsidRPr="00000000">
                <w:rPr>
                  <w:color w:val="0000ff"/>
                  <w:sz w:val="24"/>
                  <w:szCs w:val="24"/>
                  <w:u w:val="single"/>
                  <w:rtl w:val="0"/>
                </w:rPr>
                <w:t xml:space="preserve">https://www.gov.uk/government/publications/blowing-the-whistle-list-of-prescribed-people-and-bodies--2/whistleblowing-list-of-prescribed-people-and-bodies</w:t>
              </w:r>
            </w:hyperlink>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0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“Processing”</w:t>
            </w:r>
          </w:p>
        </w:tc>
        <w:tc>
          <w:tcPr/>
          <w:p w:rsidR="00000000" w:rsidDel="00000000" w:rsidP="00000000" w:rsidRDefault="00000000" w:rsidRPr="00000000" w14:paraId="0000020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the EU GDPR as the context requires, and </w:t>
            </w:r>
            <w:r w:rsidDel="00000000" w:rsidR="00000000" w:rsidRPr="00000000">
              <w:rPr>
                <w:b w:val="1"/>
                <w:bCs w:val="1"/>
                <w:sz w:val="24"/>
                <w:szCs w:val="24"/>
                <w:rtl w:val="0"/>
              </w:rPr>
              <w:t xml:space="preserve">"Process"</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“Processor”</w:t>
            </w:r>
          </w:p>
        </w:tc>
        <w:tc>
          <w:tcPr/>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UK GDPR or the EU GDPR as the context requires;</w:t>
            </w:r>
          </w:p>
        </w:tc>
      </w:tr>
      <w:tr>
        <w:trPr>
          <w:cantSplit w:val="0"/>
          <w:tblHeader w:val="0"/>
        </w:trPr>
        <w:tc>
          <w:tcPr/>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"Progress Meeting"</w:t>
            </w:r>
          </w:p>
        </w:tc>
        <w:tc>
          <w:tcPr/>
          <w:p w:rsidR="00000000" w:rsidDel="00000000" w:rsidP="00000000" w:rsidRDefault="00000000" w:rsidRPr="00000000" w14:paraId="0000020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meeting between the Buyer Authorised Representative and the Supplier Authorised Representative; </w:t>
            </w:r>
          </w:p>
        </w:tc>
      </w:tr>
      <w:tr>
        <w:trPr>
          <w:cantSplit w:val="0"/>
          <w:tblHeader w:val="0"/>
        </w:trPr>
        <w:tc>
          <w:tcPr/>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"Progress Meeting Frequency"</w:t>
            </w:r>
          </w:p>
        </w:tc>
        <w:tc>
          <w:tcPr/>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frequency at which the Supplier shall conduct a Progress Meeting in accordance with Clause 6.1 of the General Terms as specified in the Order Form;</w:t>
            </w:r>
          </w:p>
        </w:tc>
      </w:tr>
      <w:tr>
        <w:trPr>
          <w:cantSplit w:val="0"/>
          <w:tblHeader w:val="0"/>
        </w:trPr>
        <w:tc>
          <w:tcPr/>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“Progress Report”</w:t>
            </w:r>
          </w:p>
        </w:tc>
        <w:tc>
          <w:tcPr/>
          <w:p w:rsidR="00000000" w:rsidDel="00000000" w:rsidP="00000000" w:rsidRDefault="00000000" w:rsidRPr="00000000" w14:paraId="0000021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report provided by the Supplier indicating the steps taken to achieve Milestones or delivery dates;</w:t>
            </w:r>
          </w:p>
        </w:tc>
      </w:tr>
      <w:tr>
        <w:trPr>
          <w:cantSplit w:val="0"/>
          <w:tblHeader w:val="0"/>
        </w:trPr>
        <w:tc>
          <w:tcPr/>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“Progress Report Frequency”</w:t>
            </w:r>
          </w:p>
        </w:tc>
        <w:tc>
          <w:tcPr/>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frequency at which the Supplier shall deliver Progress Reports in accordance with Clause 6.1 of the General Terms as specified in the Order Form;</w:t>
            </w:r>
          </w:p>
        </w:tc>
      </w:tr>
      <w:tr>
        <w:trPr>
          <w:cantSplit w:val="0"/>
          <w:tblHeader w:val="0"/>
        </w:trPr>
        <w:tc>
          <w:tcPr/>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“Protective Measures”</w:t>
            </w:r>
          </w:p>
        </w:tc>
        <w:tc>
          <w:tcPr/>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technical and organisational measures designed to ensure compliance with obligations of the Parties arising under Data Protection Legislation including pseudonymising and encrypting Personal Data, ensuring confidentiality, integrity, availability and resilience of systems and services, ensuring that availability of and access to Personal Data can be restored in a timely manner after an incident, and regularly assessing and evaluating the effectiveness of the such measures adopted by it including those outlined in Framework Schedule 9 </w:t>
            </w:r>
            <w:r w:rsidDel="00000000" w:rsidR="00000000" w:rsidRPr="00000000">
              <w:rPr>
                <w:i w:val="1"/>
                <w:iCs w:val="1"/>
                <w:sz w:val="24"/>
                <w:szCs w:val="24"/>
                <w:rtl w:val="0"/>
              </w:rPr>
              <w:t xml:space="preserve">(Cyber Essentials Scheme)</w:t>
            </w:r>
            <w:r w:rsidDel="00000000" w:rsidR="00000000" w:rsidRPr="00000000">
              <w:rPr>
                <w:sz w:val="24"/>
                <w:szCs w:val="24"/>
                <w:rtl w:val="0"/>
              </w:rPr>
              <w:t xml:space="preserve">, if applicable, in the case of the Framework Contract or a Security Schedule, if applicable, in the case of a Call-Off Contract;</w:t>
            </w:r>
          </w:p>
        </w:tc>
      </w:tr>
      <w:tr>
        <w:trPr>
          <w:cantSplit w:val="0"/>
          <w:tblHeader w:val="0"/>
        </w:trPr>
        <w:tc>
          <w:tcPr/>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“Public Sector Body”</w:t>
            </w:r>
          </w:p>
        </w:tc>
        <w:tc>
          <w:tcPr/>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formally established organisation that is (at least in part) publicly funded to deliver a public or government service;</w:t>
            </w:r>
          </w:p>
        </w:tc>
      </w:tr>
      <w:tr>
        <w:trPr>
          <w:cantSplit w:val="0"/>
          <w:tblHeader w:val="0"/>
        </w:trPr>
        <w:tc>
          <w:tcPr/>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“Recall”</w:t>
            </w:r>
          </w:p>
        </w:tc>
        <w:tc>
          <w:tcPr/>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request by the Supplier to return Goods to the Supplier or the manufacturer after the discovery of safety issues or defects (including defects in the IPR rights) that might endanger health or hinder performance;</w:t>
            </w:r>
          </w:p>
        </w:tc>
      </w:tr>
      <w:tr>
        <w:trPr>
          <w:cantSplit w:val="0"/>
          <w:tblHeader w:val="0"/>
        </w:trPr>
        <w:tc>
          <w:tcPr/>
          <w:p w:rsidR="00000000" w:rsidDel="00000000" w:rsidP="00000000" w:rsidRDefault="00000000" w:rsidRPr="00000000" w14:paraId="0000021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"Recipient Party"</w:t>
            </w:r>
          </w:p>
        </w:tc>
        <w:tc>
          <w:tcPr/>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Party which receives or obtains directly or indirectly Confidential Information;</w:t>
            </w:r>
          </w:p>
        </w:tc>
      </w:tr>
      <w:tr>
        <w:trPr>
          <w:cantSplit w:val="0"/>
          <w:tblHeader w:val="0"/>
        </w:trPr>
        <w:tc>
          <w:tcPr/>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"Rectification Plan"</w:t>
            </w:r>
          </w:p>
        </w:tc>
        <w:tc>
          <w:tcPr/>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Supplier’s plan (or revised plan) to rectify its breach using the template in Joint Schedule 9 </w:t>
            </w:r>
            <w:r w:rsidDel="00000000" w:rsidR="00000000" w:rsidRPr="00000000">
              <w:rPr>
                <w:i w:val="1"/>
                <w:iCs w:val="1"/>
                <w:sz w:val="24"/>
                <w:szCs w:val="24"/>
                <w:rtl w:val="0"/>
              </w:rPr>
              <w:t xml:space="preserve">(Rectification Plan)</w:t>
            </w:r>
            <w:r w:rsidDel="00000000" w:rsidR="00000000" w:rsidRPr="00000000">
              <w:rPr>
                <w:sz w:val="24"/>
                <w:szCs w:val="24"/>
                <w:rtl w:val="0"/>
              </w:rPr>
              <w:t xml:space="preserve"> which shall include:</w:t>
            </w:r>
          </w:p>
          <w:p w:rsidR="00000000" w:rsidDel="00000000" w:rsidP="00000000" w:rsidRDefault="00000000" w:rsidRPr="00000000" w14:paraId="0000021E">
            <w:pPr>
              <w:numPr>
                <w:ilvl w:val="1"/>
                <w:numId w:val="14"/>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full details of the Notifiable Default that has occurred, including a root cause analysis; </w:t>
            </w:r>
          </w:p>
          <w:p w:rsidR="00000000" w:rsidDel="00000000" w:rsidP="00000000" w:rsidRDefault="00000000" w:rsidRPr="00000000" w14:paraId="0000021F">
            <w:pPr>
              <w:numPr>
                <w:ilvl w:val="1"/>
                <w:numId w:val="14"/>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actual or anticipated effect of the Notifiable Default; and</w:t>
            </w:r>
          </w:p>
          <w:p w:rsidR="00000000" w:rsidDel="00000000" w:rsidP="00000000" w:rsidRDefault="00000000" w:rsidRPr="00000000" w14:paraId="00000220">
            <w:pPr>
              <w:numPr>
                <w:ilvl w:val="1"/>
                <w:numId w:val="14"/>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the steps which the Supplier proposes to take to rectify the Notifiable Default (if applicable) and to prevent such Notifiable Default from recurring, including timescales for such steps and for the rectification of the Notifiable Default (where applicable);</w:t>
            </w:r>
          </w:p>
        </w:tc>
      </w:tr>
      <w:tr>
        <w:trPr>
          <w:cantSplit w:val="0"/>
          <w:tblHeader w:val="0"/>
        </w:trPr>
        <w:tc>
          <w:tcPr/>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"Rectification Plan Process"</w:t>
            </w:r>
          </w:p>
        </w:tc>
        <w:tc>
          <w:tcPr/>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process set out in Clause 11 </w:t>
            </w:r>
            <w:r w:rsidDel="00000000" w:rsidR="00000000" w:rsidRPr="00000000">
              <w:rPr>
                <w:i w:val="1"/>
                <w:iCs w:val="1"/>
                <w:sz w:val="24"/>
                <w:szCs w:val="24"/>
                <w:rtl w:val="0"/>
              </w:rPr>
              <w:t xml:space="preserve">(Rectifying issues) </w:t>
            </w:r>
            <w:r w:rsidDel="00000000" w:rsidR="00000000" w:rsidRPr="00000000">
              <w:rPr>
                <w:sz w:val="24"/>
                <w:szCs w:val="24"/>
                <w:rtl w:val="0"/>
              </w:rPr>
              <w:t xml:space="preserve">of the General Terms; </w:t>
            </w:r>
          </w:p>
        </w:tc>
      </w:tr>
      <w:tr>
        <w:trPr>
          <w:cantSplit w:val="0"/>
          <w:tblHeader w:val="0"/>
        </w:trPr>
        <w:tc>
          <w:tcPr/>
          <w:p w:rsidR="00000000" w:rsidDel="00000000" w:rsidP="00000000" w:rsidRDefault="00000000" w:rsidRPr="00000000" w14:paraId="0000022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"Reimbursable Expenses"</w:t>
            </w:r>
          </w:p>
        </w:tc>
        <w:tc>
          <w:tcPr/>
          <w:p w:rsidR="00000000" w:rsidDel="00000000" w:rsidP="00000000" w:rsidRDefault="00000000" w:rsidRPr="00000000" w14:paraId="0000022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reasonable out of pocket travel and subsistence (for example, hotel and food) expenses, properly and necessarily incurred in the performance of the Services, calculated at the rates and in accordance with the Buyer's expenses policy current from time to time, but not including:</w:t>
            </w:r>
          </w:p>
          <w:p w:rsidR="00000000" w:rsidDel="00000000" w:rsidP="00000000" w:rsidRDefault="00000000" w:rsidRPr="00000000" w14:paraId="00000225">
            <w:pPr>
              <w:numPr>
                <w:ilvl w:val="1"/>
                <w:numId w:val="3"/>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travel expenses incurred as a result of Supplier Staff travelling to and from their usual place of work, or to and from the premises at which the Services are principally to be performed, unless the Buyer otherwise agrees in advance in writing; and</w:t>
            </w:r>
          </w:p>
          <w:p w:rsidR="00000000" w:rsidDel="00000000" w:rsidP="00000000" w:rsidRDefault="00000000" w:rsidRPr="00000000" w14:paraId="00000226">
            <w:pPr>
              <w:numPr>
                <w:ilvl w:val="1"/>
                <w:numId w:val="3"/>
              </w:numPr>
              <w:pBdr>
                <w:top w:space="0" w:sz="0" w:val="nil"/>
                <w:left w:space="0" w:sz="0" w:val="nil"/>
                <w:bottom w:space="0" w:sz="0" w:val="nil"/>
                <w:right w:space="0" w:sz="0" w:val="nil"/>
                <w:between w:space="0" w:sz="0" w:val="nil"/>
              </w:pBdr>
              <w:spacing w:after="120" w:before="120" w:line="276" w:lineRule="auto"/>
              <w:ind w:left="856" w:hanging="686"/>
              <w:rPr/>
            </w:pPr>
            <w:r w:rsidDel="00000000" w:rsidR="00000000" w:rsidRPr="00000000">
              <w:rPr>
                <w:color w:val="000000"/>
                <w:sz w:val="24"/>
                <w:szCs w:val="24"/>
                <w:rtl w:val="0"/>
              </w:rPr>
              <w:t xml:space="preserve">subsistence expenses incurred by Supplier Staff whilst performing the Services at their usual place of work, or to and from the premises at which the Services are principally to be performed;</w:t>
            </w:r>
          </w:p>
        </w:tc>
      </w:tr>
      <w:tr>
        <w:trPr>
          <w:cantSplit w:val="0"/>
          <w:tblHeader w:val="0"/>
        </w:trPr>
        <w:tc>
          <w:tcPr/>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"Relevant Authority"</w:t>
            </w:r>
          </w:p>
        </w:tc>
        <w:tc>
          <w:tcPr/>
          <w:p w:rsidR="00000000" w:rsidDel="00000000" w:rsidP="00000000" w:rsidRDefault="00000000" w:rsidRPr="00000000" w14:paraId="0000022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Authority which is party to the Contract to which a right or obligation is owed, as the context requires; </w:t>
            </w:r>
          </w:p>
        </w:tc>
      </w:tr>
      <w:tr>
        <w:trPr>
          <w:cantSplit w:val="0"/>
          <w:tblHeader w:val="0"/>
        </w:trPr>
        <w:tc>
          <w:tcPr/>
          <w:p w:rsidR="00000000" w:rsidDel="00000000" w:rsidP="00000000" w:rsidRDefault="00000000" w:rsidRPr="00000000" w14:paraId="0000022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"Relevant Authority's Confidential Information"</w:t>
            </w:r>
          </w:p>
        </w:tc>
        <w:tc>
          <w:tcPr/>
          <w:p w:rsidR="00000000" w:rsidDel="00000000" w:rsidP="00000000" w:rsidRDefault="00000000" w:rsidRPr="00000000" w14:paraId="0000022A">
            <w:pPr>
              <w:numPr>
                <w:ilvl w:val="1"/>
                <w:numId w:val="5"/>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all Personal Data and any information, however it is conveyed, that relates to the business, affairs, developments, property rights, trade secrets, Know-How and IPR of the Relevant Authority (including all Relevant Authority Existing IPR and New IPR); </w:t>
            </w:r>
          </w:p>
          <w:p w:rsidR="00000000" w:rsidDel="00000000" w:rsidP="00000000" w:rsidRDefault="00000000" w:rsidRPr="00000000" w14:paraId="0000022B">
            <w:pPr>
              <w:numPr>
                <w:ilvl w:val="1"/>
                <w:numId w:val="5"/>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any other information clearly designated as being confidential (whether or not it is marked "confidential") or which ought reasonably be considered confidential which comes (or has come) to the Relevant Authority’s attention or into the Relevant Authority’s possession in connection with a Contract; and</w:t>
            </w:r>
          </w:p>
          <w:p w:rsidR="00000000" w:rsidDel="00000000" w:rsidP="00000000" w:rsidRDefault="00000000" w:rsidRPr="00000000" w14:paraId="0000022C">
            <w:pPr>
              <w:numPr>
                <w:ilvl w:val="1"/>
                <w:numId w:val="5"/>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information derived from any of the above;</w:t>
            </w:r>
          </w:p>
        </w:tc>
      </w:tr>
      <w:tr>
        <w:trPr>
          <w:cantSplit w:val="0"/>
          <w:tblHeader w:val="0"/>
        </w:trPr>
        <w:tc>
          <w:tcPr/>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rtl w:val="0"/>
              </w:rPr>
            </w:r>
          </w:p>
        </w:tc>
        <w:tc>
          <w:tcPr/>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"Reminder Notice"</w:t>
            </w:r>
          </w:p>
        </w:tc>
        <w:tc>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notice sent in accordance with Clause 13.5 of the General Terms given by the Supplier to the Buyer providing notification that payment has not been received on time; </w:t>
            </w:r>
          </w:p>
        </w:tc>
      </w:tr>
      <w:tr>
        <w:trPr>
          <w:cantSplit w:val="0"/>
          <w:tblHeader w:val="0"/>
        </w:trPr>
        <w:tc>
          <w:tcPr/>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"Replacement Deliverables"</w:t>
            </w:r>
          </w:p>
        </w:tc>
        <w:tc>
          <w:tcPr/>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deliverables which are substantially similar to any of the Deliverables and which the Buyer receives in substitution for any of the Deliverables following the Call-Off Expiry Date, whether those goods are provided by the Buyer internally and/or by any third party;</w:t>
            </w:r>
          </w:p>
        </w:tc>
      </w:tr>
      <w:tr>
        <w:trPr>
          <w:cantSplit w:val="0"/>
          <w:tblHeader w:val="0"/>
        </w:trPr>
        <w:tc>
          <w:tcPr/>
          <w:p w:rsidR="00000000" w:rsidDel="00000000" w:rsidP="00000000" w:rsidRDefault="00000000" w:rsidRPr="00000000" w14:paraId="0000023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"Replacement Supplier"</w:t>
            </w:r>
          </w:p>
        </w:tc>
        <w:tc>
          <w:tcPr/>
          <w:p w:rsidR="00000000" w:rsidDel="00000000" w:rsidP="00000000" w:rsidRDefault="00000000" w:rsidRPr="00000000" w14:paraId="0000023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third party provider of Replacement Deliverables appointed by or at the direction of the Buyer from time to time or where the Buyer is providing Replacement Deliverables for its own account, shall also include the Buyer;</w:t>
            </w:r>
          </w:p>
        </w:tc>
      </w:tr>
      <w:tr>
        <w:trPr>
          <w:cantSplit w:val="0"/>
          <w:tblHeader w:val="0"/>
        </w:trPr>
        <w:tc>
          <w:tcPr/>
          <w:p w:rsidR="00000000" w:rsidDel="00000000" w:rsidP="00000000" w:rsidRDefault="00000000" w:rsidRPr="00000000" w14:paraId="0000023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"Request For Information"</w:t>
            </w:r>
          </w:p>
        </w:tc>
        <w:tc>
          <w:tcPr/>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request for information or an apparent request relating to a Contract for the provision of the Deliverables or an apparent request for such information under the FOIA or the EIRs;</w:t>
            </w:r>
          </w:p>
        </w:tc>
      </w:tr>
      <w:tr>
        <w:trPr>
          <w:cantSplit w:val="0"/>
          <w:tblHeader w:val="0"/>
        </w:trPr>
        <w:tc>
          <w:tcPr/>
          <w:p w:rsidR="00000000" w:rsidDel="00000000" w:rsidP="00000000" w:rsidRDefault="00000000" w:rsidRPr="00000000" w14:paraId="0000023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"Required Insurances"</w:t>
            </w:r>
          </w:p>
        </w:tc>
        <w:tc>
          <w:tcPr/>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insurances required by Joint Schedule 3 </w:t>
            </w:r>
            <w:r w:rsidDel="00000000" w:rsidR="00000000" w:rsidRPr="00000000">
              <w:rPr>
                <w:i w:val="1"/>
                <w:iCs w:val="1"/>
                <w:sz w:val="24"/>
                <w:szCs w:val="24"/>
                <w:rtl w:val="0"/>
              </w:rPr>
              <w:t xml:space="preserve">(Insurance Requirements)</w:t>
            </w:r>
            <w:r w:rsidDel="00000000" w:rsidR="00000000" w:rsidRPr="00000000">
              <w:rPr>
                <w:sz w:val="24"/>
                <w:szCs w:val="24"/>
                <w:rtl w:val="0"/>
              </w:rPr>
              <w:t xml:space="preserve"> or any additional insurances specified in the Order Form; </w:t>
            </w:r>
          </w:p>
        </w:tc>
      </w:tr>
      <w:tr>
        <w:trPr>
          <w:cantSplit w:val="0"/>
          <w:tblHeader w:val="0"/>
        </w:trPr>
        <w:tc>
          <w:tcPr/>
          <w:p w:rsidR="00000000" w:rsidDel="00000000" w:rsidP="00000000" w:rsidRDefault="00000000" w:rsidRPr="00000000" w14:paraId="0000023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"Satisfaction Certificate"</w:t>
            </w:r>
          </w:p>
        </w:tc>
        <w:tc>
          <w:tcPr/>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certificate (materially in the form of the document contained in Annex 2 of Part B of Call-Off Schedule 13 </w:t>
            </w:r>
            <w:r w:rsidDel="00000000" w:rsidR="00000000" w:rsidRPr="00000000">
              <w:rPr>
                <w:i w:val="1"/>
                <w:iCs w:val="1"/>
                <w:sz w:val="24"/>
                <w:szCs w:val="24"/>
                <w:rtl w:val="0"/>
              </w:rPr>
              <w:t xml:space="preserve">(Implementation Plan and Testing)</w:t>
            </w:r>
            <w:r w:rsidDel="00000000" w:rsidR="00000000" w:rsidRPr="00000000">
              <w:rPr>
                <w:sz w:val="24"/>
                <w:szCs w:val="24"/>
                <w:rtl w:val="0"/>
              </w:rPr>
              <w:t xml:space="preserve"> or as agreed by the Parties where Call-Off Schedule 13 is not used in the Contract) granted by the Buyer when the Supplier has met all of the requirements of an Order, Achieved a Milestone or a Test;</w:t>
            </w:r>
          </w:p>
        </w:tc>
      </w:tr>
      <w:tr>
        <w:trPr>
          <w:cantSplit w:val="0"/>
          <w:tblHeader w:val="0"/>
        </w:trPr>
        <w:tc>
          <w:tcPr/>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“Schedules”</w:t>
            </w:r>
          </w:p>
        </w:tc>
        <w:tc>
          <w:tcPr/>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attachment to the Contract which contains important information specific to each aspect of buying and selling;</w:t>
            </w:r>
          </w:p>
        </w:tc>
      </w:tr>
      <w:tr>
        <w:trPr>
          <w:cantSplit w:val="0"/>
          <w:tblHeader w:val="0"/>
        </w:trPr>
        <w:tc>
          <w:tcPr/>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"Security Management Plan"</w:t>
            </w:r>
          </w:p>
        </w:tc>
        <w:tc>
          <w:tcPr/>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Supplier's security management plan prepared pursuant to a Security Schedule (if applicable); </w:t>
            </w:r>
          </w:p>
        </w:tc>
      </w:tr>
      <w:tr>
        <w:trPr>
          <w:cantSplit w:val="0"/>
          <w:tblHeader w:val="0"/>
        </w:trPr>
        <w:tc>
          <w:tcPr/>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"Security Requirements"</w:t>
            </w:r>
          </w:p>
        </w:tc>
        <w:tc>
          <w:tcPr/>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security requirements set out in the Order Form and/or (if applicable) in the ICT Policy, which requirements shall, in the case where the Order Form specifies that a Security Schedule applies to the Call-Off Contract, include the requirements set out in the relevant Security Schedule specified in the Order Form; </w:t>
            </w:r>
          </w:p>
        </w:tc>
      </w:tr>
      <w:tr>
        <w:trPr>
          <w:cantSplit w:val="0"/>
          <w:tblHeader w:val="0"/>
        </w:trPr>
        <w:tc>
          <w:tcPr/>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"Security Schedule"</w:t>
            </w:r>
          </w:p>
        </w:tc>
        <w:tc>
          <w:tcPr/>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Call-Off Schedule 9A </w:t>
            </w:r>
            <w:r w:rsidDel="00000000" w:rsidR="00000000" w:rsidRPr="00000000">
              <w:rPr>
                <w:i w:val="1"/>
                <w:iCs w:val="1"/>
                <w:sz w:val="24"/>
                <w:szCs w:val="24"/>
                <w:rtl w:val="0"/>
              </w:rPr>
              <w:t xml:space="preserve">(Security: Short Form)</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"Self Audit Certificate"</w:t>
            </w:r>
          </w:p>
        </w:tc>
        <w:tc>
          <w:tcPr/>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certificate in the form as set out in Framework Schedule 8 </w:t>
            </w:r>
            <w:r w:rsidDel="00000000" w:rsidR="00000000" w:rsidRPr="00000000">
              <w:rPr>
                <w:i w:val="1"/>
                <w:iCs w:val="1"/>
                <w:sz w:val="24"/>
                <w:szCs w:val="24"/>
                <w:rtl w:val="0"/>
              </w:rPr>
              <w:t xml:space="preserve">(Self Audit Certificate)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"Serious Fraud Office"</w:t>
            </w:r>
          </w:p>
        </w:tc>
        <w:tc>
          <w:tcPr/>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UK Government body named as such as may be renamed or replaced by an equivalent body from time to time;</w:t>
            </w:r>
          </w:p>
        </w:tc>
      </w:tr>
      <w:tr>
        <w:trPr>
          <w:cantSplit w:val="0"/>
          <w:tblHeader w:val="0"/>
        </w:trPr>
        <w:tc>
          <w:tcPr/>
          <w:p w:rsidR="00000000" w:rsidDel="00000000" w:rsidP="00000000" w:rsidRDefault="00000000" w:rsidRPr="00000000" w14:paraId="0000024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“Service Credits”</w:t>
            </w:r>
          </w:p>
        </w:tc>
        <w:tc>
          <w:tcPr/>
          <w:p w:rsidR="00000000" w:rsidDel="00000000" w:rsidP="00000000" w:rsidRDefault="00000000" w:rsidRPr="00000000" w14:paraId="0000024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service credits specified in the Annex to Part A of Call-Off Schedule 14 </w:t>
            </w:r>
            <w:r w:rsidDel="00000000" w:rsidR="00000000" w:rsidRPr="00000000">
              <w:rPr>
                <w:i w:val="1"/>
                <w:iCs w:val="1"/>
                <w:sz w:val="24"/>
                <w:szCs w:val="24"/>
                <w:rtl w:val="0"/>
              </w:rPr>
              <w:t xml:space="preserve">(Performance Levels)</w:t>
            </w:r>
            <w:r w:rsidDel="00000000" w:rsidR="00000000" w:rsidRPr="00000000">
              <w:rPr>
                <w:sz w:val="24"/>
                <w:szCs w:val="24"/>
                <w:rtl w:val="0"/>
              </w:rPr>
              <w:t xml:space="preserve"> being payable by the Supplier to the Buyer in respect of any failure by the Supplier to meet one or more Key Performance Indicators;</w:t>
            </w:r>
          </w:p>
        </w:tc>
      </w:tr>
      <w:tr>
        <w:trPr>
          <w:cantSplit w:val="0"/>
          <w:tblHeader w:val="0"/>
        </w:trPr>
        <w:tc>
          <w:tcPr/>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"Service Period"</w:t>
            </w:r>
          </w:p>
        </w:tc>
        <w:tc>
          <w:tcPr/>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the Order Form;</w:t>
            </w:r>
          </w:p>
        </w:tc>
      </w:tr>
      <w:tr>
        <w:trPr>
          <w:cantSplit w:val="0"/>
          <w:tblHeader w:val="0"/>
        </w:trPr>
        <w:tc>
          <w:tcPr/>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“Service Transfer Date”</w:t>
            </w:r>
          </w:p>
        </w:tc>
        <w:tc>
          <w:tcPr/>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date of a Service Transfer or, if more than one, the date of the relevant Service Transfer as the context requires;</w:t>
            </w:r>
          </w:p>
        </w:tc>
      </w:tr>
      <w:tr>
        <w:trPr>
          <w:cantSplit w:val="0"/>
          <w:tblHeader w:val="0"/>
        </w:trPr>
        <w:tc>
          <w:tcPr/>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"Services"</w:t>
            </w:r>
          </w:p>
        </w:tc>
        <w:tc>
          <w:tcPr/>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services made available by the Supplier as specified in Framework Schedule 1 </w:t>
            </w:r>
            <w:r w:rsidDel="00000000" w:rsidR="00000000" w:rsidRPr="00000000">
              <w:rPr>
                <w:i w:val="1"/>
                <w:iCs w:val="1"/>
                <w:sz w:val="24"/>
                <w:szCs w:val="24"/>
                <w:rtl w:val="0"/>
              </w:rPr>
              <w:t xml:space="preserve">(Specification)</w:t>
            </w:r>
            <w:r w:rsidDel="00000000" w:rsidR="00000000" w:rsidRPr="00000000">
              <w:rPr>
                <w:sz w:val="24"/>
                <w:szCs w:val="24"/>
                <w:rtl w:val="0"/>
              </w:rPr>
              <w:t xml:space="preserve"> and in relation to a Call-Off Contract as specified in the Order Form;</w:t>
            </w:r>
          </w:p>
        </w:tc>
      </w:tr>
      <w:tr>
        <w:trPr>
          <w:cantSplit w:val="0"/>
          <w:tblHeader w:val="0"/>
        </w:trPr>
        <w:tc>
          <w:tcPr/>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b w:val="1"/>
                <w:bCs w:val="1"/>
                <w:color w:val="000000"/>
                <w:sz w:val="24"/>
                <w:szCs w:val="24"/>
                <w:rtl w:val="0"/>
              </w:rPr>
              <w:t xml:space="preserve">“Service Offer”</w:t>
            </w:r>
            <w:r w:rsidDel="00000000" w:rsidR="00000000" w:rsidRPr="00000000">
              <w:rPr>
                <w:rtl w:val="0"/>
              </w:rPr>
            </w:r>
          </w:p>
        </w:tc>
        <w:tc>
          <w:tcPr/>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120" w:before="120" w:lineRule="auto"/>
              <w:ind w:left="170" w:firstLine="0"/>
              <w:rPr/>
            </w:pPr>
            <w:r w:rsidDel="00000000" w:rsidR="00000000" w:rsidRPr="00000000">
              <w:rPr>
                <w:color w:val="000000"/>
                <w:sz w:val="24"/>
                <w:szCs w:val="24"/>
                <w:rtl w:val="0"/>
              </w:rPr>
              <w:t xml:space="preserve">a Deliverable made available to Buyers by the Supplier via the Catalogue;</w:t>
            </w:r>
            <w:r w:rsidDel="00000000" w:rsidR="00000000" w:rsidRPr="00000000">
              <w:rPr>
                <w:rtl w:val="0"/>
              </w:rPr>
            </w:r>
          </w:p>
        </w:tc>
      </w:tr>
      <w:tr>
        <w:trPr>
          <w:cantSplit w:val="0"/>
          <w:tblHeader w:val="0"/>
        </w:trPr>
        <w:tc>
          <w:tcPr/>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b w:val="1"/>
                <w:bCs w:val="1"/>
                <w:color w:val="000000"/>
                <w:sz w:val="24"/>
                <w:szCs w:val="24"/>
                <w:rtl w:val="0"/>
              </w:rPr>
              <w:t xml:space="preserve">“Service Offer Effective Date”</w:t>
            </w:r>
            <w:r w:rsidDel="00000000" w:rsidR="00000000" w:rsidRPr="00000000">
              <w:rPr>
                <w:rtl w:val="0"/>
              </w:rPr>
            </w:r>
          </w:p>
        </w:tc>
        <w:tc>
          <w:tcPr/>
          <w:p w:rsidR="00000000" w:rsidDel="00000000" w:rsidP="00000000" w:rsidRDefault="00000000" w:rsidRPr="00000000" w14:paraId="00000252">
            <w:pPr>
              <w:pBdr>
                <w:top w:space="0" w:sz="0" w:val="nil"/>
                <w:left w:space="0" w:sz="0" w:val="nil"/>
                <w:bottom w:space="0" w:sz="0" w:val="nil"/>
                <w:right w:space="0" w:sz="0" w:val="nil"/>
                <w:between w:space="0" w:sz="0" w:val="nil"/>
              </w:pBdr>
              <w:spacing w:after="120" w:before="120" w:lineRule="auto"/>
              <w:ind w:left="170" w:firstLine="0"/>
              <w:rPr/>
            </w:pPr>
            <w:r w:rsidDel="00000000" w:rsidR="00000000" w:rsidRPr="00000000">
              <w:rPr>
                <w:color w:val="000000"/>
                <w:sz w:val="24"/>
                <w:szCs w:val="24"/>
                <w:rtl w:val="0"/>
              </w:rPr>
              <w:t xml:space="preserve">the date when the Service Offer will be available to Buyers on the Catalogue;</w:t>
            </w:r>
            <w:r w:rsidDel="00000000" w:rsidR="00000000" w:rsidRPr="00000000">
              <w:rPr>
                <w:rtl w:val="0"/>
              </w:rPr>
            </w:r>
          </w:p>
        </w:tc>
      </w:tr>
      <w:tr>
        <w:trPr>
          <w:cantSplit w:val="0"/>
          <w:tblHeader w:val="0"/>
        </w:trPr>
        <w:tc>
          <w:tcPr/>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120" w:before="120" w:lineRule="auto"/>
              <w:rPr>
                <w:b w:val="1"/>
                <w:bCs w:val="1"/>
                <w:color w:val="000000"/>
              </w:rPr>
            </w:pPr>
            <w:r w:rsidDel="00000000" w:rsidR="00000000" w:rsidRPr="00000000">
              <w:rPr>
                <w:b w:val="1"/>
                <w:bCs w:val="1"/>
                <w:color w:val="000000"/>
                <w:sz w:val="24"/>
                <w:szCs w:val="24"/>
                <w:rtl w:val="0"/>
              </w:rPr>
              <w:t xml:space="preserve">“Service Offer Expiry Date”</w:t>
            </w:r>
            <w:r w:rsidDel="00000000" w:rsidR="00000000" w:rsidRPr="00000000">
              <w:rPr>
                <w:rtl w:val="0"/>
              </w:rPr>
            </w:r>
          </w:p>
        </w:tc>
        <w:tc>
          <w:tcPr/>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120" w:before="120" w:lineRule="auto"/>
              <w:ind w:left="170" w:firstLine="0"/>
              <w:rPr>
                <w:color w:val="000000"/>
              </w:rPr>
            </w:pPr>
            <w:r w:rsidDel="00000000" w:rsidR="00000000" w:rsidRPr="00000000">
              <w:rPr>
                <w:color w:val="000000"/>
                <w:sz w:val="24"/>
                <w:szCs w:val="24"/>
                <w:rtl w:val="0"/>
              </w:rPr>
              <w:t xml:space="preserve">the date the Service Offer will be/was removed from the Catalogue;</w:t>
            </w:r>
            <w:r w:rsidDel="00000000" w:rsidR="00000000" w:rsidRPr="00000000">
              <w:rPr>
                <w:rtl w:val="0"/>
              </w:rPr>
            </w:r>
          </w:p>
        </w:tc>
      </w:tr>
      <w:tr>
        <w:trPr>
          <w:cantSplit w:val="0"/>
          <w:tblHeader w:val="0"/>
        </w:trPr>
        <w:tc>
          <w:tcPr/>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120" w:before="120" w:lineRule="auto"/>
              <w:rPr>
                <w:b w:val="1"/>
                <w:bCs w:val="1"/>
                <w:color w:val="000000"/>
              </w:rPr>
            </w:pPr>
            <w:r w:rsidDel="00000000" w:rsidR="00000000" w:rsidRPr="00000000">
              <w:rPr>
                <w:b w:val="1"/>
                <w:bCs w:val="1"/>
                <w:color w:val="000000"/>
                <w:sz w:val="24"/>
                <w:szCs w:val="24"/>
                <w:rtl w:val="0"/>
              </w:rPr>
              <w:t xml:space="preserve">“Service Offer Price Card”</w:t>
            </w:r>
            <w:r w:rsidDel="00000000" w:rsidR="00000000" w:rsidRPr="00000000">
              <w:rPr>
                <w:rtl w:val="0"/>
              </w:rPr>
            </w:r>
          </w:p>
        </w:tc>
        <w:tc>
          <w:tcPr/>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120" w:before="120" w:lineRule="auto"/>
              <w:ind w:left="170" w:firstLine="0"/>
              <w:rPr>
                <w:color w:val="000000"/>
              </w:rPr>
            </w:pPr>
            <w:r w:rsidDel="00000000" w:rsidR="00000000" w:rsidRPr="00000000">
              <w:rPr>
                <w:color w:val="000000"/>
                <w:sz w:val="24"/>
                <w:szCs w:val="24"/>
                <w:rtl w:val="0"/>
              </w:rPr>
              <w:t xml:space="preserve">means a list of prices, rates and other amounts for a specific Service Offer;</w:t>
            </w:r>
            <w:r w:rsidDel="00000000" w:rsidR="00000000" w:rsidRPr="00000000">
              <w:rPr>
                <w:rtl w:val="0"/>
              </w:rPr>
            </w:r>
          </w:p>
        </w:tc>
      </w:tr>
      <w:tr>
        <w:trPr>
          <w:cantSplit w:val="0"/>
          <w:tblHeader w:val="0"/>
        </w:trPr>
        <w:tc>
          <w:tcPr/>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120" w:before="120" w:lineRule="auto"/>
              <w:rPr>
                <w:b w:val="1"/>
                <w:bCs w:val="1"/>
                <w:color w:val="000000"/>
              </w:rPr>
            </w:pPr>
            <w:r w:rsidDel="00000000" w:rsidR="00000000" w:rsidRPr="00000000">
              <w:rPr>
                <w:b w:val="1"/>
                <w:bCs w:val="1"/>
                <w:color w:val="000000"/>
                <w:sz w:val="24"/>
                <w:szCs w:val="24"/>
                <w:rtl w:val="0"/>
              </w:rPr>
              <w:t xml:space="preserve">“Service Offer Template”</w:t>
            </w:r>
            <w:r w:rsidDel="00000000" w:rsidR="00000000" w:rsidRPr="00000000">
              <w:rPr>
                <w:rtl w:val="0"/>
              </w:rPr>
            </w:r>
          </w:p>
        </w:tc>
        <w:tc>
          <w:tcPr/>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120" w:before="120" w:lineRule="auto"/>
              <w:ind w:left="170" w:firstLine="0"/>
              <w:rPr>
                <w:color w:val="000000"/>
              </w:rPr>
            </w:pPr>
            <w:r w:rsidDel="00000000" w:rsidR="00000000" w:rsidRPr="00000000">
              <w:rPr>
                <w:color w:val="000000"/>
                <w:sz w:val="24"/>
                <w:szCs w:val="24"/>
                <w:rtl w:val="0"/>
              </w:rPr>
              <w:t xml:space="preserve">the template set out at Annex 1 to Part B of Framework Schedule 3 (Framework Prices);</w:t>
            </w:r>
            <w:r w:rsidDel="00000000" w:rsidR="00000000" w:rsidRPr="00000000">
              <w:rPr>
                <w:rtl w:val="0"/>
              </w:rPr>
            </w:r>
          </w:p>
        </w:tc>
      </w:tr>
      <w:tr>
        <w:trPr>
          <w:cantSplit w:val="0"/>
          <w:tblHeader w:val="0"/>
        </w:trPr>
        <w:tc>
          <w:tcPr/>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"Sites"</w:t>
            </w:r>
          </w:p>
        </w:tc>
        <w:tc>
          <w:tcPr/>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premises (including the Buyer Premises, the Supplier’s premises or third party premises), </w:t>
            </w:r>
          </w:p>
          <w:p w:rsidR="00000000" w:rsidDel="00000000" w:rsidP="00000000" w:rsidRDefault="00000000" w:rsidRPr="00000000" w14:paraId="0000025B">
            <w:pPr>
              <w:numPr>
                <w:ilvl w:val="1"/>
                <w:numId w:val="23"/>
              </w:num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from, to or at which:</w:t>
            </w:r>
          </w:p>
          <w:p w:rsidR="00000000" w:rsidDel="00000000" w:rsidP="00000000" w:rsidRDefault="00000000" w:rsidRPr="00000000" w14:paraId="0000025C">
            <w:pPr>
              <w:numPr>
                <w:ilvl w:val="2"/>
                <w:numId w:val="2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the Deliverables are (or are to be) provided; and/or</w:t>
            </w:r>
          </w:p>
          <w:p w:rsidR="00000000" w:rsidDel="00000000" w:rsidP="00000000" w:rsidRDefault="00000000" w:rsidRPr="00000000" w14:paraId="0000025D">
            <w:pPr>
              <w:numPr>
                <w:ilvl w:val="2"/>
                <w:numId w:val="2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the Supplier manages, organises or otherwise directs the provision or the use of the Deliverables; and/or</w:t>
            </w:r>
          </w:p>
          <w:p w:rsidR="00000000" w:rsidDel="00000000" w:rsidP="00000000" w:rsidRDefault="00000000" w:rsidRPr="00000000" w14:paraId="0000025E">
            <w:pPr>
              <w:numPr>
                <w:ilvl w:val="1"/>
                <w:numId w:val="23"/>
              </w:num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where:</w:t>
            </w:r>
          </w:p>
          <w:p w:rsidR="00000000" w:rsidDel="00000000" w:rsidP="00000000" w:rsidRDefault="00000000" w:rsidRPr="00000000" w14:paraId="0000025F">
            <w:pPr>
              <w:numPr>
                <w:ilvl w:val="2"/>
                <w:numId w:val="2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any Supplier Equipment or any part of the Supplier System is located; and/or</w:t>
            </w:r>
          </w:p>
          <w:p w:rsidR="00000000" w:rsidDel="00000000" w:rsidP="00000000" w:rsidRDefault="00000000" w:rsidRPr="00000000" w14:paraId="00000260">
            <w:pPr>
              <w:numPr>
                <w:ilvl w:val="2"/>
                <w:numId w:val="23"/>
              </w:numPr>
              <w:pBdr>
                <w:top w:space="0" w:sz="0" w:val="nil"/>
                <w:left w:space="0" w:sz="0" w:val="nil"/>
                <w:bottom w:space="0" w:sz="0" w:val="nil"/>
                <w:right w:space="0" w:sz="0" w:val="nil"/>
                <w:between w:space="0" w:sz="0" w:val="nil"/>
              </w:pBdr>
              <w:spacing w:after="120" w:before="120" w:lineRule="auto"/>
              <w:ind w:left="1423" w:hanging="567"/>
              <w:rPr/>
            </w:pPr>
            <w:r w:rsidDel="00000000" w:rsidR="00000000" w:rsidRPr="00000000">
              <w:rPr>
                <w:sz w:val="24"/>
                <w:szCs w:val="24"/>
                <w:rtl w:val="0"/>
              </w:rPr>
              <w:t xml:space="preserve">any physical interface with the Buyer System takes place;</w:t>
            </w:r>
          </w:p>
        </w:tc>
      </w:tr>
      <w:tr>
        <w:trPr>
          <w:cantSplit w:val="0"/>
          <w:tblHeader w:val="0"/>
        </w:trPr>
        <w:tc>
          <w:tcPr/>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"SME"</w:t>
            </w:r>
          </w:p>
        </w:tc>
        <w:tc>
          <w:tcPr/>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 enterprise falling within the category of micro, small and medium sized enterprises defined by the Commission Recommendation of 6 May 2003 concerning the definition of micro, small and medium enterprises;</w:t>
            </w:r>
          </w:p>
        </w:tc>
      </w:tr>
      <w:tr>
        <w:trPr>
          <w:cantSplit w:val="0"/>
          <w:tblHeader w:val="0"/>
        </w:trPr>
        <w:tc>
          <w:tcPr/>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“Social Value KPIs”</w:t>
            </w:r>
          </w:p>
        </w:tc>
        <w:tc>
          <w:tcPr/>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social value priorities set out in Schedule 2 </w:t>
            </w:r>
            <w:r w:rsidDel="00000000" w:rsidR="00000000" w:rsidRPr="00000000">
              <w:rPr>
                <w:i w:val="1"/>
                <w:iCs w:val="1"/>
                <w:sz w:val="24"/>
                <w:szCs w:val="24"/>
                <w:rtl w:val="0"/>
              </w:rPr>
              <w:t xml:space="preserve">(Specification)</w:t>
            </w:r>
            <w:r w:rsidDel="00000000" w:rsidR="00000000" w:rsidRPr="00000000">
              <w:rPr>
                <w:sz w:val="24"/>
                <w:szCs w:val="24"/>
                <w:rtl w:val="0"/>
              </w:rPr>
              <w:t xml:space="preserve"> and/or Call Off Schedule 14 </w:t>
            </w:r>
            <w:r w:rsidDel="00000000" w:rsidR="00000000" w:rsidRPr="00000000">
              <w:rPr>
                <w:i w:val="1"/>
                <w:iCs w:val="1"/>
                <w:sz w:val="24"/>
                <w:szCs w:val="24"/>
                <w:rtl w:val="0"/>
              </w:rPr>
              <w:t xml:space="preserve">(Performance Levels)</w:t>
            </w:r>
            <w:r w:rsidDel="00000000" w:rsidR="00000000" w:rsidRPr="00000000">
              <w:rPr>
                <w:sz w:val="24"/>
                <w:szCs w:val="24"/>
                <w:rtl w:val="0"/>
              </w:rPr>
              <w:t xml:space="preserve"> (where used);</w:t>
            </w:r>
          </w:p>
        </w:tc>
      </w:tr>
      <w:tr>
        <w:trPr>
          <w:cantSplit w:val="0"/>
          <w:tblHeader w:val="0"/>
        </w:trPr>
        <w:tc>
          <w:tcPr/>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“Software”</w:t>
            </w:r>
          </w:p>
        </w:tc>
        <w:tc>
          <w:tcPr/>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software including Specially Written Software, COTS Software and software that is not COTS Software;</w:t>
            </w:r>
          </w:p>
        </w:tc>
      </w:tr>
      <w:tr>
        <w:trPr>
          <w:cantSplit w:val="0"/>
          <w:tblHeader w:val="0"/>
        </w:trPr>
        <w:tc>
          <w:tcPr/>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“Software Supporting Materials”</w:t>
            </w:r>
          </w:p>
        </w:tc>
        <w:tc>
          <w:tcPr/>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given to it in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“Source Code”</w:t>
            </w:r>
          </w:p>
        </w:tc>
        <w:tc>
          <w:tcPr/>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computer programs and/or data in eye-readable form and in such form that it can be compiled or interpreted into equivalent binary code together with all related design comments, flow charts, technical information and documentation necessary for the use, reproduction, maintenance, modification and enhancement of such software;</w:t>
            </w:r>
          </w:p>
        </w:tc>
      </w:tr>
      <w:tr>
        <w:trPr>
          <w:cantSplit w:val="0"/>
          <w:tblHeader w:val="0"/>
        </w:trPr>
        <w:tc>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"Special Terms"</w:t>
            </w:r>
          </w:p>
        </w:tc>
        <w:tc>
          <w:tcPr/>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additional terms and conditions set out in the Framework Award Form or Order Form which shall be incorporated into the respective Contract;</w:t>
            </w:r>
          </w:p>
        </w:tc>
      </w:tr>
      <w:tr>
        <w:trPr>
          <w:cantSplit w:val="0"/>
          <w:tblHeader w:val="0"/>
        </w:trPr>
        <w:tc>
          <w:tcPr/>
          <w:p w:rsidR="00000000" w:rsidDel="00000000" w:rsidP="00000000" w:rsidRDefault="00000000" w:rsidRPr="00000000" w14:paraId="0000026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“Specially Written Software”</w:t>
            </w:r>
          </w:p>
        </w:tc>
        <w:tc>
          <w:tcPr/>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software (including database software, linking instructions, test scripts, compilation instructions and test instructions) created by the Supplier (or by a Subcontractor or other third party on behalf of the Supplier) specifically for the purposes of the Contract, including any modifications or enhancements to COTS Software. For the avoidance of doubt Specially Written Software does not constitute New IPR;</w:t>
            </w:r>
          </w:p>
        </w:tc>
      </w:tr>
      <w:tr>
        <w:trPr>
          <w:cantSplit w:val="0"/>
          <w:tblHeader w:val="0"/>
        </w:trPr>
        <w:tc>
          <w:tcPr/>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"Specific Change in Law"</w:t>
            </w:r>
          </w:p>
        </w:tc>
        <w:tc>
          <w:tcPr/>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Change in Law that relates specifically to the business of the Buyer and which would not affect a Comparable Supply where the effect of that Specific Change in Law on the Deliverables is not reasonably foreseeable at the Effective Date;</w:t>
            </w:r>
          </w:p>
        </w:tc>
      </w:tr>
      <w:tr>
        <w:trPr>
          <w:cantSplit w:val="0"/>
          <w:tblHeader w:val="0"/>
        </w:trPr>
        <w:tc>
          <w:tcPr/>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"Specification"</w:t>
            </w:r>
          </w:p>
        </w:tc>
        <w:tc>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specification set out in Framework Schedule 1 </w:t>
            </w:r>
            <w:r w:rsidDel="00000000" w:rsidR="00000000" w:rsidRPr="00000000">
              <w:rPr>
                <w:i w:val="1"/>
                <w:iCs w:val="1"/>
                <w:sz w:val="24"/>
                <w:szCs w:val="24"/>
                <w:rtl w:val="0"/>
              </w:rPr>
              <w:t xml:space="preserve">(Specification)</w:t>
            </w:r>
            <w:r w:rsidDel="00000000" w:rsidR="00000000" w:rsidRPr="00000000">
              <w:rPr>
                <w:sz w:val="24"/>
                <w:szCs w:val="24"/>
                <w:rtl w:val="0"/>
              </w:rPr>
              <w:t xml:space="preserve">, as may, in relation to a Call-Off Contract, be supplemented by the Order Form;</w:t>
            </w:r>
          </w:p>
        </w:tc>
      </w:tr>
      <w:tr>
        <w:trPr>
          <w:cantSplit w:val="0"/>
          <w:tblHeader w:val="0"/>
        </w:trPr>
        <w:tc>
          <w:tcPr/>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"Standards"</w:t>
            </w:r>
          </w:p>
        </w:tc>
        <w:tc>
          <w:tcPr/>
          <w:p w:rsidR="00000000" w:rsidDel="00000000" w:rsidP="00000000" w:rsidRDefault="00000000" w:rsidRPr="00000000" w14:paraId="0000027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w:t>
            </w:r>
          </w:p>
          <w:p w:rsidR="00000000" w:rsidDel="00000000" w:rsidP="00000000" w:rsidRDefault="00000000" w:rsidRPr="00000000" w14:paraId="00000275">
            <w:pPr>
              <w:numPr>
                <w:ilvl w:val="1"/>
                <w:numId w:val="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standards published by BSI British Standards, the National Standards Body of the United Kingdom, the International Organisation for Standardisation or other reputable or equivalent bodies (and their successor bodies) that a skilled and experienced operator in the same type of industry or business sector as the Supplier would reasonably and ordinarily be expected to comply with; </w:t>
            </w:r>
          </w:p>
          <w:p w:rsidR="00000000" w:rsidDel="00000000" w:rsidP="00000000" w:rsidRDefault="00000000" w:rsidRPr="00000000" w14:paraId="00000276">
            <w:pPr>
              <w:numPr>
                <w:ilvl w:val="1"/>
                <w:numId w:val="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standards detailed in the specification in Schedule 1 </w:t>
            </w:r>
            <w:r w:rsidDel="00000000" w:rsidR="00000000" w:rsidRPr="00000000">
              <w:rPr>
                <w:i w:val="1"/>
                <w:iCs w:val="1"/>
                <w:sz w:val="24"/>
                <w:szCs w:val="24"/>
                <w:rtl w:val="0"/>
              </w:rPr>
              <w:t xml:space="preserve">(Specification)</w:t>
            </w:r>
            <w:r w:rsidDel="00000000" w:rsidR="00000000" w:rsidRPr="00000000">
              <w:rPr>
                <w:sz w:val="24"/>
                <w:szCs w:val="24"/>
                <w:rtl w:val="0"/>
              </w:rPr>
              <w:t xml:space="preserve">;</w:t>
            </w:r>
          </w:p>
          <w:p w:rsidR="00000000" w:rsidDel="00000000" w:rsidP="00000000" w:rsidRDefault="00000000" w:rsidRPr="00000000" w14:paraId="00000277">
            <w:pPr>
              <w:numPr>
                <w:ilvl w:val="1"/>
                <w:numId w:val="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standards detailed by the Buyer in the Order Form or agreed between the Parties from time to time; or</w:t>
            </w:r>
          </w:p>
          <w:p w:rsidR="00000000" w:rsidDel="00000000" w:rsidP="00000000" w:rsidRDefault="00000000" w:rsidRPr="00000000" w14:paraId="00000278">
            <w:pPr>
              <w:numPr>
                <w:ilvl w:val="1"/>
                <w:numId w:val="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relevant Government codes of practice and guidance applicable from time to time; </w:t>
            </w:r>
          </w:p>
        </w:tc>
      </w:tr>
      <w:tr>
        <w:trPr>
          <w:cantSplit w:val="0"/>
          <w:tblHeader w:val="0"/>
        </w:trPr>
        <w:tc>
          <w:tcPr/>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"Start Date"</w:t>
            </w:r>
          </w:p>
        </w:tc>
        <w:tc>
          <w:tcPr/>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the case of the Framework Contract, the date specified on the Framework Award Form, and in the case of a Call-Off Contract, the date specified in the Order Form;</w:t>
            </w:r>
          </w:p>
        </w:tc>
      </w:tr>
      <w:tr>
        <w:trPr>
          <w:cantSplit w:val="0"/>
          <w:tblHeader w:val="0"/>
        </w:trPr>
        <w:tc>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"Statement of Requirements"</w:t>
            </w:r>
          </w:p>
        </w:tc>
        <w:tc>
          <w:tcPr/>
          <w:p w:rsidR="00000000" w:rsidDel="00000000" w:rsidP="00000000" w:rsidRDefault="00000000" w:rsidRPr="00000000" w14:paraId="0000027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statement issued by the Buyer detailing its requirements in respect of Deliverables issued in accordance with the Call-Off Procedure;</w:t>
            </w:r>
          </w:p>
        </w:tc>
      </w:tr>
      <w:tr>
        <w:trPr>
          <w:cantSplit w:val="0"/>
          <w:tblHeader w:val="0"/>
        </w:trPr>
        <w:tc>
          <w:tcPr/>
          <w:p w:rsidR="00000000" w:rsidDel="00000000" w:rsidP="00000000" w:rsidRDefault="00000000" w:rsidRPr="00000000" w14:paraId="0000027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"Sub-Contract"</w:t>
            </w:r>
          </w:p>
        </w:tc>
        <w:tc>
          <w:tcPr/>
          <w:p w:rsidR="00000000" w:rsidDel="00000000" w:rsidP="00000000" w:rsidRDefault="00000000" w:rsidRPr="00000000" w14:paraId="0000027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contract or agreement (or proposed contract or agreement), other than a Call-Off Contract or the Framework Contract, pursuant to which a third party:</w:t>
            </w:r>
          </w:p>
          <w:p w:rsidR="00000000" w:rsidDel="00000000" w:rsidP="00000000" w:rsidRDefault="00000000" w:rsidRPr="00000000" w14:paraId="0000027F">
            <w:pPr>
              <w:numPr>
                <w:ilvl w:val="1"/>
                <w:numId w:val="9"/>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provides the Deliverables (or any part of them);</w:t>
            </w:r>
          </w:p>
          <w:p w:rsidR="00000000" w:rsidDel="00000000" w:rsidP="00000000" w:rsidRDefault="00000000" w:rsidRPr="00000000" w14:paraId="00000280">
            <w:pPr>
              <w:numPr>
                <w:ilvl w:val="1"/>
                <w:numId w:val="9"/>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provides facilities or services necessary for the provision of the Deliverables (or any part of them); and/or</w:t>
            </w:r>
          </w:p>
          <w:p w:rsidR="00000000" w:rsidDel="00000000" w:rsidP="00000000" w:rsidRDefault="00000000" w:rsidRPr="00000000" w14:paraId="00000281">
            <w:pPr>
              <w:numPr>
                <w:ilvl w:val="1"/>
                <w:numId w:val="9"/>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is responsible for the management, direction or control of the provision of the Deliverables (or any part of them); </w:t>
            </w:r>
          </w:p>
        </w:tc>
      </w:tr>
      <w:tr>
        <w:trPr>
          <w:cantSplit w:val="0"/>
          <w:tblHeader w:val="0"/>
        </w:trPr>
        <w:tc>
          <w:tcPr/>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"Subcontractor"</w:t>
            </w:r>
          </w:p>
        </w:tc>
        <w:tc>
          <w:tcPr/>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person other than the Supplier, who is a party to a Sub-Contract and the servants or agents of that person;</w:t>
            </w:r>
          </w:p>
        </w:tc>
      </w:tr>
      <w:tr>
        <w:trPr>
          <w:cantSplit w:val="0"/>
          <w:tblHeader w:val="0"/>
        </w:trPr>
        <w:tc>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"Subprocessor"</w:t>
            </w:r>
          </w:p>
        </w:tc>
        <w:tc>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third Party appointed to process Personal Data on behalf of that Processor related to a Contract;</w:t>
            </w:r>
          </w:p>
        </w:tc>
      </w:tr>
      <w:tr>
        <w:trPr>
          <w:cantSplit w:val="0"/>
          <w:tblHeader w:val="0"/>
        </w:trPr>
        <w:tc>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“Subsidiary Undertaking”</w:t>
            </w:r>
          </w:p>
        </w:tc>
        <w:tc>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has the meaning set out in section 1162 of the Companies Act 2006;</w:t>
            </w:r>
          </w:p>
        </w:tc>
      </w:tr>
      <w:tr>
        <w:trPr>
          <w:cantSplit w:val="0"/>
          <w:tblHeader w:val="0"/>
        </w:trPr>
        <w:tc>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Group”</w:t>
            </w:r>
          </w:p>
        </w:tc>
        <w:tc>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Supplier, its Dependent Parent Undertakings and all Subsidiary Undertakings and Associates of such Dependent Parent Undertakings; </w:t>
            </w:r>
          </w:p>
        </w:tc>
      </w:tr>
      <w:tr>
        <w:trPr>
          <w:cantSplit w:val="0"/>
          <w:tblHeader w:val="0"/>
        </w:trPr>
        <w:tc>
          <w:tcPr/>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w:t>
            </w:r>
          </w:p>
        </w:tc>
        <w:tc>
          <w:tcPr/>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person, firm or company identified in the Framework Award Form;</w:t>
            </w:r>
          </w:p>
        </w:tc>
      </w:tr>
      <w:tr>
        <w:trPr>
          <w:cantSplit w:val="0"/>
          <w:tblHeader w:val="0"/>
        </w:trPr>
        <w:tc>
          <w:tcPr/>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Assets"</w:t>
            </w:r>
          </w:p>
        </w:tc>
        <w:tc>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all assets and rights used by the Supplier to provide the Deliverables in accordance with the Call-Off Contract but excluding the Buyer Assets;</w:t>
            </w:r>
          </w:p>
        </w:tc>
      </w:tr>
      <w:tr>
        <w:trPr>
          <w:cantSplit w:val="0"/>
          <w:tblHeader w:val="0"/>
        </w:trPr>
        <w:tc>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Authorised Representative"</w:t>
            </w:r>
          </w:p>
        </w:tc>
        <w:tc>
          <w:tcPr/>
          <w:p w:rsidR="00000000" w:rsidDel="00000000" w:rsidP="00000000" w:rsidRDefault="00000000" w:rsidRPr="00000000" w14:paraId="0000028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representative appointed by the Supplier named in the Framework Award Form, or later defined in a Call-Off Contract; </w:t>
            </w:r>
          </w:p>
        </w:tc>
      </w:tr>
      <w:tr>
        <w:trPr>
          <w:cantSplit w:val="0"/>
          <w:tblHeader w:val="0"/>
        </w:trPr>
        <w:tc>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"Supplier's Confidential Information"</w:t>
            </w:r>
          </w:p>
        </w:tc>
        <w:tc>
          <w:tcPr/>
          <w:p w:rsidR="00000000" w:rsidDel="00000000" w:rsidP="00000000" w:rsidRDefault="00000000" w:rsidRPr="00000000" w14:paraId="00000291">
            <w:pPr>
              <w:numPr>
                <w:ilvl w:val="1"/>
                <w:numId w:val="10"/>
              </w:numPr>
              <w:pBdr>
                <w:top w:space="0" w:sz="0" w:val="nil"/>
                <w:left w:space="0" w:sz="0" w:val="nil"/>
                <w:bottom w:space="0" w:sz="0" w:val="nil"/>
                <w:right w:space="0" w:sz="0" w:val="nil"/>
                <w:between w:space="0" w:sz="0" w:val="nil"/>
              </w:pBdr>
              <w:spacing w:after="120" w:before="120" w:lineRule="auto"/>
              <w:ind w:left="852" w:hanging="682"/>
              <w:rPr>
                <w:sz w:val="24"/>
                <w:szCs w:val="24"/>
              </w:rPr>
            </w:pPr>
            <w:r w:rsidDel="00000000" w:rsidR="00000000" w:rsidRPr="00000000">
              <w:rPr>
                <w:sz w:val="24"/>
                <w:szCs w:val="24"/>
                <w:rtl w:val="0"/>
              </w:rPr>
              <w:t xml:space="preserve">any information, however it is conveyed, that relates to the business, affairs, developments, IPR of the Supplier (including the Supplier Existing IPR) trade secrets, Know-How, and/or personnel of the Supplier; </w:t>
            </w:r>
          </w:p>
          <w:p w:rsidR="00000000" w:rsidDel="00000000" w:rsidP="00000000" w:rsidRDefault="00000000" w:rsidRPr="00000000" w14:paraId="00000292">
            <w:pPr>
              <w:numPr>
                <w:ilvl w:val="1"/>
                <w:numId w:val="10"/>
              </w:numPr>
              <w:pBdr>
                <w:top w:space="0" w:sz="0" w:val="nil"/>
                <w:left w:space="0" w:sz="0" w:val="nil"/>
                <w:bottom w:space="0" w:sz="0" w:val="nil"/>
                <w:right w:space="0" w:sz="0" w:val="nil"/>
                <w:between w:space="0" w:sz="0" w:val="nil"/>
              </w:pBdr>
              <w:spacing w:after="120" w:before="120" w:lineRule="auto"/>
              <w:ind w:left="852" w:hanging="682"/>
              <w:rPr>
                <w:sz w:val="24"/>
                <w:szCs w:val="24"/>
              </w:rPr>
            </w:pPr>
            <w:r w:rsidDel="00000000" w:rsidR="00000000" w:rsidRPr="00000000">
              <w:rPr>
                <w:sz w:val="24"/>
                <w:szCs w:val="24"/>
                <w:rtl w:val="0"/>
              </w:rPr>
              <w:t xml:space="preserve">any other information clearly designated as being confidential (whether or not it is marked as "confidential") or which ought reasonably to be considered to be confidential and which comes (or has come) to the Supplier’s attention or into the Supplier’s possession in connection with a Contract; and/or</w:t>
            </w:r>
          </w:p>
          <w:p w:rsidR="00000000" w:rsidDel="00000000" w:rsidP="00000000" w:rsidRDefault="00000000" w:rsidRPr="00000000" w14:paraId="00000293">
            <w:pPr>
              <w:numPr>
                <w:ilvl w:val="1"/>
                <w:numId w:val="10"/>
              </w:numPr>
              <w:pBdr>
                <w:top w:space="0" w:sz="0" w:val="nil"/>
                <w:left w:space="0" w:sz="0" w:val="nil"/>
                <w:bottom w:space="0" w:sz="0" w:val="nil"/>
                <w:right w:space="0" w:sz="0" w:val="nil"/>
                <w:between w:space="0" w:sz="0" w:val="nil"/>
              </w:pBdr>
              <w:spacing w:after="120" w:before="120" w:lineRule="auto"/>
              <w:ind w:left="852" w:hanging="682"/>
              <w:rPr>
                <w:sz w:val="24"/>
                <w:szCs w:val="24"/>
              </w:rPr>
            </w:pPr>
            <w:r w:rsidDel="00000000" w:rsidR="00000000" w:rsidRPr="00000000">
              <w:rPr>
                <w:sz w:val="24"/>
                <w:szCs w:val="24"/>
                <w:rtl w:val="0"/>
              </w:rPr>
              <w:t xml:space="preserve">information derived from the above; </w:t>
            </w:r>
          </w:p>
        </w:tc>
      </w:tr>
      <w:tr>
        <w:trPr>
          <w:cantSplit w:val="0"/>
          <w:tblHeader w:val="0"/>
        </w:trPr>
        <w:tc>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"Supplier's Contract Manager </w:t>
            </w:r>
          </w:p>
        </w:tc>
        <w:tc>
          <w:tcPr/>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person identified in the Order Form appointed by the Supplier to oversee the operation of the Call-Off Contract and any alternative person whom the Supplier intends to appoint to the role, provided that the Supplier informs the Buyer prior to the appointment;</w:t>
            </w:r>
          </w:p>
        </w:tc>
      </w:tr>
      <w:tr>
        <w:trPr>
          <w:cantSplit w:val="0"/>
          <w:tblHeader w:val="0"/>
        </w:trPr>
        <w:tc>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Equipment"</w:t>
            </w:r>
          </w:p>
        </w:tc>
        <w:tc>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Supplier's hardware, computer and telecoms devices, equipment, plant, materials and such other items supplied and used by the Supplier (but not hired, leased or loaned from the Buyer) in the performance of its obligations under the Call-Off Contract;</w:t>
            </w:r>
          </w:p>
        </w:tc>
      </w:tr>
      <w:tr>
        <w:trPr>
          <w:cantSplit w:val="0"/>
          <w:tblHeader w:val="0"/>
        </w:trPr>
        <w:tc>
          <w:tcPr/>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Existing IPR”</w:t>
            </w:r>
          </w:p>
        </w:tc>
        <w:tc>
          <w:tcPr/>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and all IPR that are owned or licensed to the Supplier and which are or have been developed independently of the Contract (whether prior to the Effective Date or otherwise);</w:t>
            </w:r>
          </w:p>
        </w:tc>
      </w:tr>
      <w:tr>
        <w:trPr>
          <w:cantSplit w:val="0"/>
          <w:tblHeader w:val="0"/>
        </w:trPr>
        <w:tc>
          <w:tcPr/>
          <w:p w:rsidR="00000000" w:rsidDel="00000000" w:rsidP="00000000" w:rsidRDefault="00000000" w:rsidRPr="00000000" w14:paraId="0000029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Existing IPR Licence”</w:t>
            </w:r>
          </w:p>
        </w:tc>
        <w:tc>
          <w:tcPr/>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licence to be offered by the Supplier to the Supplier Existing IPR as set out in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Marketing Contact"</w:t>
            </w:r>
          </w:p>
        </w:tc>
        <w:tc>
          <w:tcPr/>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shall be the person identified in the Framework Award Form;</w:t>
            </w:r>
          </w:p>
        </w:tc>
      </w:tr>
      <w:tr>
        <w:trPr>
          <w:cantSplit w:val="0"/>
          <w:tblHeader w:val="0"/>
        </w:trPr>
        <w:tc>
          <w:tcPr/>
          <w:p w:rsidR="00000000" w:rsidDel="00000000" w:rsidP="00000000" w:rsidRDefault="00000000" w:rsidRPr="00000000" w14:paraId="0000029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New and Existing IPR Licence”</w:t>
            </w:r>
          </w:p>
        </w:tc>
        <w:tc>
          <w:tcPr/>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licence to be offered by the Supplier to the New IPR and Supplier Existing IPR as set out in Call-Off Schedule 1 (Intellectual Property Rights) but excluding, where an IPR Option in Part B of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 applies, any Buyer Software; </w:t>
            </w:r>
          </w:p>
        </w:tc>
      </w:tr>
      <w:tr>
        <w:trPr>
          <w:cantSplit w:val="0"/>
          <w:tblHeader w:val="0"/>
        </w:trPr>
        <w:tc>
          <w:tcPr/>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Non-Performance"</w:t>
            </w:r>
          </w:p>
        </w:tc>
        <w:tc>
          <w:tcPr/>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where the Supplier has failed to:</w:t>
            </w:r>
          </w:p>
          <w:p w:rsidR="00000000" w:rsidDel="00000000" w:rsidP="00000000" w:rsidRDefault="00000000" w:rsidRPr="00000000" w14:paraId="000002A2">
            <w:pPr>
              <w:numPr>
                <w:ilvl w:val="1"/>
                <w:numId w:val="27"/>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Achieve a Milestone by its Milestone Date;</w:t>
            </w:r>
          </w:p>
          <w:p w:rsidR="00000000" w:rsidDel="00000000" w:rsidP="00000000" w:rsidRDefault="00000000" w:rsidRPr="00000000" w14:paraId="000002A3">
            <w:pPr>
              <w:numPr>
                <w:ilvl w:val="1"/>
                <w:numId w:val="27"/>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provide the Goods and/or Services in accordance with the Key Performance Indicators; and/or</w:t>
            </w:r>
          </w:p>
          <w:p w:rsidR="00000000" w:rsidDel="00000000" w:rsidP="00000000" w:rsidRDefault="00000000" w:rsidRPr="00000000" w14:paraId="000002A4">
            <w:pPr>
              <w:numPr>
                <w:ilvl w:val="1"/>
                <w:numId w:val="27"/>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comply with an obligation under a Contract;</w:t>
            </w:r>
          </w:p>
        </w:tc>
      </w:tr>
      <w:tr>
        <w:trPr>
          <w:cantSplit w:val="0"/>
          <w:tblHeader w:val="0"/>
        </w:trPr>
        <w:tc>
          <w:tcPr/>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Profit"</w:t>
            </w:r>
          </w:p>
        </w:tc>
        <w:tc>
          <w:tcPr/>
          <w:p w:rsidR="00000000" w:rsidDel="00000000" w:rsidP="00000000" w:rsidRDefault="00000000" w:rsidRPr="00000000" w14:paraId="000002A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relation to a period, the difference between the total Charges (in nominal cash flow terms but excluding any Deductions) and total Costs (in nominal cash flow terms) in respect of a Call-Off Contract for the relevant period;</w:t>
            </w:r>
          </w:p>
        </w:tc>
      </w:tr>
      <w:tr>
        <w:trPr>
          <w:cantSplit w:val="0"/>
          <w:tblHeader w:val="0"/>
        </w:trPr>
        <w:tc>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Profit Margin"</w:t>
            </w:r>
          </w:p>
        </w:tc>
        <w:tc>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relation to a period or a Milestone (as the context requires), the Supplier Profit for the relevant period or in relation to the relevant Milestone divided by the total Charges over the same period or in relation to the relevant Milestone and expressed as a percentage;</w:t>
            </w:r>
          </w:p>
        </w:tc>
      </w:tr>
      <w:tr>
        <w:trPr>
          <w:cantSplit w:val="0"/>
          <w:tblHeader w:val="0"/>
        </w:trPr>
        <w:tc>
          <w:tcPr/>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Staff"</w:t>
            </w:r>
          </w:p>
        </w:tc>
        <w:tc>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individual engaged, directly or indirectly, or employed by the Supplier or any Subcontractor engaged in the management or performance of the Supplier’s obligations under a Contract;</w:t>
            </w:r>
          </w:p>
        </w:tc>
      </w:tr>
      <w:tr>
        <w:trPr>
          <w:cantSplit w:val="0"/>
          <w:tblHeader w:val="0"/>
        </w:trPr>
        <w:tc>
          <w:tcPr/>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"Supplier System"</w:t>
            </w:r>
          </w:p>
        </w:tc>
        <w:tc>
          <w:tcPr/>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color w:val="000000"/>
                <w:sz w:val="24"/>
                <w:szCs w:val="24"/>
                <w:rtl w:val="0"/>
              </w:rPr>
              <w:t xml:space="preserve">the information and communications technology system used by the Supplier or any Subcontractor in supplying the Deliverables, including the COTS Software, the </w:t>
            </w:r>
            <w:r w:rsidDel="00000000" w:rsidR="00000000" w:rsidRPr="00000000">
              <w:rPr>
                <w:sz w:val="24"/>
                <w:szCs w:val="24"/>
                <w:rtl w:val="0"/>
              </w:rPr>
              <w:t xml:space="preserve">Supplier</w:t>
            </w:r>
            <w:r w:rsidDel="00000000" w:rsidR="00000000" w:rsidRPr="00000000">
              <w:rPr>
                <w:color w:val="000000"/>
                <w:sz w:val="24"/>
                <w:szCs w:val="24"/>
                <w:rtl w:val="0"/>
              </w:rPr>
              <w:t xml:space="preserve"> Equipment, configuration and management utilities, calibration and testing tools and related cabling (but excluding the Buyer System);</w:t>
            </w:r>
            <w:r w:rsidDel="00000000" w:rsidR="00000000" w:rsidRPr="00000000">
              <w:rPr>
                <w:rtl w:val="0"/>
              </w:rPr>
            </w:r>
          </w:p>
        </w:tc>
      </w:tr>
      <w:tr>
        <w:trPr>
          <w:cantSplit w:val="0"/>
          <w:tblHeader w:val="0"/>
        </w:trPr>
        <w:tc>
          <w:tcPr/>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"Supporting Documentation"</w:t>
            </w:r>
          </w:p>
        </w:tc>
        <w:tc>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120" w:before="120" w:lineRule="auto"/>
              <w:ind w:left="170" w:firstLine="0"/>
              <w:rPr>
                <w:color w:val="000000"/>
                <w:sz w:val="24"/>
                <w:szCs w:val="24"/>
              </w:rPr>
            </w:pPr>
            <w:r w:rsidDel="00000000" w:rsidR="00000000" w:rsidRPr="00000000">
              <w:rPr>
                <w:sz w:val="24"/>
                <w:szCs w:val="24"/>
                <w:rtl w:val="0"/>
              </w:rPr>
              <w:t xml:space="preserve">sufficient information in writing to enable the Buyer to reasonably assess whether the Charges, Reimbursable Expenses and other sums due from the Buyer under the Call-Off Contract detailed in the information are properly payable;</w:t>
            </w:r>
            <w:r w:rsidDel="00000000" w:rsidR="00000000" w:rsidRPr="00000000">
              <w:rPr>
                <w:rtl w:val="0"/>
              </w:rPr>
            </w:r>
          </w:p>
        </w:tc>
      </w:tr>
      <w:tr>
        <w:trPr>
          <w:cantSplit w:val="0"/>
          <w:tblHeader w:val="0"/>
        </w:trPr>
        <w:tc>
          <w:tcPr/>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"Supply Chain Intermediary"</w:t>
            </w:r>
          </w:p>
        </w:tc>
        <w:tc>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entity (including any company or partnership) in an arrangement with a Worker, where the Worker performs or is under an obligation personally to perform, services for the Buyer;</w:t>
            </w:r>
          </w:p>
        </w:tc>
      </w:tr>
      <w:tr>
        <w:trPr>
          <w:cantSplit w:val="0"/>
          <w:tblHeader w:val="0"/>
        </w:trPr>
        <w:tc>
          <w:tcPr/>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“Tax”</w:t>
            </w:r>
          </w:p>
        </w:tc>
        <w:tc>
          <w:tcPr/>
          <w:p w:rsidR="00000000" w:rsidDel="00000000" w:rsidP="00000000" w:rsidRDefault="00000000" w:rsidRPr="00000000" w14:paraId="000002B2">
            <w:pPr>
              <w:numPr>
                <w:ilvl w:val="0"/>
                <w:numId w:val="1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all forms of taxation whether direct or indirect;</w:t>
            </w:r>
          </w:p>
          <w:p w:rsidR="00000000" w:rsidDel="00000000" w:rsidP="00000000" w:rsidRDefault="00000000" w:rsidRPr="00000000" w14:paraId="000002B3">
            <w:pPr>
              <w:numPr>
                <w:ilvl w:val="0"/>
                <w:numId w:val="1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national insurance contributions in the United Kingdom and similar contributions or obligations in any other jurisdiction;</w:t>
            </w:r>
          </w:p>
          <w:p w:rsidR="00000000" w:rsidDel="00000000" w:rsidP="00000000" w:rsidRDefault="00000000" w:rsidRPr="00000000" w14:paraId="000002B4">
            <w:pPr>
              <w:numPr>
                <w:ilvl w:val="0"/>
                <w:numId w:val="1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all statutory, governmental, state, federal, provincial, local government or municipal charges, duties, imports, contributions. levies or liabilities (other than in return  for goods or services supplied or performed or to be performed) and withholdings; and</w:t>
            </w:r>
          </w:p>
          <w:p w:rsidR="00000000" w:rsidDel="00000000" w:rsidP="00000000" w:rsidRDefault="00000000" w:rsidRPr="00000000" w14:paraId="000002B5">
            <w:pPr>
              <w:numPr>
                <w:ilvl w:val="0"/>
                <w:numId w:val="16"/>
              </w:numPr>
              <w:pBdr>
                <w:top w:space="0" w:sz="0" w:val="nil"/>
                <w:left w:space="0" w:sz="0" w:val="nil"/>
                <w:bottom w:space="0" w:sz="0" w:val="nil"/>
                <w:right w:space="0" w:sz="0" w:val="nil"/>
                <w:between w:space="0" w:sz="0" w:val="nil"/>
              </w:pBdr>
              <w:spacing w:after="120" w:before="120" w:lineRule="auto"/>
              <w:ind w:left="856" w:hanging="686"/>
              <w:rPr/>
            </w:pPr>
            <w:r w:rsidDel="00000000" w:rsidR="00000000" w:rsidRPr="00000000">
              <w:rPr>
                <w:sz w:val="24"/>
                <w:szCs w:val="24"/>
                <w:rtl w:val="0"/>
              </w:rPr>
              <w:t xml:space="preserve">any penalty, fine, surcharge, interest, charges or costs relating to any of the above,</w:t>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 each case wherever chargeable and whether of the United Kingdom and any other jurisdiction;</w:t>
            </w:r>
          </w:p>
        </w:tc>
      </w:tr>
      <w:tr>
        <w:trPr>
          <w:cantSplit w:val="0"/>
          <w:tblHeader w:val="0"/>
        </w:trPr>
        <w:tc>
          <w:tcPr/>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“Termination Assistance Period”</w:t>
            </w:r>
          </w:p>
        </w:tc>
        <w:tc>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the period specified in a Termination Assistance Notice for which the Supplier is required to provide the Termination Assistance as such period may be extended pursuant to Paragraph 5.2 of Call Off Schedule 10 </w:t>
            </w:r>
            <w:r w:rsidDel="00000000" w:rsidR="00000000" w:rsidRPr="00000000">
              <w:rPr>
                <w:i w:val="1"/>
                <w:iCs w:val="1"/>
                <w:sz w:val="24"/>
                <w:szCs w:val="24"/>
                <w:rtl w:val="0"/>
              </w:rPr>
              <w:t xml:space="preserve">(Exit Management)</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"Termination Notice"</w:t>
            </w:r>
          </w:p>
        </w:tc>
        <w:tc>
          <w:tcPr/>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written notice of termination given by one Party to the other, notifying the Party receiving the notice of the intention of the Party giving the notice to terminate a Contract on a specified date and setting out the grounds for termination; </w:t>
            </w:r>
          </w:p>
        </w:tc>
      </w:tr>
      <w:tr>
        <w:trPr>
          <w:cantSplit w:val="0"/>
          <w:tblHeader w:val="0"/>
        </w:trPr>
        <w:tc>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"Test Issue"</w:t>
            </w:r>
          </w:p>
        </w:tc>
        <w:tc>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variance or non-conformity of the Deliverables from their requirements as set out in a Call-Off Contract;</w:t>
            </w:r>
          </w:p>
        </w:tc>
      </w:tr>
      <w:tr>
        <w:trPr>
          <w:cantSplit w:val="0"/>
          <w:tblHeader w:val="0"/>
        </w:trPr>
        <w:tc>
          <w:tcPr/>
          <w:p w:rsidR="00000000" w:rsidDel="00000000" w:rsidP="00000000" w:rsidRDefault="00000000" w:rsidRPr="00000000" w14:paraId="000002BD">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"Test Plan"</w:t>
            </w:r>
          </w:p>
        </w:tc>
        <w:tc>
          <w:tcPr/>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plan:</w:t>
            </w:r>
          </w:p>
          <w:p w:rsidR="00000000" w:rsidDel="00000000" w:rsidP="00000000" w:rsidRDefault="00000000" w:rsidRPr="00000000" w14:paraId="000002BF">
            <w:pPr>
              <w:numPr>
                <w:ilvl w:val="1"/>
                <w:numId w:val="2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for the Testing of the Deliverables; and </w:t>
            </w:r>
          </w:p>
          <w:p w:rsidR="00000000" w:rsidDel="00000000" w:rsidP="00000000" w:rsidRDefault="00000000" w:rsidRPr="00000000" w14:paraId="000002C0">
            <w:pPr>
              <w:numPr>
                <w:ilvl w:val="1"/>
                <w:numId w:val="28"/>
              </w:numPr>
              <w:pBdr>
                <w:top w:space="0" w:sz="0" w:val="nil"/>
                <w:left w:space="0" w:sz="0" w:val="nil"/>
                <w:bottom w:space="0" w:sz="0" w:val="nil"/>
                <w:right w:space="0" w:sz="0" w:val="nil"/>
                <w:between w:space="0" w:sz="0" w:val="nil"/>
              </w:pBdr>
              <w:spacing w:after="120" w:before="120" w:lineRule="auto"/>
              <w:ind w:left="856" w:hanging="686"/>
              <w:rPr>
                <w:sz w:val="24"/>
                <w:szCs w:val="24"/>
              </w:rPr>
            </w:pPr>
            <w:r w:rsidDel="00000000" w:rsidR="00000000" w:rsidRPr="00000000">
              <w:rPr>
                <w:sz w:val="24"/>
                <w:szCs w:val="24"/>
                <w:rtl w:val="0"/>
              </w:rPr>
              <w:t xml:space="preserve">setting out other agreed criteria related to the achievement of Milestones; </w:t>
            </w:r>
          </w:p>
        </w:tc>
      </w:tr>
      <w:tr>
        <w:trPr>
          <w:cantSplit w:val="0"/>
          <w:tblHeader w:val="0"/>
        </w:trPr>
        <w:tc>
          <w:tcPr/>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"Tests and Testing"</w:t>
            </w:r>
          </w:p>
        </w:tc>
        <w:tc>
          <w:tcPr/>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any tests required to be carried out pursuant to a Call-Off Contract as set out in the Test Plan or elsewhere in a Call-Off Contract and "</w:t>
            </w:r>
            <w:r w:rsidDel="00000000" w:rsidR="00000000" w:rsidRPr="00000000">
              <w:rPr>
                <w:b w:val="1"/>
                <w:bCs w:val="1"/>
                <w:sz w:val="24"/>
                <w:szCs w:val="24"/>
                <w:rtl w:val="0"/>
              </w:rPr>
              <w:t xml:space="preserve">Tested</w:t>
            </w:r>
            <w:r w:rsidDel="00000000" w:rsidR="00000000" w:rsidRPr="00000000">
              <w:rPr>
                <w:sz w:val="24"/>
                <w:szCs w:val="24"/>
                <w:rtl w:val="0"/>
              </w:rPr>
              <w:t xml:space="preserve">"  shall be construed accordingly;</w:t>
            </w:r>
          </w:p>
        </w:tc>
      </w:tr>
      <w:tr>
        <w:trPr>
          <w:cantSplit w:val="0"/>
          <w:tblHeader w:val="0"/>
        </w:trPr>
        <w:tc>
          <w:tcPr/>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"Third Party IPR"</w:t>
            </w:r>
          </w:p>
        </w:tc>
        <w:tc>
          <w:tcPr/>
          <w:p w:rsidR="00000000" w:rsidDel="00000000" w:rsidP="00000000" w:rsidRDefault="00000000" w:rsidRPr="00000000" w14:paraId="000002C4">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Intellectual Property Rights owned by a third party which is or will be used by the Supplier for the purpose of providing the Deliverables;</w:t>
            </w:r>
          </w:p>
        </w:tc>
      </w:tr>
      <w:tr>
        <w:trPr>
          <w:cantSplit w:val="0"/>
          <w:tblHeader w:val="0"/>
        </w:trPr>
        <w:tc>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“Third Party IPR Licence”</w:t>
            </w:r>
          </w:p>
        </w:tc>
        <w:tc>
          <w:tcPr/>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a licence to be offered by the Supplier to the Third Party IPR as set out in Call-Off Schedule 1 </w:t>
            </w:r>
            <w:r w:rsidDel="00000000" w:rsidR="00000000" w:rsidRPr="00000000">
              <w:rPr>
                <w:i w:val="1"/>
                <w:iCs w:val="1"/>
                <w:sz w:val="24"/>
                <w:szCs w:val="24"/>
                <w:rtl w:val="0"/>
              </w:rPr>
              <w:t xml:space="preserve">(Intellectual Property Rights)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C7">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"Transferring Supplier Employees"</w:t>
            </w:r>
          </w:p>
        </w:tc>
        <w:tc>
          <w:tcPr/>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120" w:before="120" w:lineRule="auto"/>
              <w:ind w:left="170" w:firstLine="0"/>
              <w:rPr>
                <w:sz w:val="24"/>
                <w:szCs w:val="24"/>
              </w:rPr>
            </w:pPr>
            <w:r w:rsidDel="00000000" w:rsidR="00000000" w:rsidRPr="00000000">
              <w:rPr>
                <w:sz w:val="24"/>
                <w:szCs w:val="24"/>
                <w:rtl w:val="0"/>
              </w:rPr>
              <w:t xml:space="preserve">those employees of the Supplier and/or the Supplier’s Subcontractors to whom the Employment Regulations will apply on the Service Transfer Date; </w:t>
            </w:r>
          </w:p>
        </w:tc>
      </w:tr>
      <w:tr>
        <w:trPr>
          <w:cantSplit w:val="0"/>
          <w:tblHeader w:val="0"/>
        </w:trPr>
        <w:tc>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"Transparency Information"</w:t>
            </w:r>
          </w:p>
        </w:tc>
        <w:tc>
          <w:tcPr/>
          <w:p w:rsidR="00000000" w:rsidDel="00000000" w:rsidP="00000000" w:rsidRDefault="00000000" w:rsidRPr="00000000" w14:paraId="000002CA">
            <w:pPr>
              <w:keepNext w:val="1"/>
              <w:numPr>
                <w:ilvl w:val="0"/>
                <w:numId w:val="19"/>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information permitted or required to be published by the Procurement Act 2023, any regulations published under it, and any PPNs, subject to any exemptions set out in Sections 94 and 99 of the Procurement Act 2023 which shall be determined by the Relevant Authority taking into account Joint Schedule 4 </w:t>
            </w:r>
            <w:r w:rsidDel="00000000" w:rsidR="00000000" w:rsidRPr="00000000">
              <w:rPr>
                <w:i w:val="1"/>
                <w:iCs w:val="1"/>
                <w:color w:val="000000"/>
                <w:sz w:val="24"/>
                <w:szCs w:val="24"/>
                <w:rtl w:val="0"/>
              </w:rPr>
              <w:t xml:space="preserve">(Commercially Sensitive Information)</w:t>
            </w:r>
            <w:r w:rsidDel="00000000" w:rsidR="00000000" w:rsidRPr="00000000">
              <w:rPr>
                <w:color w:val="000000"/>
                <w:sz w:val="24"/>
                <w:szCs w:val="24"/>
                <w:rtl w:val="0"/>
              </w:rPr>
              <w:t xml:space="preserve">;</w:t>
            </w:r>
          </w:p>
          <w:p w:rsidR="00000000" w:rsidDel="00000000" w:rsidP="00000000" w:rsidRDefault="00000000" w:rsidRPr="00000000" w14:paraId="000002CB">
            <w:pPr>
              <w:keepNext w:val="1"/>
              <w:numPr>
                <w:ilvl w:val="0"/>
                <w:numId w:val="19"/>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information about the Contract, including the content of the Contract requested and required to be disclosed under FOIA or the EIRs, and any changes to the Contract agreed from time to time, subject to any relevant exemptions, which shall be determined by the Relevant Authority taking into account Joint Schedule 4 </w:t>
            </w:r>
            <w:r w:rsidDel="00000000" w:rsidR="00000000" w:rsidRPr="00000000">
              <w:rPr>
                <w:i w:val="1"/>
                <w:iCs w:val="1"/>
                <w:color w:val="000000"/>
                <w:sz w:val="24"/>
                <w:szCs w:val="24"/>
                <w:rtl w:val="0"/>
              </w:rPr>
              <w:t xml:space="preserve">(Commercially Sensitive Information)</w:t>
            </w:r>
            <w:r w:rsidDel="00000000" w:rsidR="00000000" w:rsidRPr="00000000">
              <w:rPr>
                <w:color w:val="000000"/>
                <w:sz w:val="24"/>
                <w:szCs w:val="24"/>
                <w:rtl w:val="0"/>
              </w:rPr>
              <w:t xml:space="preserve">; and</w:t>
            </w:r>
          </w:p>
          <w:p w:rsidR="00000000" w:rsidDel="00000000" w:rsidP="00000000" w:rsidRDefault="00000000" w:rsidRPr="00000000" w14:paraId="000002CC">
            <w:pPr>
              <w:keepNext w:val="1"/>
              <w:numPr>
                <w:ilvl w:val="0"/>
                <w:numId w:val="19"/>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information which is published in accordance with guidance issued by His Majesty's Government, from time to time; and</w:t>
            </w:r>
          </w:p>
          <w:p w:rsidR="00000000" w:rsidDel="00000000" w:rsidP="00000000" w:rsidRDefault="00000000" w:rsidRPr="00000000" w14:paraId="000002CD">
            <w:pPr>
              <w:keepNext w:val="1"/>
              <w:numPr>
                <w:ilvl w:val="0"/>
                <w:numId w:val="19"/>
              </w:numPr>
              <w:pBdr>
                <w:top w:space="0" w:sz="0" w:val="nil"/>
                <w:left w:space="0" w:sz="0" w:val="nil"/>
                <w:bottom w:space="0" w:sz="0" w:val="nil"/>
                <w:right w:space="0" w:sz="0" w:val="nil"/>
                <w:between w:space="0" w:sz="0" w:val="nil"/>
              </w:pBdr>
              <w:spacing w:after="120" w:before="120" w:line="276" w:lineRule="auto"/>
              <w:ind w:left="856" w:hanging="686"/>
              <w:rPr>
                <w:color w:val="000000"/>
                <w:sz w:val="24"/>
                <w:szCs w:val="24"/>
              </w:rPr>
            </w:pPr>
            <w:r w:rsidDel="00000000" w:rsidR="00000000" w:rsidRPr="00000000">
              <w:rPr>
                <w:color w:val="000000"/>
                <w:sz w:val="24"/>
                <w:szCs w:val="24"/>
                <w:rtl w:val="0"/>
              </w:rPr>
              <w:t xml:space="preserve">any of the information that the Buyer is permitted or required to publish by the Procurement Act 2023, any Regulations published under it and any Procurement Policy Notes, relating to the performance of the Supplier against any KPI and any information contained in any Performance Monitoring Reports (as that term is defined in Call-Off Schedule 14 </w:t>
            </w:r>
            <w:r w:rsidDel="00000000" w:rsidR="00000000" w:rsidRPr="00000000">
              <w:rPr>
                <w:i w:val="1"/>
                <w:iCs w:val="1"/>
                <w:color w:val="000000"/>
                <w:sz w:val="24"/>
                <w:szCs w:val="24"/>
                <w:rtl w:val="0"/>
              </w:rPr>
              <w:t xml:space="preserve">(Performance Levels)</w:t>
            </w:r>
            <w:r w:rsidDel="00000000" w:rsidR="00000000" w:rsidRPr="00000000">
              <w:rPr>
                <w:color w:val="000000"/>
                <w:sz w:val="24"/>
                <w:szCs w:val="24"/>
                <w:rtl w:val="0"/>
              </w:rPr>
              <w:t xml:space="preserve"> (if used)), subject to any exemptions set out in sections 94 and 99 of the Procurement Act 2023, or under the provisions of FOIA, which shall be determined by the Buyer taking into account Commercially Sensitive Information (if any) listed in the Framework Award Form or Order Form (if any) or in Joint Schedule 4 </w:t>
            </w:r>
            <w:r w:rsidDel="00000000" w:rsidR="00000000" w:rsidRPr="00000000">
              <w:rPr>
                <w:i w:val="1"/>
                <w:iCs w:val="1"/>
                <w:color w:val="000000"/>
                <w:sz w:val="24"/>
                <w:szCs w:val="24"/>
                <w:rtl w:val="0"/>
              </w:rPr>
              <w:t xml:space="preserve">(Commercially Sensitive Information)</w:t>
            </w:r>
            <w:r w:rsidDel="00000000" w:rsidR="00000000" w:rsidRPr="00000000">
              <w:rPr>
                <w:color w:val="000000"/>
                <w:sz w:val="24"/>
                <w:szCs w:val="24"/>
                <w:rtl w:val="0"/>
              </w:rPr>
              <w:t xml:space="preserve">; </w:t>
            </w:r>
          </w:p>
        </w:tc>
      </w:tr>
      <w:tr>
        <w:trPr>
          <w:cantSplit w:val="0"/>
          <w:tblHeader w:val="0"/>
        </w:trPr>
        <w:tc>
          <w:tcPr/>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120" w:before="120" w:lineRule="auto"/>
              <w:rPr>
                <w:b w:val="1"/>
                <w:bCs w:val="1"/>
              </w:rPr>
            </w:pPr>
            <w:r w:rsidDel="00000000" w:rsidR="00000000" w:rsidRPr="00000000">
              <w:rPr>
                <w:b w:val="1"/>
                <w:bCs w:val="1"/>
                <w:sz w:val="24"/>
                <w:szCs w:val="24"/>
                <w:rtl w:val="0"/>
              </w:rPr>
              <w:t xml:space="preserve">"UK GDPR"</w:t>
            </w:r>
            <w:r w:rsidDel="00000000" w:rsidR="00000000" w:rsidRPr="00000000">
              <w:rPr>
                <w:rtl w:val="0"/>
              </w:rPr>
            </w:r>
          </w:p>
        </w:tc>
        <w:tc>
          <w:tcPr/>
          <w:p w:rsidR="00000000" w:rsidDel="00000000" w:rsidP="00000000" w:rsidRDefault="00000000" w:rsidRPr="00000000" w14:paraId="000002CF">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the assimilated EU law version of the General Data Protection Regulation (Regulation (EU) 2016/679);</w:t>
            </w:r>
          </w:p>
        </w:tc>
      </w:tr>
      <w:tr>
        <w:trPr>
          <w:cantSplit w:val="0"/>
          <w:tblHeader w:val="0"/>
        </w:trPr>
        <w:tc>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“US Data Privacy Framework”</w:t>
            </w:r>
          </w:p>
        </w:tc>
        <w:tc>
          <w:tcPr/>
          <w:p w:rsidR="00000000" w:rsidDel="00000000" w:rsidP="00000000" w:rsidRDefault="00000000" w:rsidRPr="00000000" w14:paraId="000002D1">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as applicable: (a) the UK Extension to the EU-US Data Privacy Framework; and/or (b) the EU-US Data Privacy Framework;</w:t>
            </w:r>
          </w:p>
        </w:tc>
      </w:tr>
      <w:tr>
        <w:trPr>
          <w:cantSplit w:val="0"/>
          <w:tblHeader w:val="0"/>
        </w:trPr>
        <w:tc>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"Variation"</w:t>
            </w:r>
          </w:p>
        </w:tc>
        <w:tc>
          <w:tcPr/>
          <w:p w:rsidR="00000000" w:rsidDel="00000000" w:rsidP="00000000" w:rsidRDefault="00000000" w:rsidRPr="00000000" w14:paraId="000002D3">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any change to a Contract;</w:t>
            </w:r>
          </w:p>
        </w:tc>
      </w:tr>
      <w:tr>
        <w:trPr>
          <w:cantSplit w:val="0"/>
          <w:tblHeader w:val="0"/>
        </w:trPr>
        <w:tc>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"Variation Form"</w:t>
            </w:r>
          </w:p>
        </w:tc>
        <w:tc>
          <w:tcPr/>
          <w:p w:rsidR="00000000" w:rsidDel="00000000" w:rsidP="00000000" w:rsidRDefault="00000000" w:rsidRPr="00000000" w14:paraId="000002D5">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the form set out in Joint Schedule 2 </w:t>
            </w:r>
            <w:r w:rsidDel="00000000" w:rsidR="00000000" w:rsidRPr="00000000">
              <w:rPr>
                <w:i w:val="1"/>
                <w:iCs w:val="1"/>
                <w:color w:val="000000"/>
                <w:sz w:val="24"/>
                <w:szCs w:val="24"/>
                <w:rtl w:val="0"/>
              </w:rPr>
              <w:t xml:space="preserve">(Variation Form)</w:t>
            </w:r>
            <w:r w:rsidDel="00000000" w:rsidR="00000000" w:rsidRPr="00000000">
              <w:rPr>
                <w:color w:val="000000"/>
                <w:sz w:val="24"/>
                <w:szCs w:val="24"/>
                <w:rtl w:val="0"/>
              </w:rPr>
              <w:t xml:space="preserve">;</w:t>
            </w:r>
          </w:p>
        </w:tc>
      </w:tr>
      <w:tr>
        <w:trPr>
          <w:cantSplit w:val="0"/>
          <w:tblHeader w:val="0"/>
        </w:trPr>
        <w:tc>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"Variation Procedure"</w:t>
            </w:r>
          </w:p>
        </w:tc>
        <w:tc>
          <w:tcPr/>
          <w:p w:rsidR="00000000" w:rsidDel="00000000" w:rsidP="00000000" w:rsidRDefault="00000000" w:rsidRPr="00000000" w14:paraId="000002D7">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the procedure set out in Clause 27 </w:t>
            </w:r>
            <w:r w:rsidDel="00000000" w:rsidR="00000000" w:rsidRPr="00000000">
              <w:rPr>
                <w:i w:val="1"/>
                <w:iCs w:val="1"/>
                <w:color w:val="000000"/>
                <w:sz w:val="24"/>
                <w:szCs w:val="24"/>
                <w:rtl w:val="0"/>
              </w:rPr>
              <w:t xml:space="preserve">(Changing the contract) </w:t>
            </w:r>
            <w:r w:rsidDel="00000000" w:rsidR="00000000" w:rsidRPr="00000000">
              <w:rPr>
                <w:color w:val="000000"/>
                <w:sz w:val="24"/>
                <w:szCs w:val="24"/>
                <w:rtl w:val="0"/>
              </w:rPr>
              <w:t xml:space="preserve">of the General Terms;</w:t>
            </w:r>
          </w:p>
        </w:tc>
      </w:tr>
      <w:tr>
        <w:trPr>
          <w:cantSplit w:val="0"/>
          <w:tblHeader w:val="0"/>
        </w:trPr>
        <w:tc>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"VAT"</w:t>
            </w:r>
          </w:p>
        </w:tc>
        <w:tc>
          <w:tcPr/>
          <w:p w:rsidR="00000000" w:rsidDel="00000000" w:rsidP="00000000" w:rsidRDefault="00000000" w:rsidRPr="00000000" w14:paraId="000002D9">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value added tax in accordance with the provisions of the Value Added Tax Act 1994;</w:t>
            </w:r>
          </w:p>
        </w:tc>
      </w:tr>
      <w:tr>
        <w:trPr>
          <w:cantSplit w:val="0"/>
          <w:tblHeader w:val="0"/>
        </w:trPr>
        <w:tc>
          <w:tcPr/>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"VCSE"</w:t>
            </w:r>
          </w:p>
        </w:tc>
        <w:tc>
          <w:tcPr/>
          <w:p w:rsidR="00000000" w:rsidDel="00000000" w:rsidP="00000000" w:rsidRDefault="00000000" w:rsidRPr="00000000" w14:paraId="000002DB">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a non-governmental organisation that is value-driven and which principally reinvests its surpluses to further social, environmental or cultural objectives;</w:t>
            </w:r>
          </w:p>
        </w:tc>
      </w:tr>
      <w:tr>
        <w:trPr>
          <w:cantSplit w:val="0"/>
          <w:tblHeader w:val="0"/>
        </w:trPr>
        <w:tc>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"Worker"</w:t>
            </w:r>
          </w:p>
        </w:tc>
        <w:tc>
          <w:tcPr/>
          <w:p w:rsidR="00000000" w:rsidDel="00000000" w:rsidP="00000000" w:rsidRDefault="00000000" w:rsidRPr="00000000" w14:paraId="000002DD">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any individual that personally performs, or is under an obligation personally to perform services for the Buyer;</w:t>
            </w:r>
          </w:p>
        </w:tc>
      </w:tr>
      <w:tr>
        <w:trPr>
          <w:cantSplit w:val="0"/>
          <w:tblHeader w:val="0"/>
        </w:trPr>
        <w:tc>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"Working Day"</w:t>
            </w:r>
          </w:p>
        </w:tc>
        <w:tc>
          <w:tcPr/>
          <w:p w:rsidR="00000000" w:rsidDel="00000000" w:rsidP="00000000" w:rsidRDefault="00000000" w:rsidRPr="00000000" w14:paraId="000002DF">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any day other than a Saturday or Sunday or public holiday in England and Wales unless specified otherwise by the Parties in the Order Form;</w:t>
            </w:r>
          </w:p>
        </w:tc>
      </w:tr>
      <w:tr>
        <w:trPr>
          <w:cantSplit w:val="0"/>
          <w:tblHeader w:val="0"/>
        </w:trPr>
        <w:tc>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"Work Day"</w:t>
            </w:r>
          </w:p>
        </w:tc>
        <w:tc>
          <w:tcPr/>
          <w:p w:rsidR="00000000" w:rsidDel="00000000" w:rsidP="00000000" w:rsidRDefault="00000000" w:rsidRPr="00000000" w14:paraId="000002E1">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7.5 Work Hours, whether or not such hours are worked consecutively and whether or not they are worked on the same day; and</w:t>
            </w:r>
          </w:p>
        </w:tc>
      </w:tr>
      <w:tr>
        <w:trPr>
          <w:cantSplit w:val="0"/>
          <w:tblHeader w:val="0"/>
        </w:trPr>
        <w:tc>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"Work Hours"</w:t>
            </w:r>
          </w:p>
        </w:tc>
        <w:tc>
          <w:tcPr/>
          <w:p w:rsidR="00000000" w:rsidDel="00000000" w:rsidP="00000000" w:rsidRDefault="00000000" w:rsidRPr="00000000" w14:paraId="000002E3">
            <w:pPr>
              <w:keepNext w:val="1"/>
              <w:pBdr>
                <w:top w:space="0" w:sz="0" w:val="nil"/>
                <w:left w:space="0" w:sz="0" w:val="nil"/>
                <w:bottom w:space="0" w:sz="0" w:val="nil"/>
                <w:right w:space="0" w:sz="0" w:val="nil"/>
                <w:between w:space="0" w:sz="0" w:val="nil"/>
              </w:pBdr>
              <w:spacing w:after="120" w:before="120" w:line="276" w:lineRule="auto"/>
              <w:ind w:left="170" w:firstLine="0"/>
              <w:rPr>
                <w:color w:val="000000"/>
                <w:sz w:val="24"/>
                <w:szCs w:val="24"/>
              </w:rPr>
            </w:pPr>
            <w:r w:rsidDel="00000000" w:rsidR="00000000" w:rsidRPr="00000000">
              <w:rPr>
                <w:color w:val="000000"/>
                <w:sz w:val="24"/>
                <w:szCs w:val="24"/>
                <w:rtl w:val="0"/>
              </w:rPr>
              <w:t xml:space="preserve">the hours spent by the Supplier Staff properly working on the provision of the Deliverables including time spent travelling (other than to and from the Supplier's offices, or to and from the Sites) but excluding lunch breaks.</w:t>
            </w:r>
          </w:p>
        </w:tc>
      </w:tr>
    </w:tbl>
    <w:p w:rsidR="00000000" w:rsidDel="00000000" w:rsidP="00000000" w:rsidRDefault="00000000" w:rsidRPr="00000000" w14:paraId="000002E4">
      <w:pPr>
        <w:spacing w:after="120" w:before="120" w:line="240" w:lineRule="auto"/>
        <w:rPr/>
      </w:pPr>
      <w:bookmarkStart w:colFirst="0" w:colLast="0" w:name="_heading=h.gjdgxs" w:id="3"/>
      <w:bookmarkEnd w:id="3"/>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B">
    <w:pP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2EC">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2E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v1.1</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E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026"/>
      </w:tabs>
      <w:spacing w:after="0" w:line="240" w:lineRule="auto"/>
      <w:rPr>
        <w:color w:val="bfbfbf"/>
        <w:sz w:val="20"/>
        <w:szCs w:val="20"/>
      </w:rPr>
    </w:pPr>
    <w:r w:rsidDel="00000000" w:rsidR="00000000" w:rsidRPr="00000000">
      <w:rPr>
        <w:sz w:val="20"/>
        <w:szCs w:val="20"/>
        <w:rtl w:val="0"/>
      </w:rPr>
      <w:t xml:space="preserve">Model Version: v1.1 PA</w:t>
      <w:tab/>
    </w:r>
    <w:r w:rsidDel="00000000" w:rsidR="00000000" w:rsidRPr="00000000">
      <w:rPr>
        <w:color w:val="bfbfbf"/>
        <w:sz w:val="20"/>
        <w:szCs w:val="20"/>
        <w:rtl w:val="0"/>
      </w:rPr>
      <w:tab/>
      <w:tab/>
      <w:tab/>
      <w:tab/>
      <w:tab/>
      <w:tab/>
      <w:tab/>
      <w:tab/>
      <w:tab/>
      <w:tab/>
    </w:r>
  </w:p>
  <w:p w:rsidR="00000000" w:rsidDel="00000000" w:rsidP="00000000" w:rsidRDefault="00000000" w:rsidRPr="00000000" w14:paraId="000002E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026"/>
      </w:tabs>
      <w:spacing w:after="0" w:line="240" w:lineRule="auto"/>
      <w:jc w:val="right"/>
      <w:rPr>
        <w:sz w:val="14"/>
        <w:szCs w:val="1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0">
    <w:pPr>
      <w:tabs>
        <w:tab w:val="center" w:leader="none" w:pos="4513"/>
        <w:tab w:val="right" w:leader="none" w:pos="9026"/>
      </w:tabs>
      <w:spacing w:after="0" w:lineRule="auto"/>
      <w:rPr>
        <w:color w:val="bfbfbf"/>
        <w:sz w:val="20"/>
        <w:szCs w:val="20"/>
      </w:rPr>
    </w:pPr>
    <w:r w:rsidDel="00000000" w:rsidR="00000000" w:rsidRPr="00000000">
      <w:rPr>
        <w:color w:val="bfbfbf"/>
        <w:sz w:val="20"/>
        <w:szCs w:val="20"/>
        <w:rtl w:val="0"/>
      </w:rPr>
      <w:t xml:space="preserve">Framework Ref: RM</w:t>
      <w:tab/>
      <w:t xml:space="preserve">                                           </w:t>
    </w:r>
  </w:p>
  <w:p w:rsidR="00000000" w:rsidDel="00000000" w:rsidP="00000000" w:rsidRDefault="00000000" w:rsidRPr="00000000" w14:paraId="000002F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color w:val="bfbfbf"/>
        <w:sz w:val="20"/>
        <w:szCs w:val="20"/>
        <w:rtl w:val="0"/>
      </w:rPr>
      <w:t xml:space="preserve">Project Version: v1.0</w:t>
      <w:tab/>
      <w:tab/>
      <w:t xml:space="preserve"> </w:t>
    </w:r>
    <w:r w:rsidDel="00000000" w:rsidR="00000000" w:rsidRPr="00000000">
      <w:rPr>
        <w:color w:val="bfbfbf"/>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F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026"/>
      </w:tabs>
      <w:spacing w:after="0" w:lineRule="auto"/>
      <w:rPr>
        <w:sz w:val="20"/>
        <w:szCs w:val="20"/>
      </w:rPr>
    </w:pPr>
    <w:r w:rsidDel="00000000" w:rsidR="00000000" w:rsidRPr="00000000">
      <w:rPr>
        <w:color w:val="bfbfbf"/>
        <w:sz w:val="20"/>
        <w:szCs w:val="20"/>
        <w:rtl w:val="0"/>
      </w:rPr>
      <w:t xml:space="preserve">Model Version: v3.0</w:t>
      <w:tab/>
      <w:tab/>
      <w:tab/>
      <w:tab/>
      <w:tab/>
      <w:tab/>
      <w:tab/>
      <w:tab/>
      <w:tab/>
    </w:r>
    <w:r w:rsidDel="00000000" w:rsidR="00000000" w:rsidRPr="00000000">
      <w:rPr>
        <w:sz w:val="20"/>
        <w:szCs w:val="20"/>
        <w:rtl w:val="0"/>
      </w:rPr>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Joint Schedule 1 (Definitions) </w:t>
    </w:r>
  </w:p>
  <w:p w:rsidR="00000000" w:rsidDel="00000000" w:rsidP="00000000" w:rsidRDefault="00000000" w:rsidRPr="00000000" w14:paraId="000002E7">
    <w:pPr>
      <w:pBdr>
        <w:top w:space="0" w:sz="0" w:val="nil"/>
        <w:left w:space="0" w:sz="0" w:val="nil"/>
        <w:bottom w:space="0" w:sz="0" w:val="nil"/>
        <w:right w:space="0" w:sz="0" w:val="nil"/>
        <w:between w:space="0" w:sz="0" w:val="nil"/>
      </w:pBdr>
      <w:tabs>
        <w:tab w:val="center" w:leader="none" w:pos="4513"/>
        <w:tab w:val="right" w:leader="none" w:pos="9026"/>
        <w:tab w:val="left" w:leader="none" w:pos="3800"/>
      </w:tabs>
      <w:spacing w:after="0" w:line="240" w:lineRule="auto"/>
      <w:rPr>
        <w:color w:val="bfbfbf"/>
        <w:sz w:val="20"/>
        <w:szCs w:val="20"/>
      </w:rPr>
    </w:pPr>
    <w:r w:rsidDel="00000000" w:rsidR="00000000" w:rsidRPr="00000000">
      <w:rPr>
        <w:sz w:val="22"/>
        <w:szCs w:val="22"/>
        <w:rtl w:val="0"/>
      </w:rPr>
      <w:t xml:space="preserve">Crown Copyright 2025</w:t>
    </w:r>
    <w:r w:rsidDel="00000000" w:rsidR="00000000" w:rsidRPr="00000000">
      <w:rPr>
        <w:color w:val="bfbfbf"/>
        <w:sz w:val="20"/>
        <w:szCs w:val="20"/>
        <w:rtl w:val="0"/>
      </w:rPr>
      <w:tab/>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color w:val="bfbfbf"/>
        <w:sz w:val="20"/>
        <w:szCs w:val="20"/>
      </w:rPr>
    </w:pPr>
    <w:r w:rsidDel="00000000" w:rsidR="00000000" w:rsidRPr="00000000">
      <w:rPr>
        <w:b w:val="1"/>
        <w:bCs w:val="1"/>
        <w:color w:val="bfbfbf"/>
        <w:sz w:val="20"/>
        <w:szCs w:val="20"/>
        <w:rtl w:val="0"/>
      </w:rPr>
      <w:t xml:space="preserve">Joint Schedule 1 (Definitions) </w:t>
    </w:r>
  </w:p>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color w:val="bfbfbf"/>
        <w:sz w:val="20"/>
        <w:szCs w:val="20"/>
        <w:rtl w:val="0"/>
      </w:rPr>
      <w:t xml:space="preserve">Crown Copyright 2018</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432" w:hanging="262"/>
      </w:pPr>
      <w:rPr>
        <w:sz w:val="24"/>
        <w:szCs w:val="24"/>
      </w:rPr>
    </w:lvl>
    <w:lvl w:ilvl="1">
      <w:start w:val="1"/>
      <w:numFmt w:val="lowerLetter"/>
      <w:lvlText w:val="%2)"/>
      <w:lvlJc w:val="left"/>
      <w:pPr>
        <w:ind w:left="890" w:hanging="360"/>
      </w:pPr>
      <w:rPr>
        <w:rFonts w:ascii="Calibri" w:cs="Calibri" w:eastAsia="Calibri" w:hAnsi="Calibri"/>
        <w:b w:val="0"/>
        <w:bCs w:val="0"/>
        <w:i w:val="0"/>
        <w:iCs w:val="0"/>
        <w:smallCaps w:val="0"/>
        <w:strike w:val="0"/>
        <w:color w:val="000000"/>
        <w:u w:val="none"/>
        <w:vertAlign w:val="baseline"/>
      </w:rPr>
    </w:lvl>
    <w:lvl w:ilvl="2">
      <w:start w:val="1"/>
      <w:numFmt w:val="lowerRoman"/>
      <w:lvlText w:val="%3)"/>
      <w:lvlJc w:val="left"/>
      <w:pPr>
        <w:ind w:left="1250" w:hanging="360"/>
      </w:pPr>
      <w:rPr>
        <w:rFonts w:ascii="Arial" w:cs="Arial" w:eastAsia="Arial" w:hAnsi="Arial"/>
        <w:sz w:val="22"/>
        <w:szCs w:val="22"/>
      </w:rPr>
    </w:lvl>
    <w:lvl w:ilvl="3">
      <w:start w:val="1"/>
      <w:numFmt w:val="decimal"/>
      <w:lvlText w:val="(%4)"/>
      <w:lvlJc w:val="left"/>
      <w:pPr>
        <w:ind w:left="1610" w:hanging="360"/>
      </w:pPr>
      <w:rPr/>
    </w:lvl>
    <w:lvl w:ilvl="4">
      <w:start w:val="1"/>
      <w:numFmt w:val="lowerLetter"/>
      <w:lvlText w:val="(%5)"/>
      <w:lvlJc w:val="left"/>
      <w:pPr>
        <w:ind w:left="1970" w:hanging="360"/>
      </w:pPr>
      <w:rPr/>
    </w:lvl>
    <w:lvl w:ilvl="5">
      <w:start w:val="1"/>
      <w:numFmt w:val="lowerRoman"/>
      <w:lvlText w:val="(%6)"/>
      <w:lvlJc w:val="left"/>
      <w:pPr>
        <w:ind w:left="2330" w:hanging="360"/>
      </w:pPr>
      <w:rPr/>
    </w:lvl>
    <w:lvl w:ilvl="6">
      <w:start w:val="1"/>
      <w:numFmt w:val="decimal"/>
      <w:lvlText w:val="%7."/>
      <w:lvlJc w:val="left"/>
      <w:pPr>
        <w:ind w:left="2690" w:hanging="360"/>
      </w:pPr>
      <w:rPr/>
    </w:lvl>
    <w:lvl w:ilvl="7">
      <w:start w:val="1"/>
      <w:numFmt w:val="lowerLetter"/>
      <w:lvlText w:val="%8."/>
      <w:lvlJc w:val="left"/>
      <w:pPr>
        <w:ind w:left="3050" w:hanging="360"/>
      </w:pPr>
      <w:rPr/>
    </w:lvl>
    <w:lvl w:ilvl="8">
      <w:start w:val="1"/>
      <w:numFmt w:val="lowerRoman"/>
      <w:lvlText w:val="%9."/>
      <w:lvlJc w:val="left"/>
      <w:pPr>
        <w:ind w:left="3410" w:hanging="360"/>
      </w:pPr>
      <w:rPr/>
    </w:lvl>
  </w:abstractNum>
  <w:abstractNum w:abstractNumId="2">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sz w:val="24"/>
        <w:szCs w:val="24"/>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rFonts w:ascii="Arial" w:cs="Arial" w:eastAsia="Arial" w:hAnsi="Arial"/>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8">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9">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0">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1">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rFonts w:ascii="Arial" w:cs="Arial" w:eastAsia="Arial" w:hAnsi="Arial"/>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2">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3">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4">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5">
    <w:lvl w:ilvl="0">
      <w:start w:val="1"/>
      <w:numFmt w:val="lowerLetter"/>
      <w:lvlText w:val="%1)"/>
      <w:lvlJc w:val="left"/>
      <w:pPr>
        <w:ind w:left="955" w:hanging="360"/>
      </w:pPr>
      <w:rPr/>
    </w:lvl>
    <w:lvl w:ilvl="1">
      <w:start w:val="1"/>
      <w:numFmt w:val="lowerLetter"/>
      <w:lvlText w:val="%2."/>
      <w:lvlJc w:val="left"/>
      <w:pPr>
        <w:ind w:left="1675" w:hanging="360"/>
      </w:pPr>
      <w:rPr/>
    </w:lvl>
    <w:lvl w:ilvl="2">
      <w:start w:val="1"/>
      <w:numFmt w:val="lowerRoman"/>
      <w:lvlText w:val="%3."/>
      <w:lvlJc w:val="right"/>
      <w:pPr>
        <w:ind w:left="2395" w:hanging="180"/>
      </w:pPr>
      <w:rPr/>
    </w:lvl>
    <w:lvl w:ilvl="3">
      <w:start w:val="1"/>
      <w:numFmt w:val="decimal"/>
      <w:lvlText w:val="%4."/>
      <w:lvlJc w:val="left"/>
      <w:pPr>
        <w:ind w:left="3115" w:hanging="360"/>
      </w:pPr>
      <w:rPr/>
    </w:lvl>
    <w:lvl w:ilvl="4">
      <w:start w:val="1"/>
      <w:numFmt w:val="lowerLetter"/>
      <w:lvlText w:val="%5."/>
      <w:lvlJc w:val="left"/>
      <w:pPr>
        <w:ind w:left="3835" w:hanging="360"/>
      </w:pPr>
      <w:rPr/>
    </w:lvl>
    <w:lvl w:ilvl="5">
      <w:start w:val="1"/>
      <w:numFmt w:val="lowerRoman"/>
      <w:lvlText w:val="%6."/>
      <w:lvlJc w:val="right"/>
      <w:pPr>
        <w:ind w:left="4555" w:hanging="180"/>
      </w:pPr>
      <w:rPr/>
    </w:lvl>
    <w:lvl w:ilvl="6">
      <w:start w:val="1"/>
      <w:numFmt w:val="decimal"/>
      <w:lvlText w:val="%7."/>
      <w:lvlJc w:val="left"/>
      <w:pPr>
        <w:ind w:left="5275" w:hanging="360"/>
      </w:pPr>
      <w:rPr/>
    </w:lvl>
    <w:lvl w:ilvl="7">
      <w:start w:val="1"/>
      <w:numFmt w:val="lowerLetter"/>
      <w:lvlText w:val="%8."/>
      <w:lvlJc w:val="left"/>
      <w:pPr>
        <w:ind w:left="5995" w:hanging="360"/>
      </w:pPr>
      <w:rPr/>
    </w:lvl>
    <w:lvl w:ilvl="8">
      <w:start w:val="1"/>
      <w:numFmt w:val="lowerRoman"/>
      <w:lvlText w:val="%9."/>
      <w:lvlJc w:val="right"/>
      <w:pPr>
        <w:ind w:left="6715" w:hanging="180"/>
      </w:pPr>
      <w:rPr/>
    </w:lvl>
  </w:abstractNum>
  <w:abstractNum w:abstractNumId="16">
    <w:lvl w:ilvl="0">
      <w:start w:val="1"/>
      <w:numFmt w:val="lowerLetter"/>
      <w:lvlText w:val="%1)"/>
      <w:lvlJc w:val="left"/>
      <w:pPr>
        <w:ind w:left="170" w:hanging="170"/>
      </w:pPr>
      <w:rPr>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7">
    <w:lvl w:ilvl="0">
      <w:start w:val="1"/>
      <w:numFmt w:val="decimal"/>
      <w:lvlText w:val="%1"/>
      <w:lvlJc w:val="left"/>
      <w:pPr>
        <w:ind w:left="170" w:hanging="170"/>
      </w:pPr>
      <w:rPr>
        <w:rFonts w:ascii="Arial" w:cs="Arial" w:eastAsia="Arial" w:hAnsi="Arial"/>
        <w:sz w:val="22"/>
        <w:szCs w:val="22"/>
      </w:rPr>
    </w:lvl>
    <w:lvl w:ilvl="1">
      <w:start w:val="2"/>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rFonts w:ascii="Arial" w:cs="Arial" w:eastAsia="Arial" w:hAnsi="Arial"/>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8">
    <w:lvl w:ilvl="0">
      <w:start w:val="1"/>
      <w:numFmt w:val="lowerLetter"/>
      <w:lvlText w:val="%1)"/>
      <w:lvlJc w:val="left"/>
      <w:pPr>
        <w:ind w:left="955" w:hanging="360"/>
      </w:pPr>
      <w:rPr/>
    </w:lvl>
    <w:lvl w:ilvl="1">
      <w:start w:val="1"/>
      <w:numFmt w:val="lowerLetter"/>
      <w:lvlText w:val="%2."/>
      <w:lvlJc w:val="left"/>
      <w:pPr>
        <w:ind w:left="1675" w:hanging="360"/>
      </w:pPr>
      <w:rPr/>
    </w:lvl>
    <w:lvl w:ilvl="2">
      <w:start w:val="1"/>
      <w:numFmt w:val="lowerRoman"/>
      <w:lvlText w:val="%3."/>
      <w:lvlJc w:val="right"/>
      <w:pPr>
        <w:ind w:left="2395" w:hanging="180"/>
      </w:pPr>
      <w:rPr/>
    </w:lvl>
    <w:lvl w:ilvl="3">
      <w:start w:val="1"/>
      <w:numFmt w:val="decimal"/>
      <w:lvlText w:val="%4."/>
      <w:lvlJc w:val="left"/>
      <w:pPr>
        <w:ind w:left="3115" w:hanging="360"/>
      </w:pPr>
      <w:rPr/>
    </w:lvl>
    <w:lvl w:ilvl="4">
      <w:start w:val="1"/>
      <w:numFmt w:val="lowerLetter"/>
      <w:lvlText w:val="%5."/>
      <w:lvlJc w:val="left"/>
      <w:pPr>
        <w:ind w:left="3835" w:hanging="360"/>
      </w:pPr>
      <w:rPr/>
    </w:lvl>
    <w:lvl w:ilvl="5">
      <w:start w:val="1"/>
      <w:numFmt w:val="lowerRoman"/>
      <w:lvlText w:val="%6."/>
      <w:lvlJc w:val="right"/>
      <w:pPr>
        <w:ind w:left="4555" w:hanging="180"/>
      </w:pPr>
      <w:rPr/>
    </w:lvl>
    <w:lvl w:ilvl="6">
      <w:start w:val="1"/>
      <w:numFmt w:val="decimal"/>
      <w:lvlText w:val="%7."/>
      <w:lvlJc w:val="left"/>
      <w:pPr>
        <w:ind w:left="5275" w:hanging="360"/>
      </w:pPr>
      <w:rPr/>
    </w:lvl>
    <w:lvl w:ilvl="7">
      <w:start w:val="1"/>
      <w:numFmt w:val="lowerLetter"/>
      <w:lvlText w:val="%8."/>
      <w:lvlJc w:val="left"/>
      <w:pPr>
        <w:ind w:left="5995" w:hanging="360"/>
      </w:pPr>
      <w:rPr/>
    </w:lvl>
    <w:lvl w:ilvl="8">
      <w:start w:val="1"/>
      <w:numFmt w:val="lowerRoman"/>
      <w:lvlText w:val="%9."/>
      <w:lvlJc w:val="right"/>
      <w:pPr>
        <w:ind w:left="6715" w:hanging="180"/>
      </w:pPr>
      <w:rPr/>
    </w:lvl>
  </w:abstractNum>
  <w:abstractNum w:abstractNumId="19">
    <w:lvl w:ilvl="0">
      <w:start w:val="1"/>
      <w:numFmt w:val="lowerLetter"/>
      <w:lvlText w:val="%1)"/>
      <w:lvlJc w:val="left"/>
      <w:pPr>
        <w:ind w:left="890" w:hanging="360"/>
      </w:pPr>
      <w:rPr/>
    </w:lvl>
    <w:lvl w:ilvl="1">
      <w:start w:val="1"/>
      <w:numFmt w:val="lowerLetter"/>
      <w:lvlText w:val="%2."/>
      <w:lvlJc w:val="left"/>
      <w:pPr>
        <w:ind w:left="1610" w:hanging="360"/>
      </w:pPr>
      <w:rPr/>
    </w:lvl>
    <w:lvl w:ilvl="2">
      <w:start w:val="1"/>
      <w:numFmt w:val="lowerRoman"/>
      <w:lvlText w:val="%3."/>
      <w:lvlJc w:val="right"/>
      <w:pPr>
        <w:ind w:left="2330" w:hanging="180"/>
      </w:pPr>
      <w:rPr/>
    </w:lvl>
    <w:lvl w:ilvl="3">
      <w:start w:val="1"/>
      <w:numFmt w:val="decimal"/>
      <w:lvlText w:val="%4."/>
      <w:lvlJc w:val="left"/>
      <w:pPr>
        <w:ind w:left="3050" w:hanging="360"/>
      </w:pPr>
      <w:rPr/>
    </w:lvl>
    <w:lvl w:ilvl="4">
      <w:start w:val="1"/>
      <w:numFmt w:val="lowerLetter"/>
      <w:lvlText w:val="%5."/>
      <w:lvlJc w:val="left"/>
      <w:pPr>
        <w:ind w:left="3770" w:hanging="360"/>
      </w:pPr>
      <w:rPr/>
    </w:lvl>
    <w:lvl w:ilvl="5">
      <w:start w:val="1"/>
      <w:numFmt w:val="lowerRoman"/>
      <w:lvlText w:val="%6."/>
      <w:lvlJc w:val="right"/>
      <w:pPr>
        <w:ind w:left="4490" w:hanging="180"/>
      </w:pPr>
      <w:rPr/>
    </w:lvl>
    <w:lvl w:ilvl="6">
      <w:start w:val="1"/>
      <w:numFmt w:val="decimal"/>
      <w:lvlText w:val="%7."/>
      <w:lvlJc w:val="left"/>
      <w:pPr>
        <w:ind w:left="5210" w:hanging="360"/>
      </w:pPr>
      <w:rPr/>
    </w:lvl>
    <w:lvl w:ilvl="7">
      <w:start w:val="1"/>
      <w:numFmt w:val="lowerLetter"/>
      <w:lvlText w:val="%8."/>
      <w:lvlJc w:val="left"/>
      <w:pPr>
        <w:ind w:left="5930" w:hanging="360"/>
      </w:pPr>
      <w:rPr/>
    </w:lvl>
    <w:lvl w:ilvl="8">
      <w:start w:val="1"/>
      <w:numFmt w:val="lowerRoman"/>
      <w:lvlText w:val="%9."/>
      <w:lvlJc w:val="right"/>
      <w:pPr>
        <w:ind w:left="6650" w:hanging="180"/>
      </w:pPr>
      <w:rPr/>
    </w:lvl>
  </w:abstractNum>
  <w:abstractNum w:abstractNumId="20">
    <w:lvl w:ilvl="0">
      <w:start w:val="1"/>
      <w:numFmt w:val="lowerLetter"/>
      <w:lvlText w:val="%1)"/>
      <w:lvlJc w:val="left"/>
      <w:pPr>
        <w:ind w:left="890" w:hanging="360"/>
      </w:pPr>
      <w:rPr/>
    </w:lvl>
    <w:lvl w:ilvl="1">
      <w:start w:val="1"/>
      <w:numFmt w:val="lowerRoman"/>
      <w:lvlText w:val="%2)"/>
      <w:lvlJc w:val="left"/>
      <w:pPr>
        <w:ind w:left="1610" w:hanging="360"/>
      </w:pPr>
      <w:rPr/>
    </w:lvl>
    <w:lvl w:ilvl="2">
      <w:start w:val="1"/>
      <w:numFmt w:val="lowerRoman"/>
      <w:lvlText w:val="%3."/>
      <w:lvlJc w:val="right"/>
      <w:pPr>
        <w:ind w:left="2330" w:hanging="180"/>
      </w:pPr>
      <w:rPr/>
    </w:lvl>
    <w:lvl w:ilvl="3">
      <w:start w:val="1"/>
      <w:numFmt w:val="decimal"/>
      <w:lvlText w:val="%4."/>
      <w:lvlJc w:val="left"/>
      <w:pPr>
        <w:ind w:left="3050" w:hanging="360"/>
      </w:pPr>
      <w:rPr/>
    </w:lvl>
    <w:lvl w:ilvl="4">
      <w:start w:val="1"/>
      <w:numFmt w:val="lowerLetter"/>
      <w:lvlText w:val="%5."/>
      <w:lvlJc w:val="left"/>
      <w:pPr>
        <w:ind w:left="3770" w:hanging="360"/>
      </w:pPr>
      <w:rPr/>
    </w:lvl>
    <w:lvl w:ilvl="5">
      <w:start w:val="1"/>
      <w:numFmt w:val="lowerRoman"/>
      <w:lvlText w:val="%6."/>
      <w:lvlJc w:val="right"/>
      <w:pPr>
        <w:ind w:left="4490" w:hanging="180"/>
      </w:pPr>
      <w:rPr/>
    </w:lvl>
    <w:lvl w:ilvl="6">
      <w:start w:val="1"/>
      <w:numFmt w:val="decimal"/>
      <w:lvlText w:val="%7."/>
      <w:lvlJc w:val="left"/>
      <w:pPr>
        <w:ind w:left="5210" w:hanging="360"/>
      </w:pPr>
      <w:rPr/>
    </w:lvl>
    <w:lvl w:ilvl="7">
      <w:start w:val="1"/>
      <w:numFmt w:val="lowerLetter"/>
      <w:lvlText w:val="%8."/>
      <w:lvlJc w:val="left"/>
      <w:pPr>
        <w:ind w:left="5930" w:hanging="360"/>
      </w:pPr>
      <w:rPr/>
    </w:lvl>
    <w:lvl w:ilvl="8">
      <w:start w:val="1"/>
      <w:numFmt w:val="lowerRoman"/>
      <w:lvlText w:val="%9."/>
      <w:lvlJc w:val="right"/>
      <w:pPr>
        <w:ind w:left="6650" w:hanging="180"/>
      </w:pPr>
      <w:rPr/>
    </w:lvl>
  </w:abstractNum>
  <w:abstractNum w:abstractNumId="21">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rFonts w:ascii="Arial" w:cs="Arial" w:eastAsia="Arial" w:hAnsi="Arial"/>
        <w:sz w:val="24"/>
        <w:szCs w:val="24"/>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2">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3">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4">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5">
    <w:lvl w:ilvl="0">
      <w:start w:val="1"/>
      <w:numFmt w:val="decimal"/>
      <w:lvlText w:val="%1."/>
      <w:lvlJc w:val="left"/>
      <w:pPr>
        <w:ind w:left="644" w:hanging="357"/>
      </w:pPr>
      <w:rPr>
        <w:smallCaps w:val="0"/>
        <w:strike w:val="0"/>
        <w:color w:val="000000"/>
        <w:u w:val="none"/>
        <w:vertAlign w:val="baseline"/>
      </w:rPr>
    </w:lvl>
    <w:lvl w:ilvl="1">
      <w:start w:val="1"/>
      <w:numFmt w:val="decimal"/>
      <w:lvlText w:val="%1.%2"/>
      <w:lvlJc w:val="left"/>
      <w:pPr>
        <w:ind w:left="928" w:hanging="36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720" w:hanging="720"/>
      </w:pPr>
      <w:rPr>
        <w:b w:val="0"/>
        <w:bCs w:val="0"/>
        <w:i w:val="0"/>
        <w:iCs w:val="0"/>
        <w:smallCaps w:val="0"/>
        <w:strike w:val="0"/>
        <w:color w:val="000000"/>
        <w:u w:val="none"/>
        <w:vertAlign w:val="baseline"/>
      </w:rPr>
    </w:lvl>
    <w:lvl w:ilvl="3">
      <w:start w:val="1"/>
      <w:numFmt w:val="lowerLetter"/>
      <w:lvlText w:val="(%4)"/>
      <w:lvlJc w:val="left"/>
      <w:pPr>
        <w:ind w:left="3272" w:hanging="720"/>
      </w:pPr>
      <w:rPr>
        <w:rFonts w:ascii="Arial" w:cs="Arial" w:eastAsia="Arial" w:hAnsi="Arial"/>
        <w:b w:val="0"/>
        <w:bCs w:val="0"/>
        <w:i w:val="0"/>
        <w:iCs w:val="0"/>
        <w:smallCaps w:val="0"/>
        <w:strike w:val="0"/>
        <w:color w:val="000000"/>
        <w:u w:val="none"/>
        <w:vertAlign w:val="baseline"/>
      </w:rPr>
    </w:lvl>
    <w:lvl w:ilvl="4">
      <w:start w:val="1"/>
      <w:numFmt w:val="lowerRoman"/>
      <w:lvlText w:val="(%5)"/>
      <w:lvlJc w:val="left"/>
      <w:pPr>
        <w:ind w:left="3349"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6">
    <w:lvl w:ilvl="0">
      <w:start w:val="1"/>
      <w:numFmt w:val="lowerLetter"/>
      <w:lvlText w:val="%1)"/>
      <w:lvlJc w:val="left"/>
      <w:pPr>
        <w:ind w:left="432" w:hanging="262"/>
      </w:pPr>
      <w:rPr>
        <w:sz w:val="24"/>
        <w:szCs w:val="24"/>
      </w:rPr>
    </w:lvl>
    <w:lvl w:ilvl="1">
      <w:start w:val="1"/>
      <w:numFmt w:val="lowerLetter"/>
      <w:lvlText w:val="%2)"/>
      <w:lvlJc w:val="left"/>
      <w:pPr>
        <w:ind w:left="890" w:hanging="360"/>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250" w:hanging="360"/>
      </w:pPr>
      <w:rPr>
        <w:rFonts w:ascii="Arial" w:cs="Arial" w:eastAsia="Arial" w:hAnsi="Arial"/>
        <w:sz w:val="22"/>
        <w:szCs w:val="22"/>
      </w:rPr>
    </w:lvl>
    <w:lvl w:ilvl="3">
      <w:start w:val="1"/>
      <w:numFmt w:val="decimal"/>
      <w:lvlText w:val="(%4)"/>
      <w:lvlJc w:val="left"/>
      <w:pPr>
        <w:ind w:left="1610" w:hanging="360"/>
      </w:pPr>
      <w:rPr/>
    </w:lvl>
    <w:lvl w:ilvl="4">
      <w:start w:val="1"/>
      <w:numFmt w:val="lowerLetter"/>
      <w:lvlText w:val="(%5)"/>
      <w:lvlJc w:val="left"/>
      <w:pPr>
        <w:ind w:left="1970" w:hanging="360"/>
      </w:pPr>
      <w:rPr/>
    </w:lvl>
    <w:lvl w:ilvl="5">
      <w:start w:val="1"/>
      <w:numFmt w:val="lowerRoman"/>
      <w:lvlText w:val="(%6)"/>
      <w:lvlJc w:val="left"/>
      <w:pPr>
        <w:ind w:left="2330" w:hanging="360"/>
      </w:pPr>
      <w:rPr/>
    </w:lvl>
    <w:lvl w:ilvl="6">
      <w:start w:val="1"/>
      <w:numFmt w:val="decimal"/>
      <w:lvlText w:val="%7."/>
      <w:lvlJc w:val="left"/>
      <w:pPr>
        <w:ind w:left="2690" w:hanging="360"/>
      </w:pPr>
      <w:rPr/>
    </w:lvl>
    <w:lvl w:ilvl="7">
      <w:start w:val="1"/>
      <w:numFmt w:val="lowerLetter"/>
      <w:lvlText w:val="%8."/>
      <w:lvlJc w:val="left"/>
      <w:pPr>
        <w:ind w:left="3050" w:hanging="360"/>
      </w:pPr>
      <w:rPr/>
    </w:lvl>
    <w:lvl w:ilvl="8">
      <w:start w:val="1"/>
      <w:numFmt w:val="lowerRoman"/>
      <w:lvlText w:val="%9."/>
      <w:lvlJc w:val="left"/>
      <w:pPr>
        <w:ind w:left="3410" w:hanging="360"/>
      </w:pPr>
      <w:rPr/>
    </w:lvl>
  </w:abstractNum>
  <w:abstractNum w:abstractNumId="27">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8">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432" w:hanging="258"/>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4"/>
        <w:szCs w:val="24"/>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widowControl w:val="0"/>
      <w:spacing w:after="220" w:line="240" w:lineRule="auto"/>
      <w:ind w:left="709" w:hanging="709"/>
      <w:jc w:val="both"/>
    </w:pPr>
    <w:rPr>
      <w:rFonts w:ascii="Trebuchet MS" w:cs="Trebuchet MS" w:eastAsia="Trebuchet MS" w:hAnsi="Trebuchet MS"/>
      <w:sz w:val="20"/>
      <w:szCs w:val="2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paragraph" w:styleId="BodyText1" w:customStyle="1">
    <w:name w:val="Body Text 1"/>
    <w:basedOn w:val="BodyText"/>
    <w:pPr>
      <w:autoSpaceDN w:val="0"/>
      <w:spacing w:after="240" w:line="360" w:lineRule="auto"/>
      <w:ind w:left="851"/>
    </w:pPr>
    <w:rPr>
      <w:rFonts w:cs="Times New Roman" w:eastAsia="Times New Roman"/>
      <w:sz w:val="20"/>
      <w:szCs w:val="20"/>
    </w:rPr>
  </w:style>
  <w:style w:type="paragraph" w:styleId="BodyText">
    <w:name w:val="Body Text"/>
    <w:basedOn w:val="Normal"/>
    <w:link w:val="BodyTextChar"/>
    <w:uiPriority w:val="99"/>
    <w:unhideWhenUsed w:val="1"/>
    <w:pPr>
      <w:spacing w:after="120"/>
    </w:pPr>
  </w:style>
  <w:style w:type="character" w:styleId="BodyTextChar" w:customStyle="1">
    <w:name w:val="Body Text Char"/>
    <w:basedOn w:val="DefaultParagraphFont"/>
    <w:link w:val="BodyText"/>
    <w:uiPriority w:val="99"/>
  </w:style>
  <w:style w:type="paragraph" w:styleId="ListParagraph">
    <w:name w:val="List Paragraph"/>
    <w:basedOn w:val="Normal"/>
    <w:uiPriority w:val="34"/>
    <w:qFormat w:val="1"/>
    <w:pPr>
      <w:suppressAutoHyphens w:val="1"/>
      <w:autoSpaceDN w:val="0"/>
      <w:ind w:left="720"/>
      <w:textAlignment w:val="baseline"/>
    </w:pPr>
    <w:rPr>
      <w:rFonts w:cs="Times New Roman"/>
    </w:rPr>
  </w:style>
  <w:style w:type="character" w:styleId="Emphasis">
    <w:name w:val="Emphasis"/>
    <w:basedOn w:val="DefaultParagraphFont"/>
    <w:rPr>
      <w:i w:val="1"/>
      <w:iCs w:val="1"/>
    </w:rPr>
  </w:style>
  <w:style w:type="paragraph" w:styleId="GPSDefinitionL2" w:customStyle="1">
    <w:name w:val="GPS Definition L2"/>
    <w:basedOn w:val="Normal"/>
    <w:link w:val="GPSDefinitionL2Char"/>
    <w:qFormat w:val="1"/>
    <w:pPr>
      <w:tabs>
        <w:tab w:val="left" w:pos="-576"/>
      </w:tabs>
      <w:overflowPunct w:val="0"/>
      <w:autoSpaceDE w:val="0"/>
      <w:autoSpaceDN w:val="0"/>
      <w:spacing w:after="120" w:line="240" w:lineRule="auto"/>
      <w:ind w:hanging="545"/>
      <w:jc w:val="both"/>
      <w:textAlignment w:val="baseline"/>
    </w:pPr>
    <w:rPr>
      <w:rFonts w:eastAsia="Times New Roman"/>
    </w:rPr>
  </w:style>
  <w:style w:type="paragraph" w:styleId="GPsDefinition" w:customStyle="1">
    <w:name w:val="GPs Definition"/>
    <w:basedOn w:val="Normal"/>
    <w:uiPriority w:val="99"/>
    <w:qFormat w:val="1"/>
    <w:pPr>
      <w:tabs>
        <w:tab w:val="left" w:pos="-179"/>
      </w:tabs>
      <w:overflowPunct w:val="0"/>
      <w:autoSpaceDE w:val="0"/>
      <w:autoSpaceDN w:val="0"/>
      <w:spacing w:after="120" w:line="240" w:lineRule="auto"/>
      <w:jc w:val="both"/>
      <w:textAlignment w:val="baseline"/>
    </w:pPr>
    <w:rPr>
      <w:rFonts w:eastAsia="Times New Roman"/>
    </w:rPr>
  </w:style>
  <w:style w:type="paragraph" w:styleId="GPSDefinitionL3" w:customStyle="1">
    <w:name w:val="GPS Definition L3"/>
    <w:basedOn w:val="GPSDefinitionL2"/>
    <w:link w:val="GPSDefinitionL3Char"/>
    <w:qFormat w:val="1"/>
  </w:style>
  <w:style w:type="paragraph" w:styleId="GPSDefinitionL4" w:customStyle="1">
    <w:name w:val="GPS Definition L4"/>
    <w:basedOn w:val="GPSDefinitionL3"/>
    <w:qFormat w:val="1"/>
    <w:pPr>
      <w:numPr>
        <w:numId w:val="1"/>
      </w:numPr>
      <w:tabs>
        <w:tab w:val="clear" w:pos="-576"/>
        <w:tab w:val="left" w:pos="-2316"/>
        <w:tab w:val="left" w:pos="-2100"/>
      </w:tabs>
    </w:pPr>
  </w:style>
  <w:style w:type="numbering" w:styleId="LFO12" w:customStyle="1">
    <w:name w:val="LFO12"/>
    <w:basedOn w:val="NoList"/>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semiHidden w:val="1"/>
    <w:unhideWhenUsed w:val="1"/>
    <w:rPr>
      <w:b w:val="1"/>
      <w:bCs w:val="1"/>
    </w:rPr>
  </w:style>
  <w:style w:type="character" w:styleId="CommentSubjectChar" w:customStyle="1">
    <w:name w:val="Comment Subject Char"/>
    <w:basedOn w:val="CommentTextChar"/>
    <w:link w:val="CommentSubject"/>
    <w:semiHidden w:val="1"/>
    <w:rPr>
      <w:b w:val="1"/>
      <w:bCs w:val="1"/>
      <w:sz w:val="20"/>
      <w:szCs w:val="20"/>
    </w:rPr>
  </w:style>
  <w:style w:type="paragraph" w:styleId="Revision">
    <w:name w:val="Revision"/>
    <w:hidden w:val="1"/>
    <w:uiPriority w:val="99"/>
    <w:semiHidden w:val="1"/>
    <w:pPr>
      <w:spacing w:after="0" w:line="240" w:lineRule="auto"/>
    </w:p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paragraph" w:styleId="GPSL2GuidanceNumbered" w:customStyle="1">
    <w:name w:val="GPS L2 Guidance Numbered"/>
    <w:basedOn w:val="Normal"/>
    <w:link w:val="GPSL2GuidanceNumberedChar"/>
    <w:qFormat w:val="1"/>
    <w:pPr>
      <w:numPr>
        <w:numId w:val="4"/>
      </w:numPr>
      <w:tabs>
        <w:tab w:val="left" w:pos="1418"/>
      </w:tabs>
      <w:adjustRightInd w:val="0"/>
      <w:spacing w:after="120" w:before="120" w:line="240" w:lineRule="auto"/>
      <w:jc w:val="both"/>
    </w:pPr>
    <w:rPr>
      <w:rFonts w:eastAsia="Times New Roman"/>
      <w:b w:val="1"/>
      <w:i w:val="1"/>
      <w:lang w:eastAsia="zh-CN"/>
    </w:rPr>
  </w:style>
  <w:style w:type="character" w:styleId="GPSL2GuidanceNumberedChar" w:customStyle="1">
    <w:name w:val="GPS L2 Guidance Numbered Char"/>
    <w:link w:val="GPSL2GuidanceNumbered"/>
    <w:rPr>
      <w:rFonts w:ascii="Arial" w:cs="Arial" w:eastAsia="Times New Roman" w:hAnsi="Arial"/>
      <w:b w:val="1"/>
      <w:i w:val="1"/>
      <w:lang w:eastAsia="zh-CN"/>
    </w:rPr>
  </w:style>
  <w:style w:type="paragraph" w:styleId="GPSDefinitionTerm" w:customStyle="1">
    <w:name w:val="GPS Definition Term"/>
    <w:basedOn w:val="Normal"/>
    <w:uiPriority w:val="99"/>
    <w:qFormat w:val="1"/>
    <w:pPr>
      <w:overflowPunct w:val="0"/>
      <w:autoSpaceDE w:val="0"/>
      <w:autoSpaceDN w:val="0"/>
      <w:adjustRightInd w:val="0"/>
      <w:spacing w:after="120" w:line="240" w:lineRule="auto"/>
      <w:ind w:left="-108"/>
      <w:textAlignment w:val="baseline"/>
    </w:pPr>
    <w:rPr>
      <w:rFonts w:eastAsia="Times New Roman"/>
      <w:b w:val="1"/>
    </w:rPr>
  </w:style>
  <w:style w:type="character" w:styleId="GPSDefinitionL2Char" w:customStyle="1">
    <w:name w:val="GPS Definition L2 Char"/>
    <w:link w:val="GPSDefinitionL2"/>
    <w:rPr>
      <w:rFonts w:ascii="Arial" w:cs="Arial" w:eastAsia="Times New Roman" w:hAnsi="Arial"/>
    </w:rPr>
  </w:style>
  <w:style w:type="character" w:styleId="GPSDefinitionL3Char" w:customStyle="1">
    <w:name w:val="GPS Definition L3 Char"/>
    <w:link w:val="GPSDefinitionL3"/>
    <w:rPr>
      <w:rFonts w:ascii="Arial" w:cs="Arial" w:eastAsia="Times New Roman" w:hAnsi="Arial"/>
    </w:rPr>
  </w:style>
  <w:style w:type="character" w:styleId="Heading6Char19" w:customStyle="1">
    <w:name w:val="Heading 6 Char19"/>
    <w:aliases w:val="Heading 6 (Do Not Use) Char19,Heading 6(unused) Char19,Legal Level 1. Char19,L1 PIP Char19,Heading 6  Appendix Y &amp; Z Char19,Lev 6 Char19,H6 DO NOT USE Char19,Bullet list Char19,PA Appendix Char19,H6 Char19,H61 Char19,PR14 Char19"/>
    <w:uiPriority w:val="99"/>
    <w:semiHidden w:val="1"/>
    <w:locked w:val="1"/>
    <w:rPr>
      <w:rFonts w:ascii="Calibri" w:hAnsi="Calibri"/>
      <w:b w:val="1"/>
      <w:lang w:eastAsia="en-GB" w:val="en-GB"/>
    </w:rPr>
  </w:style>
  <w:style w:type="paragraph" w:styleId="GPSL1CLAUSEHEADING" w:customStyle="1">
    <w:name w:val="GPS L1 CLAUSE HEADING"/>
    <w:basedOn w:val="Normal"/>
    <w:next w:val="Normal"/>
    <w:qFormat w:val="1"/>
    <w:pPr>
      <w:numPr>
        <w:numId w:val="6"/>
      </w:numPr>
      <w:tabs>
        <w:tab w:val="left" w:pos="0"/>
      </w:tabs>
      <w:adjustRightInd w:val="0"/>
      <w:spacing w:after="240" w:before="240" w:line="240" w:lineRule="auto"/>
      <w:jc w:val="both"/>
      <w:outlineLvl w:val="1"/>
    </w:pPr>
    <w:rPr>
      <w:rFonts w:ascii="Arial Bold" w:eastAsia="STZhongsong" w:hAnsi="Arial Bold"/>
      <w:b w:val="1"/>
      <w:caps w:val="1"/>
      <w:lang w:eastAsia="zh-CN"/>
    </w:rPr>
  </w:style>
  <w:style w:type="paragraph" w:styleId="GPSL2numberedclause" w:customStyle="1">
    <w:name w:val="GPS L2 numbered clause"/>
    <w:basedOn w:val="Normal"/>
    <w:link w:val="GPSL2numberedclauseChar1"/>
    <w:qFormat w:val="1"/>
    <w:pPr>
      <w:numPr>
        <w:ilvl w:val="1"/>
        <w:numId w:val="6"/>
      </w:numPr>
      <w:tabs>
        <w:tab w:val="left" w:pos="1134"/>
      </w:tabs>
      <w:adjustRightInd w:val="0"/>
      <w:spacing w:after="120" w:before="120" w:line="240" w:lineRule="auto"/>
      <w:jc w:val="both"/>
    </w:pPr>
    <w:rPr>
      <w:rFonts w:eastAsia="Times New Roman"/>
      <w:lang w:eastAsia="zh-CN"/>
    </w:rPr>
  </w:style>
  <w:style w:type="paragraph" w:styleId="GPSL3numberedclause" w:customStyle="1">
    <w:name w:val="GPS L3 numbered clause"/>
    <w:basedOn w:val="GPSL2numberedclause"/>
    <w:link w:val="GPSL3numberedclauseChar"/>
    <w:qFormat w:val="1"/>
    <w:pPr>
      <w:numPr>
        <w:ilvl w:val="2"/>
      </w:numPr>
      <w:tabs>
        <w:tab w:val="clear" w:pos="1134"/>
        <w:tab w:val="left" w:pos="1985"/>
        <w:tab w:val="left" w:pos="2127"/>
      </w:tabs>
    </w:pPr>
  </w:style>
  <w:style w:type="paragraph" w:styleId="GPSL4numberedclause" w:customStyle="1">
    <w:name w:val="GPS L4 numbered clause"/>
    <w:basedOn w:val="GPSL3numberedclause"/>
    <w:link w:val="GPSL4numberedclauseChar"/>
    <w:qFormat w:val="1"/>
    <w:pPr>
      <w:numPr>
        <w:ilvl w:val="3"/>
      </w:numPr>
      <w:tabs>
        <w:tab w:val="clear" w:pos="2127"/>
      </w:tabs>
    </w:pPr>
    <w:rPr>
      <w:szCs w:val="20"/>
    </w:rPr>
  </w:style>
  <w:style w:type="character" w:styleId="GPSL4numberedclauseChar" w:customStyle="1">
    <w:name w:val="GPS L4 numbered clause Char"/>
    <w:link w:val="GPSL4numberedclause"/>
    <w:rPr>
      <w:rFonts w:ascii="Calibri" w:cs="Arial" w:eastAsia="Times New Roman" w:hAnsi="Calibri"/>
      <w:szCs w:val="20"/>
      <w:lang w:eastAsia="zh-CN"/>
    </w:rPr>
  </w:style>
  <w:style w:type="paragraph" w:styleId="GPSL5numberedclause" w:customStyle="1">
    <w:name w:val="GPS L5 numbered clause"/>
    <w:basedOn w:val="GPSL4numberedclause"/>
    <w:link w:val="GPSL5numberedclauseChar"/>
    <w:qFormat w:val="1"/>
    <w:pPr>
      <w:numPr>
        <w:ilvl w:val="4"/>
      </w:numPr>
      <w:tabs>
        <w:tab w:val="left" w:pos="3402"/>
      </w:tabs>
    </w:pPr>
  </w:style>
  <w:style w:type="paragraph" w:styleId="GPSL6numbered" w:customStyle="1">
    <w:name w:val="GPS L6 numbered"/>
    <w:basedOn w:val="GPSL5numberedclause"/>
    <w:qFormat w:val="1"/>
    <w:pPr>
      <w:numPr>
        <w:ilvl w:val="5"/>
      </w:numPr>
      <w:tabs>
        <w:tab w:val="left" w:pos="4253"/>
      </w:tabs>
      <w:ind w:left="4253" w:hanging="709"/>
    </w:pPr>
  </w:style>
  <w:style w:type="character" w:styleId="GPSL3numberedclauseChar" w:customStyle="1">
    <w:name w:val="GPS L3 numbered clause Char"/>
    <w:link w:val="GPSL3numberedclause"/>
    <w:rPr>
      <w:rFonts w:ascii="Calibri" w:cs="Arial" w:eastAsia="Times New Roman" w:hAnsi="Calibri"/>
      <w:lang w:eastAsia="zh-CN"/>
    </w:rPr>
  </w:style>
  <w:style w:type="paragraph" w:styleId="ORDERFORML1PraraNo" w:customStyle="1">
    <w:name w:val="ORDER FORM L1 Prara No"/>
    <w:basedOn w:val="Normal"/>
    <w:qFormat w:val="1"/>
    <w:pPr>
      <w:numPr>
        <w:numId w:val="7"/>
      </w:numPr>
      <w:adjustRightInd w:val="0"/>
      <w:spacing w:after="0" w:line="240" w:lineRule="auto"/>
      <w:ind w:left="426" w:hanging="426"/>
      <w:jc w:val="both"/>
    </w:pPr>
    <w:rPr>
      <w:rFonts w:cs="Times New Roman" w:eastAsia="STZhongsong"/>
      <w:b w:val="1"/>
      <w:caps w:val="1"/>
      <w:lang w:eastAsia="zh-CN"/>
    </w:rPr>
  </w:style>
  <w:style w:type="paragraph" w:styleId="ORDERFORML2Title" w:customStyle="1">
    <w:name w:val="ORDER FORM L2 Title"/>
    <w:basedOn w:val="Normal"/>
    <w:qFormat w:val="1"/>
    <w:pPr>
      <w:numPr>
        <w:ilvl w:val="1"/>
        <w:numId w:val="7"/>
      </w:numPr>
      <w:adjustRightInd w:val="0"/>
      <w:spacing w:after="120" w:line="240" w:lineRule="auto"/>
      <w:ind w:left="993" w:hanging="567"/>
      <w:jc w:val="both"/>
    </w:pPr>
    <w:rPr>
      <w:rFonts w:cs="Times New Roman" w:eastAsia="STZhongsong"/>
      <w:b w:val="1"/>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5numberedclauseChar" w:customStyle="1">
    <w:name w:val="GPS L5 numbered clause Char"/>
    <w:link w:val="GPSL5numberedclause"/>
    <w:rPr>
      <w:rFonts w:ascii="Calibri" w:cs="Arial" w:eastAsia="Times New Roman" w:hAnsi="Calibri"/>
      <w:szCs w:val="20"/>
      <w:lang w:eastAsia="zh-CN"/>
    </w:rPr>
  </w:style>
  <w:style w:type="paragraph" w:styleId="BodyTextIndent">
    <w:name w:val="Body Text Indent"/>
    <w:basedOn w:val="Normal"/>
    <w:link w:val="BodyTextIndentChar"/>
    <w:pPr>
      <w:adjustRightInd w:val="0"/>
      <w:spacing w:after="240" w:line="240" w:lineRule="auto"/>
      <w:ind w:left="170" w:hanging="170"/>
      <w:jc w:val="both"/>
    </w:pPr>
    <w:rPr>
      <w:rFonts w:cs="Times New Roman" w:eastAsia="Times New Roman"/>
      <w:lang w:eastAsia="zh-CN"/>
    </w:rPr>
  </w:style>
  <w:style w:type="character" w:styleId="BodyTextIndentChar" w:customStyle="1">
    <w:name w:val="Body Text Indent Char"/>
    <w:basedOn w:val="DefaultParagraphFont"/>
    <w:link w:val="BodyTextIndent"/>
    <w:rPr>
      <w:rFonts w:ascii="Calibri" w:cs="Times New Roman" w:eastAsia="Times New Roman" w:hAnsi="Calibri"/>
      <w:lang w:eastAsia="zh-CN"/>
    </w:rPr>
  </w:style>
  <w:style w:type="character" w:styleId="Hyperlink">
    <w:name w:val="Hyperlink"/>
    <w:basedOn w:val="DefaultParagraphFont"/>
    <w:uiPriority w:val="99"/>
    <w:unhideWhenUsed w:val="1"/>
    <w:rPr>
      <w:color w:val="0000ff" w:themeColor="hyperlink"/>
      <w:u w:val="single"/>
    </w:rPr>
  </w:style>
  <w:style w:type="table" w:styleId="TableGrid">
    <w:name w:val="Table Grid"/>
    <w:basedOn w:val="TableNormal"/>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numbering" w:styleId="LFO5" w:customStyle="1">
    <w:name w:val="LFO5"/>
    <w:basedOn w:val="NoList"/>
  </w:style>
  <w:style w:type="paragraph" w:styleId="Guidancenoteparagraphtext" w:customStyle="1">
    <w:name w:val="Guidance note paragraph text"/>
    <w:basedOn w:val="Normal"/>
    <w:link w:val="GuidancenoteparagraphtextChar"/>
    <w:qFormat w:val="1"/>
    <w:pPr>
      <w:spacing w:after="240" w:line="240" w:lineRule="auto"/>
      <w:ind w:left="709"/>
      <w:jc w:val="both"/>
    </w:pPr>
    <w:rPr>
      <w:rFonts w:cs="Times New Roman" w:eastAsia="STZhongsong"/>
      <w:b w:val="1"/>
      <w:i w:val="1"/>
      <w:sz w:val="20"/>
      <w:lang w:eastAsia="zh-CN"/>
    </w:rPr>
  </w:style>
  <w:style w:type="character" w:styleId="GuidancenoteparagraphtextChar" w:customStyle="1">
    <w:name w:val="Guidance note paragraph text Char"/>
    <w:link w:val="Guidancenoteparagraphtext"/>
    <w:rPr>
      <w:rFonts w:ascii="Arial" w:cs="Times New Roman" w:eastAsia="STZhongsong" w:hAnsi="Arial"/>
      <w:b w:val="1"/>
      <w:i w:val="1"/>
      <w:color w:val="000000"/>
      <w:sz w:val="20"/>
      <w:szCs w:val="24"/>
      <w:lang w:eastAsia="zh-CN"/>
    </w:rPr>
  </w:style>
  <w:style w:type="paragraph" w:styleId="GPSL2Numbered" w:customStyle="1">
    <w:name w:val="GPS L2 Numbered"/>
    <w:basedOn w:val="Normal"/>
    <w:pPr>
      <w:tabs>
        <w:tab w:val="left" w:pos="709"/>
        <w:tab w:val="left" w:pos="1134"/>
      </w:tabs>
      <w:autoSpaceDN w:val="0"/>
      <w:spacing w:after="120" w:before="120" w:line="240" w:lineRule="auto"/>
      <w:ind w:left="1494" w:hanging="360"/>
      <w:jc w:val="both"/>
    </w:pPr>
    <w:rPr>
      <w:rFonts w:eastAsia="Times New Roman"/>
      <w:lang w:eastAsia="zh-CN"/>
    </w:rPr>
  </w:style>
  <w:style w:type="paragraph" w:styleId="tabletxt" w:customStyle="1">
    <w:name w:val="tabletxt"/>
    <w:basedOn w:val="Normal"/>
    <w:pPr>
      <w:autoSpaceDE w:val="0"/>
      <w:autoSpaceDN w:val="0"/>
      <w:adjustRightInd w:val="0"/>
      <w:spacing w:after="20" w:before="20" w:line="240" w:lineRule="auto"/>
      <w:jc w:val="both"/>
    </w:pPr>
    <w:rPr>
      <w:rFonts w:ascii="Times New Roman" w:eastAsia="Times New Roman" w:hAnsi="Times New Roman"/>
      <w:sz w:val="20"/>
      <w:szCs w:val="20"/>
      <w:lang w:val="en-US"/>
    </w:rPr>
  </w:style>
  <w:style w:type="paragraph" w:styleId="Tabletext" w:customStyle="1">
    <w:name w:val="Tabletext"/>
    <w:basedOn w:val="Normal"/>
    <w:pPr>
      <w:keepLines w:val="1"/>
      <w:widowControl w:val="0"/>
      <w:spacing w:after="0" w:line="240" w:lineRule="atLeast"/>
    </w:pPr>
    <w:rPr>
      <w:rFonts w:cs="Times New Roman" w:eastAsia="Times New Roman"/>
      <w:sz w:val="20"/>
      <w:szCs w:val="20"/>
      <w:lang w:val="en-US"/>
    </w:rPr>
  </w:style>
  <w:style w:type="character" w:styleId="Heading2Char" w:customStyle="1">
    <w:name w:val="Heading 2 Char"/>
    <w:basedOn w:val="DefaultParagraphFont"/>
    <w:link w:val="Heading2"/>
    <w:uiPriority w:val="99"/>
    <w:rsid w:val="004E36B0"/>
    <w:rPr>
      <w:rFonts w:ascii="Trebuchet MS" w:cs="Arial" w:eastAsia="Times New Roman" w:hAnsi="Trebuchet MS"/>
      <w:bCs w:val="1"/>
      <w:iCs w:val="1"/>
      <w:sz w:val="20"/>
      <w:szCs w:val="28"/>
    </w:rPr>
  </w:style>
  <w:style w:type="table" w:styleId="a" w:customStyle="1">
    <w:basedOn w:val="TableNormal"/>
    <w:pPr>
      <w:spacing w:after="0" w:line="240" w:lineRule="auto"/>
    </w:pPr>
    <w:rPr>
      <w:sz w:val="20"/>
      <w:szCs w:val="20"/>
    </w:rPr>
    <w:tblPr>
      <w:tblStyleRowBandSize w:val="1"/>
      <w:tblStyleColBandSize w:val="1"/>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pPr>
      <w:spacing w:after="0" w:line="240" w:lineRule="auto"/>
    </w:pPr>
    <w:rPr>
      <w:sz w:val="20"/>
      <w:szCs w:val="20"/>
    </w:rPr>
    <w:tblPr>
      <w:tblStyleRowBandSize w:val="1"/>
      <w:tblStyleColBandSize w:val="1"/>
    </w:tblPr>
  </w:style>
  <w:style w:type="table" w:styleId="a2" w:customStyle="1">
    <w:basedOn w:val="TableNormal"/>
    <w:pPr>
      <w:spacing w:after="0" w:line="240" w:lineRule="auto"/>
    </w:pPr>
    <w:rPr>
      <w:sz w:val="20"/>
      <w:szCs w:val="20"/>
    </w:rPr>
    <w:tblPr>
      <w:tblStyleRowBandSize w:val="1"/>
      <w:tblStyleColBandSize w:val="1"/>
      <w:tblCellMar>
        <w:left w:w="0.0" w:type="dxa"/>
        <w:right w:w="0.0" w:type="dxa"/>
      </w:tblCellMar>
    </w:tblPr>
  </w:style>
  <w:style w:type="table" w:styleId="a3" w:customStyle="1">
    <w:basedOn w:val="TableNormal"/>
    <w:pPr>
      <w:spacing w:after="0" w:line="240" w:lineRule="auto"/>
    </w:pPr>
    <w:rPr>
      <w:sz w:val="20"/>
      <w:szCs w:val="20"/>
    </w:rPr>
    <w:tblPr>
      <w:tblStyleRowBandSize w:val="1"/>
      <w:tblStyleColBandSize w:val="1"/>
      <w:tblCellMar>
        <w:left w:w="0.0" w:type="dxa"/>
        <w:right w:w="0.0" w:type="dxa"/>
      </w:tblCellMar>
    </w:tblPr>
  </w:style>
  <w:style w:type="table" w:styleId="a4" w:customStyle="1">
    <w:basedOn w:val="TableNormal"/>
    <w:pPr>
      <w:spacing w:after="0" w:line="240" w:lineRule="auto"/>
    </w:pPr>
    <w:rPr>
      <w:sz w:val="20"/>
      <w:szCs w:val="20"/>
    </w:rPr>
    <w:tblPr>
      <w:tblStyleRowBandSize w:val="1"/>
      <w:tblStyleColBandSize w:val="1"/>
      <w:tblCellMar>
        <w:left w:w="0.0" w:type="dxa"/>
        <w:right w:w="0.0" w:type="dxa"/>
      </w:tblCellMar>
    </w:tblPr>
  </w:style>
  <w:style w:type="numbering" w:styleId="LFO1" w:customStyle="1">
    <w:name w:val="LFO1"/>
    <w:basedOn w:val="NoList"/>
    <w:rsid w:val="00F359C5"/>
  </w:style>
  <w:style w:type="table" w:styleId="a5" w:customStyle="1">
    <w:basedOn w:val="TableNormal"/>
    <w:pPr>
      <w:spacing w:after="0" w:line="240" w:lineRule="auto"/>
    </w:pPr>
    <w:rPr>
      <w:sz w:val="20"/>
      <w:szCs w:val="20"/>
    </w:rPr>
    <w:tblPr>
      <w:tblStyleRowBandSize w:val="1"/>
      <w:tblStyleColBandSize w:val="1"/>
      <w:tblCellMar>
        <w:left w:w="0.0" w:type="dxa"/>
        <w:right w:w="0.0" w:type="dxa"/>
      </w:tblCellMar>
    </w:tblPr>
  </w:style>
  <w:style w:type="table" w:styleId="a6" w:customStyle="1">
    <w:basedOn w:val="TableNormal"/>
    <w:pPr>
      <w:spacing w:after="0" w:line="240" w:lineRule="auto"/>
    </w:pPr>
    <w:rPr>
      <w:sz w:val="20"/>
      <w:szCs w:val="20"/>
    </w:rPr>
    <w:tblPr>
      <w:tblStyleRowBandSize w:val="1"/>
      <w:tblStyleColBandSize w:val="1"/>
      <w:tblCellMar>
        <w:left w:w="0.0" w:type="dxa"/>
        <w:right w:w="0.0" w:type="dxa"/>
      </w:tblCellMar>
    </w:tblPr>
  </w:style>
  <w:style w:type="table" w:styleId="a7" w:customStyle="1">
    <w:basedOn w:val="TableNormal"/>
    <w:pPr>
      <w:spacing w:after="0" w:line="240" w:lineRule="auto"/>
    </w:pPr>
    <w:rPr>
      <w:sz w:val="20"/>
      <w:szCs w:val="20"/>
    </w:rPr>
    <w:tblPr>
      <w:tblStyleRowBandSize w:val="1"/>
      <w:tblStyleColBandSize w:val="1"/>
      <w:tblCellMar>
        <w:left w:w="0.0" w:type="dxa"/>
        <w:right w:w="0.0" w:type="dxa"/>
      </w:tblCellMar>
    </w:tblPr>
  </w:style>
  <w:style w:type="table" w:styleId="a8" w:customStyle="1">
    <w:basedOn w:val="TableNormal"/>
    <w:pPr>
      <w:spacing w:after="0" w:line="240" w:lineRule="auto"/>
    </w:pPr>
    <w:rPr>
      <w:sz w:val="20"/>
      <w:szCs w:val="20"/>
    </w:rPr>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0"/>
      <w:szCs w:val="20"/>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blowing-the-whistle-list-of-prescribed-people-and-bodies--2/whistleblowing-list-of-prescribed-people-and-bodies"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nationalarchives.gov.uk/doc/open-government-licence/version/3/" TargetMode="External"/><Relationship Id="rId8" Type="http://schemas.openxmlformats.org/officeDocument/2006/relationships/hyperlink" Target="https://www.gov.uk/government/publications/open-standards-principles/open-standards-princ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COnN/RFJQvs6X/KuKCEf2NsbgA==">CgMxLjAyCWguMzBqMHpsbDIJaC4xZm9iOXRlMgloLjN6bnlzaDcyCGguZ2pkZ3hzOAByITFsOXZPUXR4ak13SEJXbFFoQlRGVDFDQmUyelRwbHQzTQ==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2026-02-11T16:36:00Z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90849619-1</vt:lpwstr>
  </property>
  <property fmtid="{D5CDD505-2E9C-101B-9397-08002B2CF9AE}" pid="3" name="iManageFooter">
    <vt:lpwstr>79274191v1</vt:lpwstr>
  </property>
</Properties>
</file>