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bookmarkStart w:colFirst="0" w:colLast="0" w:name="_heading=h.gjdgxs" w:id="0"/>
      <w:bookmarkEnd w:id="0"/>
      <w:r w:rsidDel="00000000" w:rsidR="00000000" w:rsidRPr="00000000">
        <w:rPr>
          <w:b w:val="1"/>
          <w:bCs w:val="1"/>
          <w:sz w:val="36"/>
          <w:szCs w:val="36"/>
          <w:rtl w:val="0"/>
        </w:rPr>
        <w:t xml:space="preserve">Joint Schedule 6 (Key Subcontractors)</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142"/>
        </w:tabs>
        <w:spacing w:after="120" w:before="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b w:val="1"/>
          <w:bCs w:val="1"/>
          <w:rtl w:val="0"/>
        </w:rPr>
        <w:t xml:space="preserve">Restrictions on certain subcontractors</w:t>
      </w:r>
    </w:p>
    <w:p w:rsidR="00000000" w:rsidDel="00000000" w:rsidP="00000000" w:rsidRDefault="00000000" w:rsidRPr="00000000" w14:paraId="00000004">
      <w:pPr>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The Supplier is entitled to sub-contract its obligations under the Framework Contract to the Key Subcontractors set out in the Framework Award Form. </w:t>
      </w:r>
      <w:r w:rsidDel="00000000" w:rsidR="00000000" w:rsidRPr="00000000">
        <w:rPr>
          <w:rtl w:val="0"/>
        </w:rPr>
      </w:r>
    </w:p>
    <w:p w:rsidR="00000000" w:rsidDel="00000000" w:rsidP="00000000" w:rsidRDefault="00000000" w:rsidRPr="00000000" w14:paraId="00000005">
      <w:pPr>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bookmarkStart w:colFirst="0" w:colLast="0" w:name="_heading=h.30j0zll" w:id="1"/>
      <w:bookmarkEnd w:id="1"/>
      <w:r w:rsidDel="00000000" w:rsidR="00000000" w:rsidRPr="00000000">
        <w:rPr>
          <w:rtl w:val="0"/>
        </w:rPr>
        <w:t xml:space="preserve">The Supplier is entitled to sub-contract its obligations under a Call-Off Contract to Key Subcontractors listed in the Framework Award Form who are specifically nominated in the Order Form.</w:t>
      </w:r>
      <w:r w:rsidDel="00000000" w:rsidR="00000000" w:rsidRPr="00000000">
        <w:rPr>
          <w:rtl w:val="0"/>
        </w:rPr>
      </w:r>
    </w:p>
    <w:p w:rsidR="00000000" w:rsidDel="00000000" w:rsidP="00000000" w:rsidRDefault="00000000" w:rsidRPr="00000000" w14:paraId="00000006">
      <w:pPr>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Where during the Contract Period the Supplier wishes to enter into a new Key Sub-Contract or replace a Key Subcontractor, it must obtain the prior written consent of GCA and the Buyer and the Supplier shall, at the time of requesting such consent, provide GCA and the Buyer with the information detailed in Paragraph 1.4. The decision of GCA and the Buyer to consent or not will not be unreasonably withheld or delayed.  Where GCA consents to the appointment of a new Key Subcontractor then they will be added to section 23 of the Framework Award Form.  Where the Buyer consents to the appointment of a new Key Subcontractor then they will be added to the Key Subcontractor section of the Order Form.  GCA and the Buyer may reasonably withhold their consent to the appointment of a Key Subcontractor if it considers that:</w:t>
      </w:r>
      <w:r w:rsidDel="00000000" w:rsidR="00000000" w:rsidRPr="00000000">
        <w:rPr>
          <w:rtl w:val="0"/>
        </w:rPr>
      </w:r>
    </w:p>
    <w:p w:rsidR="00000000" w:rsidDel="00000000" w:rsidP="00000000" w:rsidRDefault="00000000" w:rsidRPr="00000000" w14:paraId="00000007">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the appointment of a proposed Key Subcontractor may prejudice the provision of the Deliverables or may be contrary to its interests;</w:t>
      </w:r>
    </w:p>
    <w:p w:rsidR="00000000" w:rsidDel="00000000" w:rsidP="00000000" w:rsidRDefault="00000000" w:rsidRPr="00000000" w14:paraId="00000008">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the proposed Key Subcontractor is unreliable and/or has not provided reliable goods and or reasonable services to its other customers; </w:t>
      </w:r>
    </w:p>
    <w:p w:rsidR="00000000" w:rsidDel="00000000" w:rsidP="00000000" w:rsidRDefault="00000000" w:rsidRPr="00000000" w14:paraId="00000009">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the proposed Key Subcontractor employs unfit persons; and/or</w:t>
      </w:r>
    </w:p>
    <w:p w:rsidR="00000000" w:rsidDel="00000000" w:rsidP="00000000" w:rsidRDefault="00000000" w:rsidRPr="00000000" w14:paraId="0000000A">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the proposed Key Subcontractor is an excluded or excludable supplier within the meaning of the Procurement Act 2023 and any associated Regulations.</w:t>
      </w:r>
    </w:p>
    <w:p w:rsidR="00000000" w:rsidDel="00000000" w:rsidP="00000000" w:rsidRDefault="00000000" w:rsidRPr="00000000" w14:paraId="0000000B">
      <w:pPr>
        <w:keepNext w:val="1"/>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bookmarkStart w:colFirst="0" w:colLast="0" w:name="_heading=h.1fob9te" w:id="2"/>
      <w:bookmarkEnd w:id="2"/>
      <w:r w:rsidDel="00000000" w:rsidR="00000000" w:rsidRPr="00000000">
        <w:rPr>
          <w:rtl w:val="0"/>
        </w:rPr>
        <w:t xml:space="preserve">The Supplier shall provide GCA and the Buyer with the following information in respect of the proposed Key Subcontractor:</w:t>
      </w:r>
      <w:r w:rsidDel="00000000" w:rsidR="00000000" w:rsidRPr="00000000">
        <w:rPr>
          <w:rtl w:val="0"/>
        </w:rPr>
      </w:r>
    </w:p>
    <w:p w:rsidR="00000000" w:rsidDel="00000000" w:rsidP="00000000" w:rsidRDefault="00000000" w:rsidRPr="00000000" w14:paraId="0000000C">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the proposed Key Subcontractor’s name, registered office and company registration number;</w:t>
      </w:r>
    </w:p>
    <w:p w:rsidR="00000000" w:rsidDel="00000000" w:rsidP="00000000" w:rsidRDefault="00000000" w:rsidRPr="00000000" w14:paraId="0000000D">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the scope/description of any Deliverables to be provided by the proposed Key Subcontractor; </w:t>
      </w:r>
    </w:p>
    <w:p w:rsidR="00000000" w:rsidDel="00000000" w:rsidP="00000000" w:rsidRDefault="00000000" w:rsidRPr="00000000" w14:paraId="0000000E">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where the proposed Key Subcontractor is an Affiliate of the Supplier, evidence that demonstrates to the reasonable satisfaction of the GCA and the Buyer that the proposed Key Sub-Contract has been agreed on "arm’s-length" terms;</w:t>
      </w:r>
    </w:p>
    <w:p w:rsidR="00000000" w:rsidDel="00000000" w:rsidP="00000000" w:rsidRDefault="00000000" w:rsidRPr="00000000" w14:paraId="0000000F">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for GCA, the Key Sub-Contract price expressed as a percentage of the total projected Framework Price over the Framework Contract Period; </w:t>
      </w:r>
    </w:p>
    <w:p w:rsidR="00000000" w:rsidDel="00000000" w:rsidP="00000000" w:rsidRDefault="00000000" w:rsidRPr="00000000" w14:paraId="00000010">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for the Buyer, the Key Sub-Contract price expressed as a percentage of the total projected Charges over the Call-Off Contract Period; </w:t>
      </w:r>
    </w:p>
    <w:p w:rsidR="00000000" w:rsidDel="00000000" w:rsidP="00000000" w:rsidRDefault="00000000" w:rsidRPr="00000000" w14:paraId="00000011">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(where applicable) Credit Rating Threshold (as defined in Joint Schedule 7 </w:t>
      </w:r>
      <w:r w:rsidDel="00000000" w:rsidR="00000000" w:rsidRPr="00000000">
        <w:rPr>
          <w:i w:val="1"/>
          <w:iCs w:val="1"/>
          <w:rtl w:val="0"/>
        </w:rPr>
        <w:t xml:space="preserve">(Financial Distress)</w:t>
      </w:r>
      <w:r w:rsidDel="00000000" w:rsidR="00000000" w:rsidRPr="00000000">
        <w:rPr>
          <w:rtl w:val="0"/>
        </w:rPr>
        <w:t xml:space="preserve">) of the Key Subcontractor; and</w:t>
      </w:r>
    </w:p>
    <w:p w:rsidR="00000000" w:rsidDel="00000000" w:rsidP="00000000" w:rsidRDefault="00000000" w:rsidRPr="00000000" w14:paraId="00000012">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whether the Supplier considers that an exclusion ground within the meaning of the Procurement Act 2023 and any associated Regulations does or may apply to the proposed Key Subcontractor.</w:t>
      </w:r>
    </w:p>
    <w:p w:rsidR="00000000" w:rsidDel="00000000" w:rsidP="00000000" w:rsidRDefault="00000000" w:rsidRPr="00000000" w14:paraId="00000013">
      <w:pPr>
        <w:keepNext w:val="1"/>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bookmarkStart w:colFirst="0" w:colLast="0" w:name="_heading=h.3znysh7" w:id="3"/>
      <w:bookmarkEnd w:id="3"/>
      <w:r w:rsidDel="00000000" w:rsidR="00000000" w:rsidRPr="00000000">
        <w:rPr>
          <w:rtl w:val="0"/>
        </w:rPr>
        <w:t xml:space="preserve">If requested by GCA and/or the Buyer, within ten (10) Working Days of receipt of the information provided by the Supplier pursuant to Paragraph 1.4, the Supplier shall also provide:</w:t>
      </w:r>
      <w:r w:rsidDel="00000000" w:rsidR="00000000" w:rsidRPr="00000000">
        <w:rPr>
          <w:rtl w:val="0"/>
        </w:rPr>
      </w:r>
    </w:p>
    <w:p w:rsidR="00000000" w:rsidDel="00000000" w:rsidP="00000000" w:rsidRDefault="00000000" w:rsidRPr="00000000" w14:paraId="00000014">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a copy of the proposed Key Sub-Contract; and </w:t>
      </w:r>
    </w:p>
    <w:p w:rsidR="00000000" w:rsidDel="00000000" w:rsidP="00000000" w:rsidRDefault="00000000" w:rsidRPr="00000000" w14:paraId="00000015">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any further information reasonably requested by GCA and/or the Buyer.</w:t>
      </w:r>
    </w:p>
    <w:p w:rsidR="00000000" w:rsidDel="00000000" w:rsidP="00000000" w:rsidRDefault="00000000" w:rsidRPr="00000000" w14:paraId="00000016">
      <w:pPr>
        <w:keepNext w:val="1"/>
        <w:numPr>
          <w:ilvl w:val="1"/>
          <w:numId w:val="1"/>
        </w:numPr>
        <w:pBdr>
          <w:top w:space="0" w:sz="0" w:val="nil"/>
          <w:left w:space="0" w:sz="0" w:val="nil"/>
          <w:bottom w:space="0" w:sz="0" w:val="nil"/>
          <w:right w:space="0" w:sz="0" w:val="nil"/>
          <w:between w:space="0" w:sz="0" w:val="nil"/>
        </w:pBdr>
        <w:spacing w:after="120" w:before="120" w:line="240" w:lineRule="auto"/>
        <w:ind w:left="1134" w:hanging="708"/>
        <w:rPr/>
      </w:pPr>
      <w:bookmarkStart w:colFirst="0" w:colLast="0" w:name="_heading=h.2et92p0" w:id="4"/>
      <w:bookmarkEnd w:id="4"/>
      <w:r w:rsidDel="00000000" w:rsidR="00000000" w:rsidRPr="00000000">
        <w:rPr>
          <w:rtl w:val="0"/>
        </w:rPr>
        <w:t xml:space="preserve">The Supplier shall ensure that each new or replacement Key Sub-Contract shall include: </w:t>
      </w:r>
      <w:r w:rsidDel="00000000" w:rsidR="00000000" w:rsidRPr="00000000">
        <w:rPr>
          <w:rtl w:val="0"/>
        </w:rPr>
      </w:r>
    </w:p>
    <w:p w:rsidR="00000000" w:rsidDel="00000000" w:rsidP="00000000" w:rsidRDefault="00000000" w:rsidRPr="00000000" w14:paraId="00000017">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provisions which will enable the Supplier to discharge its obligations under the Contracts;</w:t>
      </w:r>
    </w:p>
    <w:p w:rsidR="00000000" w:rsidDel="00000000" w:rsidP="00000000" w:rsidRDefault="00000000" w:rsidRPr="00000000" w14:paraId="00000018">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a right under CRTPA for GCA and the Buyer to enforce any provisions under the Key Sub-Contract which confer a benefit upon GCA and the Buyer respectively;</w:t>
      </w:r>
    </w:p>
    <w:p w:rsidR="00000000" w:rsidDel="00000000" w:rsidP="00000000" w:rsidRDefault="00000000" w:rsidRPr="00000000" w14:paraId="00000019">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a provision enabling GCA and the Buyer to enforce the Key Sub-Contract as if it were the Supplier; </w:t>
      </w:r>
    </w:p>
    <w:p w:rsidR="00000000" w:rsidDel="00000000" w:rsidP="00000000" w:rsidRDefault="00000000" w:rsidRPr="00000000" w14:paraId="0000001A">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a provision enabling the Supplier to assign, novate or otherwise transfer any of its rights and/or obligations under the Key Sub-Contract to GCA and/or the Buyer; </w:t>
      </w:r>
    </w:p>
    <w:p w:rsidR="00000000" w:rsidDel="00000000" w:rsidP="00000000" w:rsidRDefault="00000000" w:rsidRPr="00000000" w14:paraId="0000001B">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obligations no less onerous on the Key Subcontractor than those imposed on the Supplier under the Framework Contract in respect of:</w:t>
      </w:r>
    </w:p>
    <w:p w:rsidR="00000000" w:rsidDel="00000000" w:rsidP="00000000" w:rsidRDefault="00000000" w:rsidRPr="00000000" w14:paraId="0000001C">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data protection requirements set out in Clause 17 </w:t>
      </w:r>
      <w:r w:rsidDel="00000000" w:rsidR="00000000" w:rsidRPr="00000000">
        <w:rPr>
          <w:i w:val="1"/>
          <w:iCs w:val="1"/>
          <w:rtl w:val="0"/>
        </w:rPr>
        <w:t xml:space="preserve">(Data protection and security) </w:t>
      </w:r>
      <w:r w:rsidDel="00000000" w:rsidR="00000000" w:rsidRPr="00000000">
        <w:rPr>
          <w:rtl w:val="0"/>
        </w:rPr>
        <w:t xml:space="preserve">of the General Terms;</w:t>
      </w:r>
    </w:p>
    <w:p w:rsidR="00000000" w:rsidDel="00000000" w:rsidP="00000000" w:rsidRDefault="00000000" w:rsidRPr="00000000" w14:paraId="0000001D">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FOIA and other access request requirements set out in Clause 19 </w:t>
      </w:r>
      <w:r w:rsidDel="00000000" w:rsidR="00000000" w:rsidRPr="00000000">
        <w:rPr>
          <w:i w:val="1"/>
          <w:iCs w:val="1"/>
          <w:rtl w:val="0"/>
        </w:rPr>
        <w:t xml:space="preserve">(When you can share information) </w:t>
      </w:r>
      <w:r w:rsidDel="00000000" w:rsidR="00000000" w:rsidRPr="00000000">
        <w:rPr>
          <w:rtl w:val="0"/>
        </w:rPr>
        <w:t xml:space="preserve">of the General Terms;</w:t>
      </w:r>
    </w:p>
    <w:p w:rsidR="00000000" w:rsidDel="00000000" w:rsidP="00000000" w:rsidRDefault="00000000" w:rsidRPr="00000000" w14:paraId="0000001E">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obligation not to embarrass GCA or the Buyer or otherwise bring GCA or the Buyer into disrepute; </w:t>
      </w:r>
    </w:p>
    <w:p w:rsidR="00000000" w:rsidDel="00000000" w:rsidP="00000000" w:rsidRDefault="00000000" w:rsidRPr="00000000" w14:paraId="0000001F">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keeping of records in respect of the goods and/or services being provided under the Key Sub-Contract, including the maintenance of Open Book Data; and</w:t>
      </w:r>
    </w:p>
    <w:p w:rsidR="00000000" w:rsidDel="00000000" w:rsidP="00000000" w:rsidRDefault="00000000" w:rsidRPr="00000000" w14:paraId="00000020">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conduct of audits set out in Clause 6 </w:t>
      </w:r>
      <w:r w:rsidDel="00000000" w:rsidR="00000000" w:rsidRPr="00000000">
        <w:rPr>
          <w:i w:val="1"/>
          <w:iCs w:val="1"/>
          <w:rtl w:val="0"/>
        </w:rPr>
        <w:t xml:space="preserve">(Record keeping and reporting) </w:t>
      </w:r>
      <w:r w:rsidDel="00000000" w:rsidR="00000000" w:rsidRPr="00000000">
        <w:rPr>
          <w:rtl w:val="0"/>
        </w:rPr>
        <w:t xml:space="preserve">of the General Terms;</w:t>
      </w:r>
    </w:p>
    <w:p w:rsidR="00000000" w:rsidDel="00000000" w:rsidP="00000000" w:rsidRDefault="00000000" w:rsidRPr="00000000" w14:paraId="00000021">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provisions enabling the Supplier to terminate the Key Sub-Contract on notice on terms no more onerous on the Supplier than those imposed on GCA and the Buyer under Clauses 13.3 </w:t>
      </w:r>
      <w:r w:rsidDel="00000000" w:rsidR="00000000" w:rsidRPr="00000000">
        <w:rPr>
          <w:i w:val="1"/>
          <w:iCs w:val="1"/>
          <w:rtl w:val="0"/>
        </w:rPr>
        <w:t xml:space="preserve">(When GCA or the Buyer can end the contract)</w:t>
      </w:r>
      <w:r w:rsidDel="00000000" w:rsidR="00000000" w:rsidRPr="00000000">
        <w:rPr>
          <w:rtl w:val="0"/>
        </w:rPr>
        <w:t xml:space="preserve"> and 13.4 </w:t>
      </w:r>
      <w:r w:rsidDel="00000000" w:rsidR="00000000" w:rsidRPr="00000000">
        <w:rPr>
          <w:i w:val="1"/>
          <w:iCs w:val="1"/>
          <w:rtl w:val="0"/>
        </w:rPr>
        <w:t xml:space="preserve">(What happens if the contract ends)</w:t>
      </w:r>
      <w:r w:rsidDel="00000000" w:rsidR="00000000" w:rsidRPr="00000000">
        <w:rPr>
          <w:rtl w:val="0"/>
        </w:rPr>
        <w:t xml:space="preserve"> of the Contract; and</w:t>
      </w:r>
    </w:p>
    <w:p w:rsidR="00000000" w:rsidDel="00000000" w:rsidP="00000000" w:rsidRDefault="00000000" w:rsidRPr="00000000" w14:paraId="00000022">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a provision restricting the ability of the Key Subcontractor to sub-contract all or any part of the provision of the Deliverables provided to the Supplier under the Key Sub-Contract without first seeking the written consent of GCA and the Buyer.</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not terminate or materially amend the terms of any Key Sub-Contract without the prior written consent of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Buyer, which shall not be unreasonably withheld or delayed.</w:t>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1985"/>
        </w:tabs>
        <w:spacing w:after="120" w:before="120" w:line="240" w:lineRule="auto"/>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D">
    <w:pPr>
      <w:spacing w:after="0" w:line="240" w:lineRule="auto"/>
      <w:jc w:val="both"/>
      <w:rPr>
        <w:sz w:val="14"/>
        <w:szCs w:val="14"/>
      </w:rPr>
    </w:pPr>
    <w:bookmarkStart w:colFirst="0" w:colLast="0" w:name="_heading=h.tyjcwt" w:id="5"/>
    <w:bookmarkEnd w:id="5"/>
    <w:r w:rsidDel="00000000" w:rsidR="00000000" w:rsidRPr="00000000">
      <w:rPr>
        <w:sz w:val="20"/>
        <w:szCs w:val="20"/>
        <w:rtl w:val="0"/>
      </w:rPr>
      <w:t xml:space="preserve">Model Version: v1.1 PA</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tabs>
        <w:tab w:val="center" w:leader="none" w:pos="4513"/>
        <w:tab w:val="right" w:leader="none" w:pos="9026"/>
      </w:tabs>
      <w:spacing w:after="0" w:lineRule="auto"/>
      <w:jc w:val="both"/>
      <w:rPr>
        <w:sz w:val="20"/>
        <w:szCs w:val="20"/>
      </w:rPr>
    </w:pPr>
    <w:r w:rsidDel="00000000" w:rsidR="00000000" w:rsidRPr="00000000">
      <w:rPr>
        <w:rtl w:val="0"/>
      </w:rPr>
    </w:r>
  </w:p>
  <w:p w:rsidR="00000000" w:rsidDel="00000000" w:rsidP="00000000" w:rsidRDefault="00000000" w:rsidRPr="00000000" w14:paraId="0000002F">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w:t>
      <w:tab/>
      <w:t xml:space="preserve">                                           </w:t>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t xml:space="preserve">-</w:t>
    </w:r>
  </w:p>
  <w:p w:rsidR="00000000" w:rsidDel="00000000" w:rsidP="00000000" w:rsidRDefault="00000000" w:rsidRPr="00000000" w14:paraId="00000031">
    <w:pPr>
      <w:spacing w:after="0" w:line="240" w:lineRule="auto"/>
      <w:jc w:val="both"/>
      <w:rPr>
        <w:sz w:val="20"/>
        <w:szCs w:val="20"/>
      </w:rPr>
    </w:pPr>
    <w:r w:rsidDel="00000000" w:rsidR="00000000" w:rsidRPr="00000000">
      <w:rPr>
        <w:sz w:val="20"/>
        <w:szCs w:val="20"/>
        <w:rtl w:val="0"/>
      </w:rPr>
      <w:t xml:space="preserve">Model Version : v3.0</w:t>
      <w:tab/>
      <w:tab/>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bCs w:val="1"/>
        <w:sz w:val="22"/>
        <w:szCs w:val="22"/>
      </w:rPr>
    </w:pPr>
    <w:r w:rsidDel="00000000" w:rsidR="00000000" w:rsidRPr="00000000">
      <w:rPr>
        <w:b w:val="1"/>
        <w:bCs w:val="1"/>
        <w:sz w:val="22"/>
        <w:szCs w:val="22"/>
        <w:rtl w:val="0"/>
      </w:rPr>
      <w:t xml:space="preserve">Joint Schedule 6 (Key Subcontractors)</w:t>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644" w:hanging="358.9999999999999"/>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Guidance" w:customStyle="1">
    <w:name w:val="GPS L1 Guidance"/>
    <w:basedOn w:val="Normal"/>
    <w:link w:val="GPSL1GuidanceChar"/>
    <w:qFormat w:val="1"/>
    <w:pPr>
      <w:overflowPunct w:val="0"/>
      <w:autoSpaceDE w:val="0"/>
      <w:autoSpaceDN w:val="0"/>
      <w:adjustRightInd w:val="0"/>
      <w:spacing w:after="120" w:before="240" w:line="240" w:lineRule="auto"/>
      <w:ind w:left="426"/>
      <w:jc w:val="both"/>
      <w:textAlignment w:val="baseline"/>
    </w:pPr>
    <w:rPr>
      <w:rFonts w:cs="Arial" w:eastAsia="Times New Roman"/>
      <w:b w:val="1"/>
      <w:i w:val="1"/>
    </w:rPr>
  </w:style>
  <w:style w:type="paragraph" w:styleId="GPSL3Guidance" w:customStyle="1">
    <w:name w:val="GPS L3 Guidance"/>
    <w:basedOn w:val="Normal"/>
    <w:link w:val="GPSL3GuidanceChar"/>
    <w:qFormat w:val="1"/>
    <w:pPr>
      <w:tabs>
        <w:tab w:val="left" w:pos="1985"/>
      </w:tabs>
      <w:adjustRightInd w:val="0"/>
      <w:spacing w:after="120" w:before="120" w:line="240" w:lineRule="auto"/>
      <w:ind w:left="1985"/>
      <w:jc w:val="both"/>
    </w:pPr>
    <w:rPr>
      <w:rFonts w:cs="Arial" w:eastAsia="Times New Roman"/>
      <w:b w:val="1"/>
      <w:i w:val="1"/>
      <w:lang w:eastAsia="zh-CN"/>
    </w:rPr>
  </w:style>
  <w:style w:type="paragraph" w:styleId="GPSL1Schedulenumbered" w:customStyle="1">
    <w:name w:val="GPS L1 Schedule numbered"/>
    <w:basedOn w:val="Normal"/>
    <w:link w:val="GPSL1SchedulenumberedChar1"/>
    <w:qFormat w:val="1"/>
    <w:pPr>
      <w:numPr>
        <w:numId w:val="1"/>
      </w:numPr>
      <w:tabs>
        <w:tab w:val="left" w:pos="851"/>
      </w:tabs>
      <w:overflowPunct w:val="0"/>
      <w:autoSpaceDE w:val="0"/>
      <w:autoSpaceDN w:val="0"/>
      <w:adjustRightInd w:val="0"/>
      <w:spacing w:after="240" w:line="240" w:lineRule="auto"/>
      <w:jc w:val="both"/>
      <w:textAlignment w:val="baseline"/>
    </w:pPr>
    <w:rPr>
      <w:rFonts w:cs="Arial" w:eastAsia="Times New Roman"/>
    </w:rPr>
  </w:style>
  <w:style w:type="character" w:styleId="GPSL1SchedulenumberedChar1" w:customStyle="1">
    <w:name w:val="GPS L1 Schedule numbered Char1"/>
    <w:link w:val="GPSL1Schedulenumbered"/>
    <w:locked w:val="1"/>
    <w:rPr>
      <w:rFonts w:ascii="Calibri" w:cs="Arial" w:eastAsia="Times New Roman" w:hAnsi="Calibri"/>
    </w:rPr>
  </w:style>
  <w:style w:type="character" w:styleId="GPSL1GuidanceChar" w:customStyle="1">
    <w:name w:val="GPS L1 Guidance Char"/>
    <w:link w:val="GPSL1Guidance"/>
    <w:locked w:val="1"/>
    <w:rPr>
      <w:rFonts w:ascii="Calibri" w:cs="Arial" w:eastAsia="Times New Roman" w:hAnsi="Calibri"/>
      <w:b w:val="1"/>
      <w:i w:val="1"/>
    </w:rPr>
  </w:style>
  <w:style w:type="character" w:styleId="GPSL3GuidanceChar" w:customStyle="1">
    <w:name w:val="GPS L3 Guidance Char"/>
    <w:link w:val="GPSL3Guidance"/>
    <w:rPr>
      <w:rFonts w:ascii="Calibri" w:cs="Arial" w:eastAsia="Times New Roman" w:hAnsi="Calibri"/>
      <w:b w:val="1"/>
      <w:i w:val="1"/>
      <w:lang w:eastAsia="zh-CN"/>
    </w:rPr>
  </w:style>
  <w:style w:type="paragraph" w:styleId="GPSL1CLAUSEHEADING" w:customStyle="1">
    <w:name w:val="GPS L1 CLAUSE HEADING"/>
    <w:basedOn w:val="Normal"/>
    <w:next w:val="Normal"/>
    <w:qFormat w:val="1"/>
    <w:pPr>
      <w:numPr>
        <w:numId w:val="2"/>
      </w:numPr>
      <w:tabs>
        <w:tab w:val="left" w:pos="142"/>
      </w:tabs>
      <w:adjustRightInd w:val="0"/>
      <w:spacing w:after="240" w:before="120" w:line="240" w:lineRule="auto"/>
      <w:jc w:val="both"/>
      <w:outlineLvl w:val="1"/>
    </w:pPr>
    <w:rPr>
      <w:rFonts w:cs="Arial" w:eastAsia="STZhongsong"/>
      <w:b w:val="1"/>
      <w:caps w:val="1"/>
      <w:lang w:eastAsia="zh-CN"/>
    </w:rPr>
  </w:style>
  <w:style w:type="paragraph" w:styleId="GPSL3numberedclause" w:customStyle="1">
    <w:name w:val="GPS L3 numbered clause"/>
    <w:basedOn w:val="Normal"/>
    <w:link w:val="GPSL3numberedclauseChar"/>
    <w:qFormat w:val="1"/>
    <w:pPr>
      <w:numPr>
        <w:ilvl w:val="2"/>
        <w:numId w:val="2"/>
      </w:numPr>
      <w:tabs>
        <w:tab w:val="left" w:pos="1985"/>
      </w:tabs>
      <w:adjustRightInd w:val="0"/>
      <w:spacing w:after="120" w:before="120" w:line="240" w:lineRule="auto"/>
      <w:jc w:val="both"/>
    </w:pPr>
    <w:rPr>
      <w:rFonts w:cs="Arial" w:eastAsia="Times New Roman"/>
      <w:lang w:eastAsia="zh-CN"/>
    </w:rPr>
  </w:style>
  <w:style w:type="paragraph" w:styleId="GPSL4numberedclause" w:customStyle="1">
    <w:name w:val="GPS L4 numbered clause"/>
    <w:basedOn w:val="GPSL3numberedclause"/>
    <w:link w:val="GPSL4numberedclauseChar"/>
    <w:qFormat w:val="1"/>
    <w:pPr>
      <w:numPr>
        <w:ilvl w:val="3"/>
      </w:numPr>
      <w:tabs>
        <w:tab w:val="left" w:pos="2552"/>
      </w:tabs>
    </w:pPr>
  </w:style>
  <w:style w:type="character" w:styleId="GPSL4numberedclauseChar" w:customStyle="1">
    <w:name w:val="GPS L4 numbered clause Char"/>
    <w:link w:val="GPSL4numberedclause"/>
    <w:locked w:val="1"/>
    <w:rPr>
      <w:rFonts w:ascii="Calibri" w:cs="Arial" w:eastAsia="Times New Roman" w:hAnsi="Calibri"/>
      <w:lang w:eastAsia="zh-CN"/>
    </w:rPr>
  </w:style>
  <w:style w:type="paragraph" w:styleId="GPSL5numberedclause" w:customStyle="1">
    <w:name w:val="GPS L5 numbered clause"/>
    <w:basedOn w:val="GPSL4numberedclause"/>
    <w:link w:val="GPSL5numberedclauseChar"/>
    <w:qFormat w:val="1"/>
    <w:pPr>
      <w:numPr>
        <w:ilvl w:val="4"/>
      </w:numPr>
      <w:tabs>
        <w:tab w:val="left" w:pos="3119"/>
      </w:tabs>
    </w:pPr>
  </w:style>
  <w:style w:type="paragraph" w:styleId="GPSL2NumberedBoldHeading" w:customStyle="1">
    <w:name w:val="GPS L2 Numbered Bold Heading"/>
    <w:basedOn w:val="Normal"/>
    <w:link w:val="GPSL2NumberedBoldHeadingChar"/>
    <w:qFormat w:val="1"/>
    <w:pPr>
      <w:numPr>
        <w:ilvl w:val="1"/>
        <w:numId w:val="2"/>
      </w:numPr>
      <w:adjustRightInd w:val="0"/>
      <w:spacing w:after="120" w:before="120" w:line="240" w:lineRule="auto"/>
      <w:ind w:left="936" w:hanging="576"/>
      <w:jc w:val="both"/>
    </w:pPr>
    <w:rPr>
      <w:rFonts w:cs="Arial" w:eastAsia="Times New Roman"/>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character" w:styleId="GPSL5numberedclauseChar" w:customStyle="1">
    <w:name w:val="GPS L5 numbered clause Char"/>
    <w:link w:val="GPSL5numberedclause"/>
    <w:locked w:val="1"/>
    <w:rPr>
      <w:rFonts w:ascii="Calibri" w:cs="Arial" w:eastAsia="Times New Roman" w:hAnsi="Calibri"/>
      <w:lang w:eastAsia="zh-CN"/>
    </w:rPr>
  </w:style>
  <w:style w:type="character" w:styleId="GPSL2NumberedBoldHeadingChar" w:customStyle="1">
    <w:name w:val="GPS L2 Numbered Bold Heading Char"/>
    <w:link w:val="GPSL2NumberedBoldHeading"/>
    <w:locked w:val="1"/>
    <w:rPr>
      <w:rFonts w:ascii="Calibri" w:cs="Arial" w:eastAsia="Times New Roman" w:hAnsi="Calibri"/>
      <w:b w:val="1"/>
      <w:lang w:eastAsia="zh-CN"/>
    </w:rPr>
  </w:style>
  <w:style w:type="character" w:styleId="legds2" w:customStyle="1">
    <w:name w:val="legds2"/>
  </w:style>
  <w:style w:type="table" w:styleId="TableGrid">
    <w:name w:val="Table Grid"/>
    <w:basedOn w:val="TableNormal"/>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hAnsi="Tahoma"/>
      <w:sz w:val="16"/>
      <w:szCs w:val="16"/>
    </w:rPr>
  </w:style>
  <w:style w:type="paragraph" w:styleId="GPSL2numberedclause" w:customStyle="1">
    <w:name w:val="GPS L2 numbered clause"/>
    <w:basedOn w:val="Normal"/>
    <w:qFormat w:val="1"/>
    <w:pPr>
      <w:tabs>
        <w:tab w:val="left" w:pos="1134"/>
      </w:tabs>
      <w:adjustRightInd w:val="0"/>
      <w:spacing w:after="120" w:before="120" w:line="240" w:lineRule="auto"/>
      <w:ind w:left="1134" w:hanging="567"/>
      <w:jc w:val="both"/>
    </w:pPr>
    <w:rPr>
      <w:rFonts w:cs="Arial" w:eastAsia="Times New Roman"/>
      <w:lang w:eastAsia="zh-CN"/>
    </w:rPr>
  </w:style>
  <w:style w:type="paragraph" w:styleId="GPSSchTitleandNumber" w:customStyle="1">
    <w:name w:val="GPS Sch Title and Number"/>
    <w:basedOn w:val="Normal"/>
    <w:link w:val="GPSSchTitleandNumberChar"/>
    <w:qFormat w:val="1"/>
    <w:pPr>
      <w:keepNext w:val="1"/>
      <w:adjustRightInd w:val="0"/>
      <w:spacing w:after="240" w:line="240" w:lineRule="auto"/>
      <w:jc w:val="center"/>
      <w:outlineLvl w:val="0"/>
    </w:pPr>
    <w:rPr>
      <w:rFonts w:ascii="Arial Bold" w:cs="Times New Roman" w:eastAsia="STZhongsong" w:hAnsi="Arial Bold"/>
      <w:b w:val="1"/>
      <w:caps w:val="1"/>
      <w:lang w:eastAsia="zh-CN"/>
    </w:rPr>
  </w:style>
  <w:style w:type="character" w:styleId="GPSSchTitleandNumberChar" w:customStyle="1">
    <w:name w:val="GPS Sch Title and Number Char"/>
    <w:link w:val="GPSSchTitleandNumber"/>
    <w:rPr>
      <w:rFonts w:ascii="Arial Bold" w:cs="Times New Roman" w:eastAsia="STZhongsong" w:hAnsi="Arial Bold"/>
      <w:b w:val="1"/>
      <w:caps w:val="1"/>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table" w:styleId="TableGrid1" w:customStyle="1">
    <w:name w:val="Table Grid1"/>
    <w:basedOn w:val="TableNormal"/>
    <w:next w:val="TableGrid"/>
    <w:uiPriority w:val="59"/>
    <w:pPr>
      <w:spacing w:after="0" w:line="240" w:lineRule="auto"/>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067C5C"/>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A+KZfvvOlBWebJw3VK+TTJwuhA==">CgMxLjAyCGguZ2pkZ3hzMgloLjMwajB6bGwyCWguMWZvYjl0ZTIJaC4zem55c2g3MgloLjJldDkycDAyCGgudHlqY3d0OAByITFDSi1IcUV4cXhJMW9vcHFfNnRhRVZYMDRHMmg2RmRVWQ==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2025-11-11T10:23:00Z</dcterms:created>
  <dc:creator>DWF</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90440832-1</vt:lpwstr>
  </property>
  <property fmtid="{D5CDD505-2E9C-101B-9397-08002B2CF9AE}" pid="3" name="DWFAuthor">
    <vt:lpwstr>DJEFFERIES</vt:lpwstr>
  </property>
  <property fmtid="{D5CDD505-2E9C-101B-9397-08002B2CF9AE}" pid="4" name="DWFTypist">
    <vt:lpwstr>DJEFFERIES</vt:lpwstr>
  </property>
  <property fmtid="{D5CDD505-2E9C-101B-9397-08002B2CF9AE}" pid="5" name="DWFTypistName">
    <vt:lpwstr>Douglas Jefferies</vt:lpwstr>
  </property>
  <property fmtid="{D5CDD505-2E9C-101B-9397-08002B2CF9AE}" pid="6" name="DWFAuthorName">
    <vt:lpwstr>Douglas Jefferies</vt:lpwstr>
  </property>
  <property fmtid="{D5CDD505-2E9C-101B-9397-08002B2CF9AE}" pid="7" name="DWFClientNum">
    <vt:lpwstr>2040175</vt:lpwstr>
  </property>
  <property fmtid="{D5CDD505-2E9C-101B-9397-08002B2CF9AE}" pid="8" name="DWFClientName">
    <vt:lpwstr>Government Legal Department</vt:lpwstr>
  </property>
  <property fmtid="{D5CDD505-2E9C-101B-9397-08002B2CF9AE}" pid="9" name="DWFMatterNum">
    <vt:lpwstr>26</vt:lpwstr>
  </property>
  <property fmtid="{D5CDD505-2E9C-101B-9397-08002B2CF9AE}" pid="10" name="DWFMatterName">
    <vt:lpwstr>RM6179 - LSP - 099 - Model Contracts Review 2024</vt:lpwstr>
  </property>
  <property fmtid="{D5CDD505-2E9C-101B-9397-08002B2CF9AE}" pid="11" name="DWFOurRef">
    <vt:lpwstr>0</vt:lpwstr>
  </property>
  <property fmtid="{D5CDD505-2E9C-101B-9397-08002B2CF9AE}" pid="12" name="DWFDocName">
    <vt:lpwstr>Joint Schedule 6 - Key Subcontractors (Wave 2) DWF 10.07.24</vt:lpwstr>
  </property>
  <property fmtid="{D5CDD505-2E9C-101B-9397-08002B2CF9AE}" pid="13" name="DWFOffice">
    <vt:lpwstr>LLP - Edinburgh - 2 Semple Street</vt:lpwstr>
  </property>
  <property fmtid="{D5CDD505-2E9C-101B-9397-08002B2CF9AE}" pid="14" name="DWFClientPartner">
    <vt:lpwstr>Colin Murray</vt:lpwstr>
  </property>
  <property fmtid="{D5CDD505-2E9C-101B-9397-08002B2CF9AE}" pid="15" name="DWFMatterPartner">
    <vt:lpwstr>Douglas Jefferies</vt:lpwstr>
  </property>
  <property fmtid="{D5CDD505-2E9C-101B-9397-08002B2CF9AE}" pid="16" name="DWFPracticeGroup">
    <vt:lpwstr>Commercial, Regulatory &amp; Data</vt:lpwstr>
  </property>
</Properties>
</file>